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right="880" w:firstLine="332"/>
        <w:spacing w:after="0" w:line="532" w:lineRule="auto"/>
        <w:tabs>
          <w:tab w:leader="none" w:pos="1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2013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380" w:hanging="1048"/>
        <w:spacing w:after="0"/>
        <w:tabs>
          <w:tab w:leader="none" w:pos="1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64" w:lineRule="exact"/>
        <w:rPr>
          <w:sz w:val="24"/>
          <w:szCs w:val="24"/>
          <w:color w:val="auto"/>
        </w:rPr>
      </w:pPr>
    </w:p>
    <w:p>
      <w:pPr>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1578610</wp:posOffset>
            </wp:positionH>
            <wp:positionV relativeFrom="paragraph">
              <wp:posOffset>-5080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001-33417</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OCEAN POWER TECHNOLOGIES,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420"/>
          </w:cols>
          <w:pgMar w:left="240" w:top="477" w:right="239" w:bottom="1440" w:gutter="0" w:footer="0" w:header="0"/>
        </w:sectPr>
      </w:pPr>
    </w:p>
    <w:p>
      <w:pPr>
        <w:spacing w:after="0" w:line="20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22-2535818</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7"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1590 REED ROAD, PENNINGTON, NJ 08534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3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7" w:right="239" w:bottom="1440" w:gutter="0" w:footer="0" w:header="0"/>
          <w:type w:val="continuous"/>
        </w:sectPr>
      </w:pPr>
    </w:p>
    <w:p>
      <w:pPr>
        <w:spacing w:after="0" w:line="133" w:lineRule="exact"/>
        <w:rPr>
          <w:sz w:val="24"/>
          <w:szCs w:val="24"/>
          <w:color w:val="auto"/>
        </w:rPr>
      </w:pPr>
    </w:p>
    <w:p>
      <w:pPr>
        <w:ind w:left="3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spacing w:after="0" w:line="23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95" w:lineRule="exact"/>
        <w:rPr>
          <w:sz w:val="24"/>
          <w:szCs w:val="24"/>
          <w:color w:val="auto"/>
        </w:rPr>
      </w:pPr>
    </w:p>
    <w:p>
      <w:pPr>
        <w:sectPr>
          <w:pgSz w:w="11900" w:h="16838" w:orient="portrait"/>
          <w:cols w:equalWidth="0" w:num="4">
            <w:col w:w="2700" w:space="720"/>
            <w:col w:w="1720" w:space="720"/>
            <w:col w:w="2580" w:space="640"/>
            <w:col w:w="2340"/>
          </w:cols>
          <w:pgMar w:left="240" w:top="477" w:right="2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31, 2013, the number of outstanding shares of common stock of the registrant was 10,356,946.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667385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JULY 31, 2013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8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102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10"/>
        </w:trPr>
        <w:tc>
          <w:tcPr>
            <w:tcW w:w="10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Consolidated Balance Sheets as of July 31, 2013 and April 30, 2013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July 31, 2013 and 2012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Consolidated Statements of Comprehensive Loss for the Three Months Ended July 31, 2013 and 2012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July 31, 2013 and 2012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Three Months Ended July 31, 2013 and 2012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1A. Risk Factors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Item 6. Exhibits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PowerBuoy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685165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2013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3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6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2013</w:t>
            </w: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7,337,651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6,372,788</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9,996,250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13,996,705</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323,852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796,332</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Unbilled receivables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89,722</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127,598</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373,905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152,962</w:t>
            </w: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18,121,380</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21,446,385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662,713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700,968</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992,124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1,044,902</w:t>
            </w: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1,279,864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1,366,256</w:t>
            </w: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305,693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21,361,774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24,831,059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360" w:type="dxa"/>
            <w:vAlign w:val="bottom"/>
            <w:shd w:val="clear" w:color="auto" w:fill="CCEEFF"/>
          </w:tcPr>
          <w:p>
            <w:pPr>
              <w:ind w:left="13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1,068,379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510,031</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3,766,394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3,900,623</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Unearned revenues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533,825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1,117,115</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5,468,598</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5,627,769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revenues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516,782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232,033</w:t>
            </w: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credits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6,810,380</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6,709,802</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Power Technologies, Inc. stockholders’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802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105,000,000 shares, issued 10,394,798 and 10,403,215 shares,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respectively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10,395</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10,403</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Treasury stock, at cost; 37,852 and 33,771 shares,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(130,707)</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(123,893)</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159,385,020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159,155,365</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(144,421,281)</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(140,671,311)</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(98,576)</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(79,786)</w:t>
            </w: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3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Ocean Power Technologies, Inc. stockholders’ equity</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14,744,851</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18,290,778</w:t>
            </w:r>
          </w:p>
        </w:tc>
        <w:tc>
          <w:tcPr>
            <w:tcW w:w="10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Ocean Power Technologies (Australasia) Pty Ltd.</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(193,457)</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14,551,394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18,121,257</w:t>
            </w:r>
          </w:p>
        </w:tc>
      </w:tr>
      <w:tr>
        <w:trPr>
          <w:trHeight w:val="250"/>
        </w:trPr>
        <w:tc>
          <w:tcPr>
            <w:tcW w:w="20" w:type="dxa"/>
            <w:vAlign w:val="bottom"/>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21,361,774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24,831,059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460,927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460,376</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979,860</w:t>
            </w: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1,270,945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1,927,427</w:t>
            </w: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2,547,759</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2,384,338</w:t>
            </w: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3,818,704</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4,311,765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(3,818,153)</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(4,309,229)</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55,424</w:t>
            </w: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(108,323)</w:t>
            </w: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(3,796,025)</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(4,362,128)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loss attributable to the noncontrolling interest in Ocean Power Technologies (Australasia) Pty Ltd.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46,055</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26,075</w:t>
            </w: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Ocean Power Technologies, Inc.</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(3,749,970)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(4,336,053)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36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5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(0.42)</w:t>
            </w:r>
          </w:p>
        </w:tc>
      </w:tr>
      <w:tr>
        <w:trPr>
          <w:trHeight w:val="20"/>
        </w:trPr>
        <w:tc>
          <w:tcPr>
            <w:tcW w:w="8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10,321,457</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10,295,999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1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(3,796,025)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(10,484)</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(3,792,696)</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(4,372,612)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Comprehensive loss attributable to the noncontrolling interest in Ocean Power Technologies (Australasia)</w:t>
            </w:r>
          </w:p>
        </w:tc>
        <w:tc>
          <w:tcPr>
            <w:tcW w:w="28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23,936</w:t>
            </w:r>
          </w:p>
        </w:tc>
        <w:tc>
          <w:tcPr>
            <w:tcW w:w="1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27,136</w:t>
            </w:r>
          </w:p>
        </w:tc>
        <w:tc>
          <w:tcPr>
            <w:tcW w:w="0" w:type="dxa"/>
            <w:vAlign w:val="bottom"/>
          </w:tcPr>
          <w:p>
            <w:pPr>
              <w:spacing w:after="0"/>
              <w:rPr>
                <w:sz w:val="1"/>
                <w:szCs w:val="1"/>
                <w:color w:val="auto"/>
              </w:rPr>
            </w:pPr>
          </w:p>
        </w:tc>
      </w:tr>
      <w:tr>
        <w:trPr>
          <w:trHeight w:val="221"/>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Pty Ltd.</w:t>
            </w:r>
          </w:p>
        </w:tc>
        <w:tc>
          <w:tcPr>
            <w:tcW w:w="2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Ocean Power Technologies,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(3,768,760)</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(4,345,476)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(3,796,025)</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(21,770)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107,237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Treasury note premium amortization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Compensation expense related to stock option grants and restricted stock</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229,655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472,480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37,877</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(224,240)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(35,344)</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562,092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(118,537)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Unearned revenues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(581,096)</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Long-term unearned revenues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284,749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(3,077,530)</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(6,998,108)</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10,993,172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equipment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(14,522)</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4,080,542</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debt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(6,814)</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(6,335)</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964,863</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6,372,788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9,353,460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7,337,651</w:t>
            </w:r>
          </w:p>
        </w:tc>
        <w:tc>
          <w:tcPr>
            <w:tcW w:w="200" w:type="dxa"/>
            <w:vAlign w:val="bottom"/>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5,089,657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purchases of equipment financed through accounts payable and accrued expenses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6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720" w:type="dxa"/>
            <w:vAlign w:val="bottom"/>
            <w:gridSpan w:val="5"/>
            <w:vMerge w:val="restart"/>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60" w:type="dxa"/>
            <w:vAlign w:val="bottom"/>
            <w:gridSpan w:val="5"/>
            <w:vMerge w:val="continue"/>
          </w:tcPr>
          <w:p>
            <w:pPr>
              <w:spacing w:after="0"/>
              <w:rPr>
                <w:sz w:val="19"/>
                <w:szCs w:val="19"/>
                <w:color w:val="auto"/>
              </w:rPr>
            </w:pPr>
          </w:p>
        </w:tc>
        <w:tc>
          <w:tcPr>
            <w:tcW w:w="1720" w:type="dxa"/>
            <w:vAlign w:val="bottom"/>
            <w:gridSpan w:val="5"/>
            <w:vMerge w:val="continue"/>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Noncontrolling</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April 30,</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10,407,389</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$ 10,407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(23,544)</w:t>
            </w:r>
          </w:p>
        </w:tc>
        <w:tc>
          <w:tcPr>
            <w:tcW w:w="9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99"/>
              </w:rPr>
              <w:t>$ (102,388)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158,296,458</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(125,989,474)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(78,990)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(28,632)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32,107,381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(4,336,053)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(26,075)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(4,362,128)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371,784</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(forfeiture) of</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net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(1,950)</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treasury</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(4,274)</w:t>
            </w:r>
          </w:p>
        </w:tc>
        <w:tc>
          <w:tcPr>
            <w:tcW w:w="96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(9,122)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(9,423)</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(1,061)</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(10,484)</w:t>
            </w: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July 31, 2012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10,405,439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$ 10,405</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 (111,510</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158,683,010</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(130,325,527</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28,112,197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April 30,</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10,403,215</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$ 10,403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(33,771)</w:t>
            </w:r>
          </w:p>
        </w:tc>
        <w:tc>
          <w:tcPr>
            <w:tcW w:w="9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99"/>
              </w:rPr>
              <w:t>$ (123,893)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159,155,365</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(140,671,311)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(79,786)</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(169,521)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(3,749,970)</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(46,055)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(3,796,025)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220,109</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(forfeiture) of</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net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9,546</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treasury</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(4,081)</w:t>
            </w:r>
          </w:p>
        </w:tc>
        <w:tc>
          <w:tcPr>
            <w:tcW w:w="96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(6,814)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(18,790)</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July 31, 2013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10,394,798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$ 10,395</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(130,707</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159,385,020</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(144,421,281</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(193,457)</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14,551,394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93"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Background</w:t>
      </w:r>
    </w:p>
    <w:p>
      <w:pPr>
        <w:spacing w:after="0" w:line="2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Ocean Power Technologies, Inc. (the “Company”) was incorporated in 1984 in New Jersey, commenced business operations in 1994 and re-incorporated in Delaware in 2007. The Company develops and is seeking to commercialize proprietary systems that generate electricity by harnessing the renewable energy of ocean waves. The Company markets its products in the United States and internationally. Since fiscal 2002, the US Navy and other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253"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2013 filed with the Securities and Exchange Commission (“SEC”) and elsewhere in this Form 10-Q.</w:t>
      </w:r>
    </w:p>
    <w:p>
      <w:pPr>
        <w:spacing w:after="0" w:line="253"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and negative operating cash flows since inception. As of July 31, 2013, the Company had an accumulated deficit of $144.4 million. As of July 31, 2013, the Company’s cash and cash equivalents, marketable securities and restricted cash balance was approximately $18.6 million. Based upon the Company’s cash and cash equivalents and marketable securities balance as of July 31, 2013, the Company believes that it will be able to finance its capital requirements and operations into the fourth calendar quarter of 2014.</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2014 and 2013,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competition, new products, technological change, recent economic activity and dependence on key personnel. In order to complete its future growth strategy, the Company will require additional equity and/or debt financing. There is no assurance that additional equity and/or debt financing will be available to the Company as needed. If financing is not achieved, the Company may be required to further curtail or limit certain product development costs, and/or selling, general and administrative, activities in order to reduce its cash expenditures.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2013, the Company filed with the SEC a shelf registration statement on Form S-3 registering the sale of up to $40,000,000 of debt, equity and other securities (the “S-3 Shelf”). The S-3 Shelf was declared effective in February 2013. On June 6, 2013, the Company entered into an At the Market Offering Agreement (the “Offering Agreement”) with Ascendiant Capital Markets, LLC (the “Manager”). Pursuant to the Offering Agreement, the Company may offer and sell shares of its common stock having an aggregate offering price of up to $10,000,000 from time to time over the three-year term of the Offering Agreement, through or to the Manager, acting as sales agent and/or principal. Subject to certain limited exceptions, these sales will be made in ordinary brokerage transactions at prevailing market prices.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did not sell any shares pursuant to the Offering Agreement in the quarter ended July 31, 2013. Sales commenced during the second quarter, and an immaterial amount has been sold as of the date of the filing of this Quarterly Report on Form 10-Q. Any sale of shares under the Offering Agreement will be made pursuant to the Company’s instructions (including any price, time or size limits or other customary conditions or parameters that it may impose) and will be registered on the S-3 Shelf in reliance on, and subject to the limitations of, General Instruction I.B.6 of Form S-3 and other applicable law and regulation. In particular, Form S-3, limits the aggregate market value of securities that the Company is permitted to offer in any 12-month period under Form S-3, whether under the Offering Agreement or otherwise, to one third the Company’s public float. The Company is under no obligation to sell, and the Manager is under no obligation to purchase or place, securities under the Offering Agreement, and there can be no assurance that we will do so or will be able to do so on favorable terms or at all.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 and Cost Method Investment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July 31, 2013, there was one noncontrolling interest, consisting of 11.8% of the Company's Australian subsidiary, Ocean Power Technologies (Australasia) Pty. Ltd.</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July 31, 2013, there were no such entities.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10% investment in Iberdrola Energias Marinas de Cantabria, S.A. (“Iberdrola Cantabria”) and certain outstanding receivables from Iberdrola Cantabria. The investment in Iberdrola Cantabria and net accounts receivable and unbilled receivables from Iberdrola Cantabria were $0 as of April 30, 2012. See Note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consist of investments in short-term financial instruments with initial maturities of three months or less from the date of purchase. Cash and cash equivalents include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5,188,951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4,188,466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7,337,651</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6,372,788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Marketable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Marketable securities with original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July 31, 2013 and April 30, 2013, all of the Company’s investments were classified as held-to-maturity.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Restricted Cash and Credit Facility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Company’s cash is restricted under the terms of two security agreements.</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As of July 31, 2013, there were €544,828 ($722,551) in letters of credit outstanding under this agreement. The credit facility does not have an expiration date, but is cancelable at the discretion of the bank.</w:t>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See Note 5.</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restricted under security agreements is as follows:</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200" w:type="dxa"/>
            <w:vAlign w:val="bottom"/>
          </w:tcPr>
          <w:p>
            <w:pPr>
              <w:spacing w:after="0"/>
              <w:rPr>
                <w:sz w:val="24"/>
                <w:szCs w:val="24"/>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2013</w:t>
            </w:r>
          </w:p>
        </w:tc>
        <w:tc>
          <w:tcPr>
            <w:tcW w:w="100" w:type="dxa"/>
            <w:vAlign w:val="bottom"/>
          </w:tcPr>
          <w:p>
            <w:pPr>
              <w:spacing w:after="0"/>
              <w:rPr>
                <w:sz w:val="24"/>
                <w:szCs w:val="24"/>
                <w:color w:val="auto"/>
              </w:rPr>
            </w:pPr>
          </w:p>
        </w:tc>
      </w:tr>
      <w:tr>
        <w:trPr>
          <w:trHeight w:val="210"/>
        </w:trPr>
        <w:tc>
          <w:tcPr>
            <w:tcW w:w="548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agreement</w:t>
            </w:r>
          </w:p>
        </w:tc>
        <w:tc>
          <w:tcPr>
            <w:tcW w:w="15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954,864</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941,256</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NJBPU agreement</w:t>
            </w:r>
          </w:p>
        </w:tc>
        <w:tc>
          <w:tcPr>
            <w:tcW w:w="1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18"/>
                <w:szCs w:val="18"/>
                <w:color w:val="auto"/>
              </w:rPr>
            </w:pPr>
          </w:p>
        </w:tc>
      </w:tr>
      <w:tr>
        <w:trPr>
          <w:trHeight w:val="250"/>
        </w:trPr>
        <w:tc>
          <w:tcPr>
            <w:tcW w:w="5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1,279,864</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Foreign Exchange Gains and Losses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80" w:type="dxa"/>
            <w:vAlign w:val="bottom"/>
          </w:tcPr>
          <w:p>
            <w:pPr>
              <w:spacing w:after="0"/>
              <w:rPr>
                <w:sz w:val="18"/>
                <w:szCs w:val="18"/>
                <w:color w:val="auto"/>
              </w:rPr>
            </w:pPr>
          </w:p>
        </w:tc>
      </w:tr>
      <w:tr>
        <w:trPr>
          <w:trHeight w:val="210"/>
        </w:trPr>
        <w:tc>
          <w:tcPr>
            <w:tcW w:w="546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780" w:type="dxa"/>
            <w:vAlign w:val="bottom"/>
            <w:gridSpan w:val="3"/>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5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1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(108,323)</w:t>
            </w:r>
          </w:p>
        </w:tc>
      </w:tr>
      <w:tr>
        <w:trPr>
          <w:trHeight w:val="467"/>
        </w:trPr>
        <w:tc>
          <w:tcPr>
            <w:tcW w:w="20" w:type="dxa"/>
            <w:vAlign w:val="bottom"/>
          </w:tcPr>
          <w:p>
            <w:pPr>
              <w:spacing w:after="0"/>
              <w:rPr>
                <w:sz w:val="24"/>
                <w:szCs w:val="24"/>
                <w:color w:val="auto"/>
              </w:rPr>
            </w:pPr>
          </w:p>
        </w:tc>
        <w:tc>
          <w:tcPr>
            <w:tcW w:w="54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160" w:type="dxa"/>
            <w:vAlign w:val="bottom"/>
            <w:tcBorders>
              <w:top w:val="single" w:sz="8" w:color="CCEEFF"/>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2013</w:t>
            </w:r>
          </w:p>
        </w:tc>
        <w:tc>
          <w:tcPr>
            <w:tcW w:w="80" w:type="dxa"/>
            <w:vAlign w:val="bottom"/>
            <w:tcBorders>
              <w:top w:val="single" w:sz="8" w:color="CCEEFF"/>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denominated certificates of deposit and cash accounts</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2,686,916</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2,491,714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Long-Lived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three months ended July 31, 2013.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Concentration of Credit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4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183"/>
        </w:trPr>
        <w:tc>
          <w:tcPr>
            <w:tcW w:w="56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Customer</w:t>
            </w:r>
          </w:p>
        </w:tc>
        <w:tc>
          <w:tcPr>
            <w:tcW w:w="1540" w:type="dxa"/>
            <w:vAlign w:val="bottom"/>
            <w:tcBorders>
              <w:top w:val="single" w:sz="8" w:color="auto"/>
            </w:tcBorders>
          </w:tcPr>
          <w:p>
            <w:pPr>
              <w:ind w:left="580"/>
              <w:spacing w:after="0" w:line="182" w:lineRule="exact"/>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UK Government's Technology Strategy Board</w:t>
            </w:r>
          </w:p>
        </w:tc>
        <w:tc>
          <w:tcPr>
            <w:tcW w:w="17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38%</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European Union (WavePort project)</w:t>
            </w:r>
          </w:p>
        </w:tc>
        <w:tc>
          <w:tcPr>
            <w:tcW w:w="17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35%</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Energy</w:t>
            </w:r>
          </w:p>
        </w:tc>
        <w:tc>
          <w:tcPr>
            <w:tcW w:w="17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26%</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Navy</w:t>
            </w:r>
          </w:p>
        </w:tc>
        <w:tc>
          <w:tcPr>
            <w:tcW w:w="154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7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99%</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Net Loss per Common Share</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computing diluted net loss per share, options to purchase shares of common stock and non-vested restricted stock issued to employees and non-employee directors, totaling 1,290,274 for the three months ended July 31, 2013, and 1,625,397 for the three months ended July 31, 2012, were excluded from the computations as the effect would be anti-dilutive due to the Company's losses.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Recently Issued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Accounting Standards issued during the quarter ended July 31, 2013 for the Company’s consideration.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5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160" w:type="dxa"/>
            <w:vAlign w:val="bottom"/>
          </w:tcPr>
          <w:p>
            <w:pPr>
              <w:spacing w:after="0"/>
              <w:rPr>
                <w:sz w:val="20"/>
                <w:szCs w:val="20"/>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116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2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9,996,250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13,996,705</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899"/>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100" w:type="dxa"/>
            <w:vAlign w:val="bottom"/>
            <w:shd w:val="clear" w:color="auto" w:fill="808080"/>
          </w:tcPr>
          <w:p>
            <w:pPr>
              <w:spacing w:after="0"/>
              <w:rPr>
                <w:sz w:val="5"/>
                <w:szCs w:val="5"/>
                <w:color w:val="auto"/>
              </w:rPr>
            </w:pPr>
          </w:p>
        </w:tc>
        <w:tc>
          <w:tcPr>
            <w:tcW w:w="26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19" w:right="19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Balance Sheet Detail</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628,901</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(305,049)</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323,852</w:t>
            </w:r>
          </w:p>
        </w:tc>
        <w:tc>
          <w:tcPr>
            <w:tcW w:w="22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2,225,575</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(1,562,862)</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(1,512,023)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662,713</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1,560,250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(568,126)</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(513,728)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992,124</w:t>
            </w:r>
          </w:p>
        </w:tc>
        <w:tc>
          <w:tcPr>
            <w:tcW w:w="22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1,044,902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Project costs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1,735,098</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loss reserves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56,212</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524,267</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176,367</w:t>
            </w: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Legal and accounting fees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247,682</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241,768</w:t>
            </w: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3,766,394</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5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36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19" w:right="1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Credits Payable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July 31, 2013, the Company has not generated any emissions credits eligible for purchase under the agreement. The $600,000 has been classified as a noncurrent liability as of July 31,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$230,000 and $387,000 for the three months ended July 31, 2013 and 2012,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Stock Options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Assumptions for Options Granted During the Three Months Ended July 31, 2013 and 2012</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each stock option granted, for both service-based and performance-based vesting requirements, during the three months ended July 31, 2013 and 2012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was based on the Company’s historical volatility for the three months ended July 31, 2013 and historical volatility for a peer group of companies for the three months ended July 31, 2012 for a period equal to the stock option's expected life, calculated on a daily basis.</w:t>
      </w:r>
    </w:p>
    <w:p>
      <w:pPr>
        <w:spacing w:after="0" w:line="23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8"/>
                <w:szCs w:val="18"/>
                <w:color w:val="auto"/>
              </w:rPr>
            </w:pP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9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9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life (years)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9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74.61%</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86.15%</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assumptions were used to determine the weighted average per share fair value of $1.12 and $1.46 for stock options granted during the three months ended July 31, 2013 and 2012,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options under the plans is as follows: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4"/>
        </w:trPr>
        <w:tc>
          <w:tcPr>
            <w:tcW w:w="6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64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4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r>
      <w:tr>
        <w:trPr>
          <w:trHeight w:val="238"/>
        </w:trPr>
        <w:tc>
          <w:tcPr>
            <w:tcW w:w="640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r>
      <w:tr>
        <w:trPr>
          <w:trHeight w:val="21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April 30, 2013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1,305,988</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(86,792)</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July 31, 2013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1,453,983</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197"/>
        </w:trPr>
        <w:tc>
          <w:tcPr>
            <w:tcW w:w="6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Exercisable as of July 31, 2013</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902,337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8.95</w:t>
            </w:r>
          </w:p>
        </w:tc>
        <w:tc>
          <w:tcPr>
            <w:tcW w:w="15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6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July 31, 2013, the total intrinsic value of outstanding and exercisable options was $0. As of July 31, 2013, approximately 552,000 additional options are expected to vest in the future, which options had no intrinsic value and a weighted average remaining contractual term of 8.9 years. There was approximately $220,000 and $372,000 of total recognized compensation cost related to stock options for the three months ended July 31, 2013 and 2012, respectively. As of July 31, 2013, there was approximately $735,000 of total unrecognized compensation cost related to non-vested stock options granted under the plans. This cost is expected to be recognized over a weighted-average period of 2.9 years. The Company normally issues new shares to satisfy option exercises under these plans. During the three months ended July 31, 2013, stock options granted included 30,520 stock options which are subject to performance-based vesting requirements. Stock options outstanding as of July 31, 2013 included 60,821 stock options subject to performance-based vesting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Restricted Stock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expense for non-vested restricted stock was historically recorded based on its market value on the date of grant and recognized over the associated service and performance period. During the three months ended July 31, 2013, there were 7,000 shares of non-vested restricted stock granted to employees with performance-based vesting requirements. During the three months ended July 31, 2013, 15,417 shares of non-vested restricted stock subject to performance-based vesting requirements were forfeited in accordance with performance objectives. Restricted stock issued and unvested at July 31, 2013 included 13,331 shares of non-vested restricted stock subject to performance-based vesting requirements.</w:t>
      </w:r>
    </w:p>
    <w:p>
      <w:pPr>
        <w:sectPr>
          <w:pgSz w:w="11900" w:h="16838" w:orient="portrait"/>
          <w:cols w:equalWidth="0" w:num="1">
            <w:col w:w="11420"/>
          </w:cols>
          <w:pgMar w:left="240" w:top="819" w:right="239"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restricted stock under the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Issued and unvested at April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Issued and unvested at July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Price perShare</w:t>
            </w:r>
          </w:p>
        </w:tc>
      </w:tr>
      <w:tr>
        <w:trPr>
          <w:trHeight w:val="407"/>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54,802</w:t>
            </w:r>
          </w:p>
        </w:tc>
        <w:tc>
          <w:tcPr>
            <w:tcW w:w="14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34"/>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819" w:right="239" w:bottom="1440" w:gutter="0" w:footer="0" w:header="0"/>
          <w:type w:val="continuous"/>
        </w:sectPr>
      </w:pP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approximately $10,000 and $15,000 of total recognized compensation cost related to restricted stock for the three months ended July 31, 2013 and 2012, respectively. As of July 31, 2013, there was approximately $42,000 of total unrecognized compensation cost related to non-vested restricted stock granted under the plans. This cost is expected to be recognized over a weighted average period of 2.2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(c)Treasury Stock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2013 and 2012, 4,081 and 4,274 shares, respectively, of common stock were purchased by the Company from employees to pay taxes related to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Litigation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Spain Construction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currently engaged with Iberdrola Cantabria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July 31, 2013, the Company does not believe that the outcome of this matter will have a material adverse effect on the Company's financial position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Spain IVA (sales tax)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($369,782) at the request of the Spanish tax authorities. This is a customary request during the inquiry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Commercial Dispute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certain claims filed by a contractor and subcontractor in connection with a dispute over a contract to perform certain work for the Company related to the deployment of an anchor/mooring system off the Oregon coast. The Company has claimed that the contractor and subcontractor were responsible for damage to the system during the deployment process. The parties are currently involved in ongoing settlement discussions. As of July 31, 2013 and April 30, 2013, the Company has accounted for the outcome of this matter in its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consolidated income tax benefit (expense) for the three month periods ended July 31, 2013 and 2012.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July 31, 2013, the Company had no material changes in uncertain tax positions.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Operating Segments and Geographic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Geographic information is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Asia and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80" w:type="dxa"/>
            <w:vAlign w:val="bottom"/>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2013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287,752</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173,175</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460,927</w:t>
            </w: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(3,122,599)</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(315,402)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(380,152)</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(3,818,153)</w:t>
            </w: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2012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930,903</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51,493</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982,396</w:t>
            </w: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(3,851,720)</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(234,974)</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(222,535)</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(4,309,229)</w:t>
            </w: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640,910</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20,778</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662,713</w:t>
            </w: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19,373,116</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1,858,080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130,578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21,361,774</w:t>
            </w: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April 30, 2013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675,354</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24,128</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700,968</w:t>
            </w:r>
          </w:p>
        </w:tc>
      </w:tr>
      <w:tr>
        <w:trPr>
          <w:trHeight w:val="234"/>
        </w:trPr>
        <w:tc>
          <w:tcPr>
            <w:tcW w:w="5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23,097,183</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1,518,496</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215,380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24,831,059</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2013, the Company issued a letter of credit for $375,000 in favor of the Oregon Department of State Lands. This letter of credit relates to the expected removal of certain of the Company’s anchoring and mooring equipment from the seabed off the coast of Oregon. This letter of credit is secured by a Certificate of Deposit with PNC Bank for a term through August 30, 2014.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8" w:name="page19"/>
    <w:bookmarkEnd w:id="18"/>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2013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2013 refers to the year ended April 30, 2013).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offer and continue to develop two PowerBuoy product lines, which consist of our utility PowerBuoy system and our autonomous PowerBuoy system. We also offer operations and maintenance services for our PowerBuoy systems. In addition, we continue to develop and expect to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is that an increased portion of our revenues be from the sale of products and maintenance services, as compared to revenue to support our product development efforts. As we continue to advance our proprietary technologies, we expect to have a net decrease in cash from operating activities unless or until we achieve positive cash flow from the planned commercialization of our products and services.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offshore oil and gas operations, tsunami warning, oceanographic data collection, and offshore aquaculture.</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New Jersey in 1984, began business operations in 1994, and were re-incorporated in Delaware in 2007. We currently have three wholly-owned subsidiaries, Ocean Power Technologies Ltd., Reedsport OPT Wave Park LLC and Oregon Wave Energy Partners I, LLC, and we own approximately 88% of the ordinary shares of Ocean Power Technologies (Australasia) Pty Ltd (“OPTA”). In March 2012, OPTA acquired its 100% ownership of Victorian Wave Partners Pty., Ltd.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In 2011, an autonomous PowerBuoy was deployed for ocean trials off the coast of New Jersey under a contract from the US Navy under its Littoral Expeditionary Autonomous PowerBuoy (“LEAP”) program. The LEAP PowerBuoy, or APB-350, incorporates a unique power take-off and on-board storage system, and is significantly smaller and more compact than our standard utility PowerBuoy. It is designed to provide persistent, off-grid clean energy in remote ocean locations for a wide variety of maritime security, monitoring and other commercial applications. Also, in 2011, ocean trials of our first Mark 3 PowerBuoy were conducted. These ocean trials were conducted at a site approximately 33 nautical miles from Invergordon, off Scotland’s northeast coast. During the ocean trials, our Mark 3 PowerBuoy produced power in excess of our expectations of performance. Our utility scale Mark 3 PowerBuoy structure and mooring system achieved independent certification from Lloyd’s Register in December 2010. This certification confirms that the Mark 3 PowerBuoy design complies with the requirements of Lloyd’s 1999 Rules and Regulations for the Classification of Floating Offshore Installations at Fixed Locations.</w:t>
      </w: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2013, we worked on projects with Mitsui Engineering &amp; Shipbuilding and the US Department of Homeland Security, our WavePort project in Spain and our Mark 3 PowerBuoy in Oregon. We also worked on developing our Mark 4 PowerBuoy.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2013, we continued work on projects with the US Department of Homeland Security and our WavePort project in Spain. We also continued our efforts to increase the power output and reliability of our utility and autonomous PowerBuoy systems.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prospective deployment and commissioning of a second Mark 3 PowerBuoy, which would be located off the coast of Oregon, must take into consideration various regulatory, business, and financial factors, including requirements of regulatory agencies and a significant use of funds.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this project in Oregon, we received a license from the Federal Energy Regulatory Commission (“FERC”) in August 2012 which authorized installation and operation of a grid connected wave energy array (the “License”). The License was the culmination of negotiation and collaboration between us and stakeholders which resulted in the execution of a comprehensive settlement agreement among us and 13 federal and state agencies and non-governmental agencies in July 2010 (the “Settlement Agreement”).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FERC staff informed us in February 2013 of their view that the License’s various planning, reporting and other pre- and post-deployment requirements may extend to this first, non-grid connected buoy. We had understood that because the first buoy would not be grid-connected until a full array of 10 PowerBuoys was deployed, the first buoy would not be subject to the requirements of the License. Accordingly, in May 2013, we filed a Motion for Extensions to Comply with License Requirements with FERC. This motion sought to clarify this understanding by moving those various requirements into the future, aligning them with deployment of the full array of 10 PowerBuoys, so that they would not apply to the first non-grid connected buoy. In June 2013, FERC issued an order extending certain requirements for one year rather than aligning those requirements with the 10-buoy array as requested. By separate letter, we were informed by the FERC staff that the agency’s position remains that the License’s various requirements extend to the deployment of this initial buoy. We have chosen not to further contest this decision by FERC, and will be required to submit certain reports and perform additional studies associated with the deployment of the first buoy. This process will require significant delay of the prospective deployment of the first Oregon PowerBuoy, as well as impose additional costs on us.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efforts continue toward deployment of the planned 19 megawatt (MW) (62.5MW peak generation rating) wave power project off the coast of Victoria, Australia. Funding for this project includes a grant of A$66.5 million (approximately US$61 million) awarded by the Commonwealth of Australia. The grant is subject to certain terms, including achievement of significant external funding milestones, in order to enable our receipt of the grant funds. We have engaged a financial advisor to lead efforts to structure power purchase agreements and secure appropriate financing for this project. The Board of Directors of the Australian Renewable Energy Agency, the Commonwealth agency, that manages the grant, is reviewing the status of the grant, including progress toward funding milestones and amendments to the grant as proposed by us.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July 31, 2013, our total negotiated backlog was $3.5 million compared with $5.8 million at July 31, 2012. We anticipate that the majority of our backlog will be recognized as revenue over a period exceeding 12 months. Approximately $1.2 million of our backlog at July 31, 2013, is for our Oregon project; the realization of that backlog as revenues will depend on the resolution of regulatory matters and our decision to seek additional funding to enable completion of this project. Most of our backlog at July 31, 2013 and 2012 consisted of cost-sharing contracts as described in the Financial Operations Overview section of this Management’s Discussion and Analysis.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Funded backlog was $3.5 million and $5.0 million at July 31, 2013 and 2012,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July 31, 2013, we generated revenues of $0.5 million and incurred a net loss attributable to Ocean Power Technologies, Inc. of $3.7 million, compared to revenues of $1.0 million and a net loss attributable to Ocean Power Technologies, Inc. of $4.3 million for the three months ended July 31, 2012. As of July 31, 2013, our accumulated deficit was $144.4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0" w:name="page21"/>
    <w:bookmarkEnd w:id="20"/>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The continued global economic uncertainty may have a negative effect on our business, financial condition and results of operations. Currently, the cost of electricity generated from wave energy, without the benefit of subsidies or other economic incentives, substantially exceeds the prevailing price of electricity in many significant markets in the world. As a result, the near-term growth of the market opportunity for our utility PowerBuoy systems, which are designed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The timing, scope and size of new government programs for renewable energy is uncertain, and there can be no assurances that we or our customers will be successful in obtaining any additional government funding. We do not believe the continuing global economic uncertainty will have a material negative impact on our sources of supply, as our products incorporate what are substantially non-custom standard parts found in many regions of the world.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consolidated statements of operations and some of the factors that affect our operating results.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54"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21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revenue in the three months ended July 31, 2013 and 2012 was from cost-sharing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breakdown of our revenues by customer for the three months ended July 31, 2013 and 2012: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millions)</w:t>
            </w: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continue"/>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0"/>
              <w:spacing w:after="0" w:line="196" w:lineRule="exact"/>
              <w:rPr>
                <w:sz w:val="20"/>
                <w:szCs w:val="20"/>
                <w:color w:val="auto"/>
              </w:rPr>
            </w:pPr>
            <w:r>
              <w:rPr>
                <w:rFonts w:ascii="Times New Roman" w:cs="Times New Roman" w:eastAsia="Times New Roman" w:hAnsi="Times New Roman"/>
                <w:sz w:val="18"/>
                <w:szCs w:val="18"/>
                <w:b w:val="1"/>
                <w:bCs w:val="1"/>
                <w:color w:val="auto"/>
              </w:rPr>
              <w:t>2012</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Energy</w:t>
            </w:r>
          </w:p>
        </w:tc>
        <w:tc>
          <w:tcPr>
            <w:tcW w:w="21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European Union (WavePort project)</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Navy</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 Government's Technology Strategy Board</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3"/>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Borders>
              <w:right w:val="single" w:sz="8" w:color="808080"/>
            </w:tcBorders>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23" w:right="19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focus our sales and marketing efforts on North America, the west coast of Europe, Australia and Japan. The following table provides information regarding the breakdown of our revenues by geographical location of our customers for the three months ended July 31, 2013 and 2012:</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183"/>
        </w:trPr>
        <w:tc>
          <w:tcPr>
            <w:tcW w:w="56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Customer Location</w:t>
            </w:r>
          </w:p>
        </w:tc>
        <w:tc>
          <w:tcPr>
            <w:tcW w:w="154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revenue recorded for the three months ended July 31, 2013 and 2012 was generated from cost-sharing contracts, which result in zero gross profit. Our ability to generate a gross profit will depend on the nature of future contracts, our success at increasing sales of our PowerBuoy systems and our ability to manage costs incurred on fixed price commercial contracts.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costs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power output and reliability of our utility PowerBuoy systems, autonomous PowerBuoy systems,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$18.6 million as of July 31, 2013, compared to $29.4 million as of July 31, 2012.</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our interest income reported in fiscal 2014 will continue to be lower than the comparable periods of the prior fiscal year as a result of the decrease in invested cash.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certificates of deposit and maintain cash accounts that are denominated in British pounds sterling, Euros and Australian dollars. These foreign-denominated certificates of deposit and cash accounts had a balance of $2.7 million as of July 31, 2013 and $2.9 million as of July 31, 2012, compared to our total cash, cash equivalents, restricted cash, and marketable securities balances of $18.6 million as of July 31, 2013 and $29.4 million as of July 31, 2012. These foreign currency balances are translated at each month end to our functional currency, the US dollar, and any resulting gain or loss is recognized in our results of operations.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2013 and 2012 were recorded in Euros, British pounds sterling or Japanese yen.</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2013 Compared to Three Months Ended July 31, 2012</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July 31,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26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July 31, 2013</w:t>
            </w:r>
          </w:p>
        </w:tc>
        <w:tc>
          <w:tcPr>
            <w:tcW w:w="180" w:type="dxa"/>
            <w:vAlign w:val="bottom"/>
          </w:tcPr>
          <w:p>
            <w:pPr>
              <w:spacing w:after="0"/>
              <w:rPr>
                <w:sz w:val="20"/>
                <w:szCs w:val="20"/>
                <w:color w:val="auto"/>
              </w:rPr>
            </w:pPr>
          </w:p>
        </w:tc>
        <w:tc>
          <w:tcPr>
            <w:tcW w:w="26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July 31, 2012</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320" w:type="dxa"/>
            <w:vAlign w:val="bottom"/>
          </w:tcPr>
          <w:p>
            <w:pPr>
              <w:spacing w:after="0"/>
              <w:rPr>
                <w:sz w:val="16"/>
                <w:szCs w:val="16"/>
                <w:color w:val="auto"/>
              </w:rPr>
            </w:pPr>
          </w:p>
        </w:tc>
        <w:tc>
          <w:tcPr>
            <w:tcW w:w="13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2013 Period to</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Revenues  (1)</w:t>
            </w: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Revenues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2012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460,927</w:t>
            </w:r>
          </w:p>
        </w:tc>
        <w:tc>
          <w:tcPr>
            <w:tcW w:w="22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982,396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460,376</w:t>
            </w:r>
          </w:p>
        </w:tc>
        <w:tc>
          <w:tcPr>
            <w:tcW w:w="22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979,860</w:t>
            </w: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1,270,945</w:t>
            </w:r>
          </w:p>
        </w:tc>
        <w:tc>
          <w:tcPr>
            <w:tcW w:w="22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1,927,427</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2,547,759</w:t>
            </w:r>
          </w:p>
        </w:tc>
        <w:tc>
          <w:tcPr>
            <w:tcW w:w="22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2,384,338</w:t>
            </w: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3,818,704</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4,311,765</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(3,818,153)</w:t>
            </w: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(4,309,229)</w:t>
            </w: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(439)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55,424</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22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(108,323)</w:t>
            </w: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(3,796,025)</w:t>
            </w:r>
          </w:p>
        </w:tc>
        <w:tc>
          <w:tcPr>
            <w:tcW w:w="22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(4,362,128)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Net loss attributable to the noncontrolling interest in</w:t>
            </w: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46,055</w:t>
            </w:r>
          </w:p>
        </w:tc>
        <w:tc>
          <w:tcPr>
            <w:tcW w:w="2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26,075</w:t>
            </w:r>
          </w:p>
        </w:tc>
        <w:tc>
          <w:tcPr>
            <w:tcW w:w="14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Ocean Power Technologies (Australasia) Pty Ltd.</w:t>
            </w: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Ocean Power Technologies,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(3,749,970</w:t>
            </w:r>
          </w:p>
        </w:tc>
        <w:tc>
          <w:tcPr>
            <w:tcW w:w="220" w:type="dxa"/>
            <w:vAlign w:val="bottom"/>
            <w:tcBorders>
              <w:left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(4,336,053</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Certain subtotals may not add due to rounding.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decreased by $0.5 million, or 53%, to $0.5 million in the three months ended July 31, 2013, as compared to $1.0 million in the three months ended July 31, 2012. The decrease in revenue related to our Mark 3 PowerBuoy project off the coast of Oregon, decreased billable work on our Mark 4 PowerBuoy development project and the completion of the current phase of our project with Mitsui Engineering &amp; Shipbuilding in the prior fiscal year.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decreased by $0.5 million, or 53%, to $0.5 million in the three months ended July 31, 2013, as compared to $1.0 million in the three months ended July 31, 2012. The decrease in cost of revenues related to our Mark 3 PowerBuoy project off the coast of Oregon, decreased billable work on our Mark 4 PowerBuoy development project and the completion of the current phase of our project with Mitsui Engineering &amp; Shipbuilding in the prior fiscal year.</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operated at a slight gross profit in the three month periods ended July 31, 2013 and 2012. Most of our projects in the three month periods ended July 31, 2013 and 2012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costs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development costs decreased by $0.7 million, or 34%, to $1.3 million in the three months ended July 31, 2013, as compared to $1.9 million in the three months ended July 31, 2012. Product development costs were attributable primarily to our efforts to increase the power output and reliability of our utility and autonomous PowerBuoy systems. The decrease in product development costs was related primarily to a decrease in activity related to our PowerBuoy project off the coast of Oregon. Over the next several years, it is our intent to fund the majority of our research and development expenses, including cost-sharing arrangements, with sources of external funding. If we are unable to obtain external funding, we may curtail our research and development expenses. During the three months ended July 31, 2013, the majority of funding for our Mark 4 PowerBuoy development project was from external sources.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costs increased by approximately $0.2 million, or 7%, to $2.6 million for the three months ended July 31, 2013 as compared to $2.4 million for the three months ended July 31, 2012. The increase was due primarily to fees associated with the establishment of an At the Market Offering Agreement and site development expenses related to a potential project in Australia. These increases were offset by decreased employee related costs and third party consultant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approximately 99% to $358 for the three months ended July 31, 2013, as compared to $55,000 in the three months ended July 31, 2012, due to a decrease in cash, cash equivalents and marketable securities and a decrease in average yield.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Foreign exchange gain was $22,000 for the three months ended July 31, 2013, compared to a foreign exchange loss of $108,000 for the three months ended July 31, 2012. The difference was attributable primarily to the relative change in value of the British pound sterling, Euro, Australian dollar and Japanese yen compared to the US dollar during the two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the planned growth of our business. For the two years ended April 30, 2013, our net losses were $30 million and our net cash used in operating activities was $24.8 million.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for the three months ended July 31, 2013 and 2012 were as follows: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(3,796,025)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noncash operating items</w:t>
            </w:r>
          </w:p>
        </w:tc>
        <w:tc>
          <w:tcPr>
            <w:tcW w:w="6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320,514</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619,099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operating loss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(3,475,511)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(3,743,029)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397,981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(3,077,530)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(3,374,213)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4,080,542</w:t>
            </w:r>
          </w:p>
        </w:tc>
        <w:tc>
          <w:tcPr>
            <w:tcW w:w="180" w:type="dxa"/>
            <w:vAlign w:val="bottom"/>
            <w:tcBorders>
              <w:right w:val="single" w:sz="8" w:color="CCEEFF"/>
            </w:tcBorders>
            <w:shd w:val="clear" w:color="auto" w:fill="CCEEFF"/>
          </w:tcPr>
          <w:p>
            <w:pPr>
              <w:spacing w:after="0"/>
              <w:rPr>
                <w:sz w:val="22"/>
                <w:szCs w:val="22"/>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(812,394)</w:t>
            </w: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51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(31,814)</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(34,122)</w:t>
            </w: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51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9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(6,335)</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(43,074)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$3.1 million and $3.4 million for the three months ended July 31, 2013 and 2012, respectively. The change was the result of a decrease in net loss of $0.6 million and decreases in noncash operating items of $0.3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loss for the three months ended July 31, 2013 compared to the three months ended July 31, 2012 reflects a decrease in product development costs of $0.7 million relating primarily to a decrease in activity related to our PowerBuoy project off the coast of Oregon.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noncash operating items reflects a decrease in equity compensation of $0.2 million and a gain on foreign exchange of $0.1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assets and liabilities reflects the collection of $0.5 million in accounts receivable, a net increase in accounts payable and accrued expenses of $0.4 million offset by an increase of $0.2 million for prepaid insurances, and a net decrease of $0.3 million in unearned revenues, during the three months ended July 31,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$4.1 million for the three months ended July 31, 2013 and net cash used in investing activities was $0.8 million for the three months ended July 31, 2012. The change was primarily the result of a net increase in maturities of marketable securities during the three months ended July 31,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$32,000 and $34,000 for the three months ended July 31, 2013 and 2012, respectively. The net cash used was primarily for repayment of long-term debt.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exchange rates on cash and cash equivalents was a decrease of $6,000 and $43,000 in the three months ended July 31, 2013 and 2012, respectively. The effect of exchange rates on cash and cash equivalents results primarily from gains or losses on consolidation of foreign subsidiaries and foreign denominated cash and cash equivalents.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0" w:lineRule="exact"/>
        <w:rPr>
          <w:sz w:val="20"/>
          <w:szCs w:val="20"/>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development efforts for our PowerBuoy systems;</w:t>
      </w:r>
    </w:p>
    <w:p>
      <w:pPr>
        <w:spacing w:after="0" w:line="22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commercial relationships with major customers;</w:t>
      </w:r>
    </w:p>
    <w:p>
      <w:pPr>
        <w:spacing w:after="0" w:line="22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project-specific financing, grants, subsidies and other sources of funding for some of our projects;</w:t>
      </w:r>
    </w:p>
    <w:p>
      <w:pPr>
        <w:spacing w:after="0" w:line="22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activities;</w:t>
      </w:r>
    </w:p>
    <w:p>
      <w:pPr>
        <w:spacing w:after="0" w:line="22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including demonstration projects, product marketing and sales;</w:t>
      </w:r>
    </w:p>
    <w:p>
      <w:pPr>
        <w:spacing w:after="0" w:line="22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customer relationships;</w:t>
      </w:r>
    </w:p>
    <w:p>
      <w:pPr>
        <w:spacing w:after="0" w:line="22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expansion plans, including the hiring of new employees as our business increases;</w:t>
      </w:r>
    </w:p>
    <w:p>
      <w:pPr>
        <w:spacing w:after="0" w:line="22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other products or technologies; and</w:t>
      </w:r>
    </w:p>
    <w:p>
      <w:pPr>
        <w:spacing w:after="0" w:line="22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and enforcing patent claims and other patent-related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negative operating cash flows since our inception. As of July 31, 2013, our cash and cash equivalents, marketable securities and restricted cash balance was approximately $18.6 million. Based upon cash and cash equivalents and marketable securities balance as of July 31, 2013, we believe that we will be able to finance our capital requirements and operations into the fourth calendar quarter of 2014.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2014 and 2013, we have continued to make investments in ongoing product development efforts in anticipation of future growth. Our future results of operations involve significant risks and uncertainties. Factors that could affect our future operating results and cause actual results to vary materially from expectations include, but are not limited to, risks from competition, new products, technological change, recent economic activity and dependence on key personnel. In order to complete our future growth strategy, we will require additional equity and/or debt financing. There is no assurance that additional equity and/or debt financing will be available to us as needed. However, if financing is not achieved, we may be required to further curtail or limit certain product development costs, and/or selling, general and administrative activities in order to reduce our cash expenditures.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2013, we filed with the SEC a shelf registration statement on Form S-3 registering the sale of up to $40,000,000 of debt, equity and other securities (the “S-3 Shelf”). The S-3 Shelf was declared effective in February 2013 and affords us additional financial flexibility. On June 6, 2013, we entered into an At the Market Offering Agreement (the “Offering Agreement”) with Ascendiant Capital Markets, LLC (the “Manager”). Pursuant to the Offering Agreement, we may offer and sell shares of our common stock having an aggregate offering price of up to $10,000,000 from time to time over the three-year term of the Offering Agreement, through or to the Manager, acting as sales agent and/or principal. Subject to certain limited exceptions, these sales will be made in ordinary brokerage transactions at prevailing market prices.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did not sell any shares pursuant to the Offering Agreement in the quarter ended July 31, 2013. Sales commenced during the second quarter, and an immaterial amount has been sold as of the date of the filing of this Quarterly Report on Form 10-Q. Any sale of shares under the Offering Agreement will be made pursuant to our instructions (including any price, time or size limits or other customary conditions or parameters that it may impose) and will be registered on the S-3 Shelf in reliance on, and subject to the limitations of, General Instruction I.B.6 of Form S-3 and other applicable law and regulation. In particular, Form S-3, limits the aggregate market value of securities that we are permitted to offer in any 12-month period under Form S-3, whether under the Offering Agreement or otherwise, to one third of our public float. The Company is under no obligation to sell, and the Manager is under no obligation to purchase or place, securities under the Offering Agreement, and there can be no assurance that we will do so or will be able to do so on favorable terms or at all.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Interim Chief Financial Officer, to allow timely decisions regarding required disclosure.</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pursuant to Exchange Act Rule 13a-15(b). Based upon that evaluation, as of July 31, 2013, our Chief Executive Officer and Interim Chief Financial Officer concluded that our disclosure controls and procedures were effective.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July 31, 2013 that has materially affected, or is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200" w:lineRule="exact"/>
        <w:rPr>
          <w:sz w:val="20"/>
          <w:szCs w:val="20"/>
          <w:color w:val="auto"/>
        </w:rPr>
      </w:pPr>
    </w:p>
    <w:p>
      <w:pPr>
        <w:spacing w:after="0" w:line="2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2013.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12, 2013.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7" w:name="page28"/>
    <w:bookmarkEnd w:id="27"/>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share repurchases during the quarter:</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20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1-31, 2013</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June 1-30, 2013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1-31, 2013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(1)Represents shares delivered back to the Company by employees to pay taxes related to the vesting of restricted shares.</w:t>
      </w:r>
    </w:p>
    <w:p>
      <w:pPr>
        <w:spacing w:after="0" w:line="200" w:lineRule="exact"/>
        <w:rPr>
          <w:sz w:val="20"/>
          <w:szCs w:val="20"/>
          <w:color w:val="auto"/>
        </w:rPr>
      </w:pPr>
    </w:p>
    <w:p>
      <w:pPr>
        <w:spacing w:after="0" w:line="27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80"/>
          </w:cols>
          <w:pgMar w:left="240" w:top="860" w:right="1379" w:bottom="1440" w:gutter="0" w:footer="0" w:header="0"/>
        </w:sectPr>
      </w:pPr>
    </w:p>
    <w:bookmarkStart w:id="28" w:name="page29"/>
    <w:bookmarkEnd w:id="28"/>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EXHIBITS</w:t>
      </w:r>
    </w:p>
    <w:p>
      <w:pPr>
        <w:spacing w:after="0" w:line="283" w:lineRule="exact"/>
        <w:rPr>
          <w:sz w:val="20"/>
          <w:szCs w:val="20"/>
          <w:color w:val="auto"/>
        </w:rPr>
      </w:pPr>
    </w:p>
    <w:p>
      <w:pPr>
        <w:ind w:left="1500" w:hanging="881"/>
        <w:spacing w:after="0" w:line="282" w:lineRule="auto"/>
        <w:tabs>
          <w:tab w:leader="none" w:pos="14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At the Market Offering Agreement, dated as of June 6, 2013, by and between Ocean Power Technologies, Inc. and Ascendiant Capital Markets, LLC (incorporated by reference from Exhibit 10.1 to Form 8-K filed June 7, 2013.</w:t>
      </w:r>
    </w:p>
    <w:p>
      <w:pPr>
        <w:spacing w:after="0" w:line="162"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Chief Executive Officer and Interim Chief Financial Officer pursuant to Section 302 of the Sarbanes-Oxley Act of 2002</w:t>
      </w:r>
    </w:p>
    <w:p>
      <w:pPr>
        <w:spacing w:after="0" w:line="225"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Chief Executive Officer and Interim Chief Financial Officer pursuant to Section 906 of the Sarbanes-Oxley Act of 2002</w:t>
      </w:r>
    </w:p>
    <w:p>
      <w:pPr>
        <w:spacing w:after="0" w:line="225" w:lineRule="exact"/>
        <w:rPr>
          <w:sz w:val="20"/>
          <w:szCs w:val="20"/>
          <w:color w:val="auto"/>
        </w:rPr>
      </w:pPr>
    </w:p>
    <w:p>
      <w:pPr>
        <w:jc w:val="both"/>
        <w:ind w:left="1500" w:hanging="843"/>
        <w:spacing w:after="0" w:line="257"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formatted in eXtensible Business Reporting Language (XBRL) from Ocean Power Technologies, Inc Quarterly Report on Form 10-Q for the quarter ended July 31, 2013, filed September 13, 2013: (i) Consolidated Balance Sheets – July 31, 2013 (unaudited) and April 30, 2013, (ii) Consolidated Statements of Operations (unaudited) – Three Months Ended July 31, 2013 and 2012,</w:t>
      </w:r>
    </w:p>
    <w:p>
      <w:pPr>
        <w:spacing w:after="0" w:line="1" w:lineRule="exact"/>
        <w:rPr>
          <w:rFonts w:ascii="Times New Roman" w:cs="Times New Roman" w:eastAsia="Times New Roman" w:hAnsi="Times New Roman"/>
          <w:sz w:val="18"/>
          <w:szCs w:val="18"/>
          <w:color w:val="auto"/>
        </w:rPr>
      </w:pPr>
    </w:p>
    <w:p>
      <w:pPr>
        <w:jc w:val="both"/>
        <w:ind w:left="1500" w:hanging="6"/>
        <w:spacing w:after="0" w:line="255" w:lineRule="auto"/>
        <w:tabs>
          <w:tab w:leader="none" w:pos="1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(unaudited) – Three Months Ended July 31, 2013 and 2012, (iv) Consolidated Statements of Cash Flows (unaudited) – Three Months Ended July 31, 2013 and 2012, (v) Consolidated Statements of Stockholders’ Equity (unaudited) – Three Months Ended July 31, 2013 and 2012 and (vi) Notes to Consolidated Financial Statements.*</w:t>
      </w:r>
    </w:p>
    <w:p>
      <w:pPr>
        <w:spacing w:after="0" w:line="186" w:lineRule="exact"/>
        <w:rPr>
          <w:sz w:val="20"/>
          <w:szCs w:val="20"/>
          <w:color w:val="auto"/>
        </w:rPr>
      </w:pPr>
    </w:p>
    <w:p>
      <w:pPr>
        <w:jc w:val="both"/>
        <w:ind w:left="1500" w:hanging="6"/>
        <w:spacing w:after="0" w:line="266" w:lineRule="auto"/>
        <w:tabs>
          <w:tab w:leader="none" w:pos="16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wp:posOffset>
            </wp:positionV>
            <wp:extent cx="2527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730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Charles F. Dunleavy</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0" w:name="page31"/>
    <w:bookmarkEnd w:id="30"/>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EXHIBITS INDEX</w:t>
      </w:r>
    </w:p>
    <w:p>
      <w:pPr>
        <w:spacing w:after="0" w:line="283" w:lineRule="exact"/>
        <w:rPr>
          <w:sz w:val="20"/>
          <w:szCs w:val="20"/>
          <w:color w:val="auto"/>
        </w:rPr>
      </w:pPr>
    </w:p>
    <w:p>
      <w:pPr>
        <w:ind w:left="880" w:hanging="881"/>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At the Market Offering Agreement, dated as of June 6, 2013, by and between Ocean Power Technologies, Inc. and Ascendiant Capital Markets, LLC (incorporated by reference from Exhibit 10.1 to Form 8-K filed June 7, 2013.</w:t>
      </w:r>
    </w:p>
    <w:p>
      <w:pPr>
        <w:spacing w:after="0" w:line="16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Chief Executive Officer and Interim Chief Financial Officer pursuant to Section 302 of the Sarbanes-Oxley Act of 2002</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Chief Executive Officer and Interim Chief Financial Officer pursuant to Section 302 of the Sarbanes-Oxley Act of 2002</w:t>
      </w:r>
    </w:p>
    <w:p>
      <w:pPr>
        <w:spacing w:after="0" w:line="225" w:lineRule="exact"/>
        <w:rPr>
          <w:sz w:val="20"/>
          <w:szCs w:val="20"/>
          <w:color w:val="auto"/>
        </w:rPr>
      </w:pPr>
    </w:p>
    <w:p>
      <w:pPr>
        <w:jc w:val="both"/>
        <w:ind w:left="880" w:hanging="841"/>
        <w:spacing w:after="0" w:line="256"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formatted in eXtensible Business Reporting Language (XBRL) from Ocean Power Technologies, Inc Quarterly Report on Form 10-Q for the quarter ended July 31, 2013, filed September 13, 2013: (i) Consolidated Balance Sheets – July 31, 2013 (unaudited) and April 30, 2013, (ii) Consolidated Statements of Operations (unaudited) – Three Months Ended July 31, 2013 and 2012, (iii) Consolidated Statements of Comprehensive Loss (unaudited) – Three Months Ended July 31, 2013 and 2012, (iv) Consolidated Statements of Cash Flows (unaudited) – Three Months Ended July 31, 2013 and 2012, (v) Consolidated Statements of Stockholders’ Equity (unaudited) – Three Months Ended July 31, 2013 and 2012 and (vi) Notes to Consolidated Financial Statements.*</w:t>
      </w:r>
    </w:p>
    <w:p>
      <w:pPr>
        <w:spacing w:after="0" w:line="187" w:lineRule="exact"/>
        <w:rPr>
          <w:rFonts w:ascii="Times New Roman" w:cs="Times New Roman" w:eastAsia="Times New Roman" w:hAnsi="Times New Roman"/>
          <w:sz w:val="18"/>
          <w:szCs w:val="18"/>
          <w:color w:val="auto"/>
        </w:rPr>
      </w:pPr>
    </w:p>
    <w:p>
      <w:pPr>
        <w:jc w:val="both"/>
        <w:ind w:left="8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140"/>
          </w:cols>
          <w:pgMar w:left="520" w:top="819"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F. Dunleavy,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46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6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440" w:hanging="432"/>
        <w:spacing w:after="0" w:line="28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40" w:right="20" w:hanging="432"/>
        <w:spacing w:after="0" w:line="28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2129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129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2013</w:t>
      </w:r>
    </w:p>
    <w:p>
      <w:pPr>
        <w:sectPr>
          <w:pgSz w:w="11900" w:h="16838" w:orient="portrait"/>
          <w:cols w:equalWidth="0" w:num="1">
            <w:col w:w="11420"/>
          </w:cols>
          <w:pgMar w:left="240" w:top="11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2013, as filed with the Securities and Exchange Commission on the date hereof (the "Report"), the undersigned, Charles F. Dunleavy, Chief Executive Officer and Interim Chief Financial Officer of the Company, hereby certifies, pursuant to 18 U.S.C. Section 1350, that:</w:t>
      </w:r>
    </w:p>
    <w:p>
      <w:pPr>
        <w:spacing w:after="0" w:line="176"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84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843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2013</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01"/>
    </w:lvl>
    <w:lvl w:ilvl="1">
      <w:lvlJc w:val="left"/>
      <w:lvlText w:val="(%2)"/>
      <w:numFmt w:val="lowerRoman"/>
      <w:start w:val="3"/>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1"/>
    </w:lvl>
    <w:lvl w:ilvl="1">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2019-12-07T14:30:21Z</dcterms:created>
  <dcterms:modified xsi:type="dcterms:W3CDTF">2019-12-07T14:30:21Z</dcterms:modified>
</cp:coreProperties>
</file>