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60" w:right="1760" w:hanging="3852"/>
        <w:spacing w:after="0" w:line="500" w:lineRule="auto"/>
        <w:tabs>
          <w:tab w:leader="none" w:pos="3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July 31,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780" w:right="1740" w:hanging="3772"/>
        <w:spacing w:after="0" w:line="500" w:lineRule="auto"/>
        <w:tabs>
          <w:tab w:leader="none" w:pos="34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______to______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001-33417</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620" w:type="dxa"/>
        <w:tblCellMar>
          <w:top w:w="0" w:type="dxa"/>
          <w:left w:w="0" w:type="dxa"/>
          <w:bottom w:w="0" w:type="dxa"/>
          <w:right w:w="0" w:type="dxa"/>
        </w:tblCellMar>
      </w:tblPr>
      <w:tr>
        <w:trPr>
          <w:trHeight w:val="218"/>
        </w:trPr>
        <w:tc>
          <w:tcPr>
            <w:tcW w:w="424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0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22-2535818</w:t>
            </w:r>
          </w:p>
        </w:tc>
      </w:tr>
      <w:tr>
        <w:trPr>
          <w:trHeight w:val="216"/>
        </w:trPr>
        <w:tc>
          <w:tcPr>
            <w:tcW w:w="4240" w:type="dxa"/>
            <w:vAlign w:val="bottom"/>
          </w:tcPr>
          <w:p>
            <w:pPr>
              <w:jc w:val="center"/>
              <w:ind w:right="185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3300" w:type="dxa"/>
            <w:vAlign w:val="bottom"/>
          </w:tcPr>
          <w:p>
            <w:pPr>
              <w:jc w:val="center"/>
              <w:ind w:left="189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240" w:type="dxa"/>
            <w:vAlign w:val="bottom"/>
          </w:tcPr>
          <w:p>
            <w:pPr>
              <w:jc w:val="center"/>
              <w:ind w:right="18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300" w:type="dxa"/>
            <w:vAlign w:val="bottom"/>
          </w:tcPr>
          <w:p>
            <w:pPr>
              <w:jc w:val="center"/>
              <w:ind w:left="187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 ENGELHARD DRIVE, SUITE B, MONROE TOWNSHIP, NJ 08831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730-0400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$0.001 par value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OPTT</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NYSE American</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Series A Preferred Stock Purchase Rights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N/A</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4"/>
          <w:szCs w:val="24"/>
          <w:color w:val="auto"/>
        </w:rPr>
      </w:pPr>
    </w:p>
    <w:p>
      <w:pPr>
        <w:spacing w:after="0" w:line="207" w:lineRule="exact"/>
        <w:tabs>
          <w:tab w:leader="none" w:pos="2800" w:val="left"/>
          <w:tab w:leader="none" w:pos="5600" w:val="left"/>
          <w:tab w:leader="none" w:pos="84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September 12, 2025, the number of outstanding shares of common stock of the registrant was 183,014,497.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140" w:type="dxa"/>
            <w:vAlign w:val="bottom"/>
            <w:gridSpan w:val="9"/>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tc>
        <w:tc>
          <w:tcPr>
            <w:tcW w:w="84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80" w:type="dxa"/>
            <w:vAlign w:val="bottom"/>
            <w:gridSpan w:val="8"/>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840" w:type="dxa"/>
            <w:vAlign w:val="bottom"/>
          </w:tcPr>
          <w:p>
            <w:pPr>
              <w:spacing w:after="0"/>
              <w:rPr>
                <w:sz w:val="24"/>
                <w:szCs w:val="24"/>
                <w:color w:val="auto"/>
              </w:rPr>
            </w:pPr>
          </w:p>
        </w:tc>
      </w:tr>
      <w:tr>
        <w:trPr>
          <w:trHeight w:val="410"/>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38"/>
        </w:trPr>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20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189"/>
        </w:trPr>
        <w:tc>
          <w:tcPr>
            <w:tcW w:w="3260" w:type="dxa"/>
            <w:vAlign w:val="bottom"/>
            <w:tcBorders>
              <w:bottom w:val="single" w:sz="8" w:color="0000EE"/>
            </w:tcBorders>
            <w:gridSpan w:val="11"/>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7140" w:type="dxa"/>
            <w:vAlign w:val="bottom"/>
            <w:tcBorders>
              <w:bottom w:val="single" w:sz="8" w:color="CCEEFF"/>
            </w:tcBorders>
            <w:gridSpan w:val="9"/>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176"/>
        </w:trPr>
        <w:tc>
          <w:tcPr>
            <w:tcW w:w="180" w:type="dxa"/>
            <w:vAlign w:val="bottom"/>
          </w:tcPr>
          <w:p>
            <w:pPr>
              <w:spacing w:after="0"/>
              <w:rPr>
                <w:sz w:val="15"/>
                <w:szCs w:val="15"/>
                <w:color w:val="auto"/>
              </w:rPr>
            </w:pPr>
          </w:p>
        </w:tc>
        <w:tc>
          <w:tcPr>
            <w:tcW w:w="1022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8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July 31, 2025 (unaudited) and April 30, 2025</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Statements of Operations for the three months ended July 31, 2025 and 2024</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 of Shareholders’ Equity for the three months ended July 31, 2025 and 2024</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98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Statements of Cash Flows for the three months ended July 31, 2025 and 2024</w:t>
            </w:r>
          </w:p>
        </w:tc>
        <w:tc>
          <w:tcPr>
            <w:tcW w:w="206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9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Unaudited Consolidated Financial Statements</w:t>
            </w:r>
          </w:p>
        </w:tc>
        <w:tc>
          <w:tcPr>
            <w:tcW w:w="6080" w:type="dxa"/>
            <w:vAlign w:val="bottom"/>
            <w:tcBorders>
              <w:bottom w:val="single" w:sz="8" w:color="CCEEFF"/>
            </w:tcBorders>
            <w:gridSpan w:val="8"/>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80" w:type="dxa"/>
            <w:vAlign w:val="bottom"/>
          </w:tcPr>
          <w:p>
            <w:pPr>
              <w:spacing w:after="0"/>
              <w:rPr>
                <w:sz w:val="15"/>
                <w:szCs w:val="15"/>
                <w:color w:val="auto"/>
              </w:rPr>
            </w:pPr>
          </w:p>
        </w:tc>
        <w:tc>
          <w:tcPr>
            <w:tcW w:w="1022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5300" w:type="dxa"/>
            <w:vAlign w:val="bottom"/>
            <w:tcBorders>
              <w:bottom w:val="single" w:sz="8" w:color="CCEEFF"/>
            </w:tcBorders>
            <w:gridSpan w:val="6"/>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180" w:type="dxa"/>
            <w:vAlign w:val="bottom"/>
          </w:tcPr>
          <w:p>
            <w:pPr>
              <w:spacing w:after="0"/>
              <w:rPr>
                <w:sz w:val="15"/>
                <w:szCs w:val="15"/>
                <w:color w:val="auto"/>
              </w:rPr>
            </w:pPr>
          </w:p>
        </w:tc>
        <w:tc>
          <w:tcPr>
            <w:tcW w:w="1022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9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7440" w:type="dxa"/>
            <w:vAlign w:val="bottom"/>
            <w:tcBorders>
              <w:bottom w:val="single" w:sz="8" w:color="CCEEFF"/>
            </w:tcBorders>
            <w:gridSpan w:val="11"/>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176"/>
        </w:trPr>
        <w:tc>
          <w:tcPr>
            <w:tcW w:w="180" w:type="dxa"/>
            <w:vAlign w:val="bottom"/>
          </w:tcPr>
          <w:p>
            <w:pPr>
              <w:spacing w:after="0"/>
              <w:rPr>
                <w:sz w:val="15"/>
                <w:szCs w:val="15"/>
                <w:color w:val="auto"/>
              </w:rPr>
            </w:pPr>
          </w:p>
        </w:tc>
        <w:tc>
          <w:tcPr>
            <w:tcW w:w="1022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1A. Risk Factors</w:t>
            </w:r>
          </w:p>
        </w:tc>
        <w:tc>
          <w:tcPr>
            <w:tcW w:w="8620" w:type="dxa"/>
            <w:vAlign w:val="bottom"/>
            <w:tcBorders>
              <w:bottom w:val="single" w:sz="8" w:color="CCEEFF"/>
            </w:tcBorders>
            <w:gridSpan w:val="16"/>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176"/>
        </w:trPr>
        <w:tc>
          <w:tcPr>
            <w:tcW w:w="180" w:type="dxa"/>
            <w:vAlign w:val="bottom"/>
          </w:tcPr>
          <w:p>
            <w:pPr>
              <w:spacing w:after="0"/>
              <w:rPr>
                <w:sz w:val="15"/>
                <w:szCs w:val="15"/>
                <w:color w:val="auto"/>
              </w:rPr>
            </w:pPr>
          </w:p>
        </w:tc>
        <w:tc>
          <w:tcPr>
            <w:tcW w:w="1022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5"/>
        </w:trPr>
        <w:tc>
          <w:tcPr>
            <w:tcW w:w="180" w:type="dxa"/>
            <w:vAlign w:val="bottom"/>
            <w:tcBorders>
              <w:top w:val="single" w:sz="8" w:color="CCEEFF"/>
            </w:tcBorders>
          </w:tcPr>
          <w:p>
            <w:pPr>
              <w:spacing w:after="0"/>
              <w:rPr>
                <w:sz w:val="15"/>
                <w:szCs w:val="15"/>
                <w:color w:val="auto"/>
              </w:rPr>
            </w:pPr>
          </w:p>
        </w:tc>
        <w:tc>
          <w:tcPr>
            <w:tcW w:w="288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7340" w:type="dxa"/>
            <w:vAlign w:val="bottom"/>
            <w:tcBorders>
              <w:top w:val="single" w:sz="8" w:color="CCEEFF"/>
            </w:tcBorders>
            <w:gridSpan w:val="10"/>
          </w:tcPr>
          <w:p>
            <w:pPr>
              <w:spacing w:after="0"/>
              <w:rPr>
                <w:sz w:val="15"/>
                <w:szCs w:val="15"/>
                <w:color w:val="auto"/>
              </w:rPr>
            </w:pPr>
          </w:p>
        </w:tc>
        <w:tc>
          <w:tcPr>
            <w:tcW w:w="8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Other Information</w:t>
            </w:r>
          </w:p>
        </w:tc>
        <w:tc>
          <w:tcPr>
            <w:tcW w:w="8340" w:type="dxa"/>
            <w:vAlign w:val="bottom"/>
            <w:tcBorders>
              <w:bottom w:val="single" w:sz="8" w:color="CCEEFF"/>
            </w:tcBorders>
            <w:gridSpan w:val="15"/>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180" w:type="dxa"/>
            <w:vAlign w:val="bottom"/>
          </w:tcPr>
          <w:p>
            <w:pPr>
              <w:spacing w:after="0"/>
              <w:rPr>
                <w:sz w:val="15"/>
                <w:szCs w:val="15"/>
                <w:color w:val="auto"/>
              </w:rPr>
            </w:pPr>
          </w:p>
        </w:tc>
        <w:tc>
          <w:tcPr>
            <w:tcW w:w="1022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453"/>
        </w:trPr>
        <w:tc>
          <w:tcPr>
            <w:tcW w:w="180" w:type="dxa"/>
            <w:vAlign w:val="bottom"/>
            <w:tcBorders>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gridSpan w:val="2"/>
          </w:tcPr>
          <w:p>
            <w:pPr>
              <w:spacing w:after="0"/>
              <w:rPr>
                <w:sz w:val="24"/>
                <w:szCs w:val="24"/>
                <w:color w:val="auto"/>
              </w:rPr>
            </w:pPr>
          </w:p>
        </w:tc>
        <w:tc>
          <w:tcPr>
            <w:tcW w:w="4800" w:type="dxa"/>
            <w:vAlign w:val="bottom"/>
            <w:tcBorders>
              <w:bottom w:val="single" w:sz="8" w:color="auto"/>
            </w:tcBorders>
            <w:gridSpan w:val="12"/>
          </w:tcPr>
          <w:p>
            <w:pPr>
              <w:jc w:val="center"/>
              <w:ind w:left="3670"/>
              <w:spacing w:after="0"/>
              <w:rPr>
                <w:sz w:val="20"/>
                <w:szCs w:val="20"/>
                <w:color w:val="auto"/>
              </w:rPr>
            </w:pPr>
            <w:r>
              <w:rPr>
                <w:rFonts w:ascii="Times New Roman" w:cs="Times New Roman" w:eastAsia="Times New Roman" w:hAnsi="Times New Roman"/>
                <w:sz w:val="18"/>
                <w:szCs w:val="18"/>
                <w:color w:val="auto"/>
                <w:w w:val="88"/>
              </w:rPr>
              <w:t>2</w:t>
            </w:r>
          </w:p>
        </w:tc>
        <w:tc>
          <w:tcPr>
            <w:tcW w:w="1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 $000’s,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July 31, 2025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30, 2025</w:t>
            </w:r>
          </w:p>
        </w:tc>
      </w:tr>
      <w:tr>
        <w:trPr>
          <w:trHeight w:val="210"/>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9,860</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6,715</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4,222</w:t>
            </w:r>
          </w:p>
        </w:tc>
      </w:tr>
      <w:tr>
        <w:trPr>
          <w:trHeight w:val="229"/>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209"/>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3,444</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3,490</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long-term</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8,537</w:t>
            </w:r>
          </w:p>
        </w:tc>
      </w:tr>
      <w:tr>
        <w:trPr>
          <w:trHeight w:val="263"/>
        </w:trPr>
        <w:tc>
          <w:tcPr>
            <w:tcW w:w="6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36,618</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30,793</w:t>
            </w:r>
          </w:p>
        </w:tc>
        <w:tc>
          <w:tcPr>
            <w:tcW w:w="100" w:type="dxa"/>
            <w:vAlign w:val="bottom"/>
            <w:tcBorders>
              <w:bottom w:val="single" w:sz="8" w:color="CCEEFF"/>
            </w:tcBorders>
          </w:tcPr>
          <w:p>
            <w:pPr>
              <w:spacing w:after="0"/>
              <w:rPr>
                <w:sz w:val="22"/>
                <w:szCs w:val="22"/>
                <w:color w:val="auto"/>
              </w:rPr>
            </w:pPr>
          </w:p>
        </w:tc>
      </w:tr>
      <w:tr>
        <w:trPr>
          <w:trHeight w:val="197"/>
        </w:trPr>
        <w:tc>
          <w:tcPr>
            <w:tcW w:w="6880" w:type="dxa"/>
            <w:vAlign w:val="bottom"/>
            <w:shd w:val="clear" w:color="auto" w:fill="CCEEFF"/>
          </w:tcPr>
          <w:p>
            <w:pPr>
              <w:ind w:left="1540"/>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1,283</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payable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payable (Note 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 (Note 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liabilities, current portion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Right-of-use liabilities, less current portion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r>
      <w:tr>
        <w:trPr>
          <w:trHeight w:val="210"/>
        </w:trPr>
        <w:tc>
          <w:tcPr>
            <w:tcW w:w="68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authorized 5,000,000 shares, none issued or outstanding;</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100,000 designated as Series A</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300,000,000 shares, issued 178,312,252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and 172,050,563 shares, respectively; outstanding 171,263,086 shares and</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95,573,789 shares, respectively</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787,477 and 787,477 shares, respectively</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(1,018)</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361,508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356,588</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(336,478)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(329,090)</w:t>
            </w:r>
          </w:p>
        </w:tc>
      </w:tr>
      <w:tr>
        <w:trPr>
          <w:trHeight w:val="229"/>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26,652</w:t>
            </w:r>
          </w:p>
        </w:tc>
        <w:tc>
          <w:tcPr>
            <w:tcW w:w="100" w:type="dxa"/>
            <w:vAlign w:val="bottom"/>
            <w:tcBorders>
              <w:bottom w:val="single" w:sz="8" w:color="CCEEFF"/>
            </w:tcBorders>
          </w:tcPr>
          <w:p>
            <w:pPr>
              <w:spacing w:after="0"/>
              <w:rPr>
                <w:sz w:val="18"/>
                <w:szCs w:val="18"/>
                <w:color w:val="auto"/>
              </w:rPr>
            </w:pPr>
          </w:p>
        </w:tc>
      </w:tr>
      <w:tr>
        <w:trPr>
          <w:trHeight w:val="223"/>
        </w:trPr>
        <w:tc>
          <w:tcPr>
            <w:tcW w:w="6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7"/>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r>
      <w:tr>
        <w:trPr>
          <w:trHeight w:val="223"/>
        </w:trPr>
        <w:tc>
          <w:tcPr>
            <w:tcW w:w="6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1,182</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shd w:val="clear" w:color="auto" w:fill="CCEEFF"/>
          </w:tcPr>
          <w:p>
            <w:pPr>
              <w:spacing w:after="0"/>
              <w:rPr>
                <w:sz w:val="18"/>
                <w:szCs w:val="18"/>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Pr>
          <w:p>
            <w:pPr>
              <w:spacing w:after="0"/>
              <w:rPr>
                <w:sz w:val="19"/>
                <w:szCs w:val="19"/>
                <w:color w:val="auto"/>
              </w:rPr>
            </w:pPr>
          </w:p>
        </w:tc>
      </w:tr>
      <w:tr>
        <w:trPr>
          <w:trHeight w:val="210"/>
        </w:trPr>
        <w:tc>
          <w:tcPr>
            <w:tcW w:w="6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7,055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80" w:type="dxa"/>
            <w:vAlign w:val="bottom"/>
            <w:shd w:val="clear" w:color="auto" w:fill="CCEEFF"/>
          </w:tcPr>
          <w:p>
            <w:pPr>
              <w:spacing w:after="0"/>
              <w:rPr>
                <w:sz w:val="19"/>
                <w:szCs w:val="19"/>
                <w:color w:val="auto"/>
              </w:rPr>
            </w:pPr>
          </w:p>
        </w:tc>
      </w:tr>
      <w:tr>
        <w:trPr>
          <w:trHeight w:val="209"/>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(expense)/income, net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r>
      <w:tr>
        <w:trPr>
          <w:trHeight w:val="210"/>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0"/>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basic and diluted net loss per common share</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172,969,163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81,951,002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17"/>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Three Months Ended July 31, 2025</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jc w:val="center"/>
              <w:ind w:right="61"/>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2"/>
        </w:trPr>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gridSpan w:val="9"/>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6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2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19"/>
                <w:szCs w:val="19"/>
                <w:color w:val="auto"/>
              </w:rPr>
            </w:pPr>
          </w:p>
        </w:tc>
        <w:tc>
          <w:tcPr>
            <w:tcW w:w="11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2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1, 2025</w:t>
            </w: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172,050,563</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172</w:t>
            </w:r>
          </w:p>
        </w:tc>
        <w:tc>
          <w:tcPr>
            <w:tcW w:w="2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(787,477)</w:t>
            </w:r>
          </w:p>
        </w:tc>
        <w:tc>
          <w:tcPr>
            <w:tcW w:w="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(1,018)</w:t>
            </w:r>
          </w:p>
        </w:tc>
        <w:tc>
          <w:tcPr>
            <w:tcW w:w="1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356,588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(329,090)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26,652</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(7,388)</w:t>
            </w:r>
          </w:p>
        </w:tc>
        <w:tc>
          <w:tcPr>
            <w:tcW w:w="24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(7,388)</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2,399</w:t>
            </w: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AGP At The Market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Offering, net of issuance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694,949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net of</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5,566,740</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2,184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2,184</w:t>
            </w:r>
          </w:p>
        </w:tc>
      </w:tr>
      <w:tr>
        <w:trPr>
          <w:trHeight w:val="22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Balances at July 31, 2025</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178,312,252</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(787,477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361,508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(336,478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24,190</w:t>
            </w:r>
          </w:p>
        </w:tc>
        <w:tc>
          <w:tcPr>
            <w:tcW w:w="10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July 31, 2024</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jc w:val="center"/>
              <w:ind w:right="61"/>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2"/>
        </w:trPr>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40" w:type="dxa"/>
            <w:vAlign w:val="bottom"/>
          </w:tcPr>
          <w:p>
            <w:pPr>
              <w:spacing w:after="0"/>
              <w:rPr>
                <w:sz w:val="21"/>
                <w:szCs w:val="21"/>
                <w:color w:val="auto"/>
              </w:rPr>
            </w:pPr>
          </w:p>
        </w:tc>
        <w:tc>
          <w:tcPr>
            <w:tcW w:w="1760" w:type="dxa"/>
            <w:vAlign w:val="bottom"/>
            <w:gridSpan w:val="9"/>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6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top w:val="single" w:sz="8" w:color="auto"/>
            </w:tcBorders>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19"/>
                <w:szCs w:val="19"/>
                <w:color w:val="auto"/>
              </w:rPr>
            </w:pPr>
          </w:p>
        </w:tc>
        <w:tc>
          <w:tcPr>
            <w:tcW w:w="11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1, 2024</w:t>
            </w: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61,352,731</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880" w:type="dxa"/>
            <w:vAlign w:val="bottom"/>
            <w:gridSpan w:val="4"/>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(88,017)</w:t>
            </w:r>
          </w:p>
        </w:tc>
        <w:tc>
          <w:tcPr>
            <w:tcW w:w="2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327,276</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(307,579)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19,344</w:t>
            </w:r>
          </w:p>
        </w:tc>
      </w:tr>
      <w:tr>
        <w:trPr>
          <w:trHeight w:val="216"/>
        </w:trPr>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(4,453)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(4,453)</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related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bonus and earnout payments</w:t>
            </w: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2,864,808</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627</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Cantor At The Market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offering, net of issuance costs</w:t>
            </w: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31,444,267</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21"/>
                <w:szCs w:val="21"/>
                <w:color w:val="auto"/>
              </w:rPr>
            </w:pPr>
          </w:p>
        </w:tc>
        <w:tc>
          <w:tcPr>
            <w:tcW w:w="8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6,497</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6,529</w:t>
            </w:r>
          </w:p>
        </w:tc>
      </w:tr>
      <w:tr>
        <w:trPr>
          <w:trHeight w:val="223"/>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July 31, 2024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95,661,806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(88,017</w:t>
            </w:r>
          </w:p>
        </w:tc>
        <w:tc>
          <w:tcPr>
            <w:tcW w:w="180" w:type="dxa"/>
            <w:vAlign w:val="bottom"/>
            <w:tcBorders>
              <w:top w:val="single" w:sz="8" w:color="CCEEFF"/>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Borders>
              <w:top w:val="single" w:sz="8" w:color="CCEEFF"/>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334,659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(312,031</w:t>
            </w:r>
          </w:p>
        </w:tc>
        <w:tc>
          <w:tcPr>
            <w:tcW w:w="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(7,388)</w:t>
            </w:r>
          </w:p>
        </w:tc>
        <w:tc>
          <w:tcPr>
            <w:tcW w:w="14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(4,453)</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2,399</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16"/>
        </w:trPr>
        <w:tc>
          <w:tcPr>
            <w:tcW w:w="6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Right of use asset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962</w:t>
            </w:r>
          </w:p>
        </w:tc>
      </w:tr>
      <w:tr>
        <w:trPr>
          <w:trHeight w:val="216"/>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16"/>
        </w:trPr>
        <w:tc>
          <w:tcPr>
            <w:tcW w:w="6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Earnout payable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6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Right-of-use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w:t>
            </w:r>
          </w:p>
        </w:tc>
      </w:tr>
      <w:tr>
        <w:trPr>
          <w:trHeight w:val="209"/>
        </w:trPr>
        <w:tc>
          <w:tcPr>
            <w:tcW w:w="67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10"/>
        </w:trPr>
        <w:tc>
          <w:tcPr>
            <w:tcW w:w="67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148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9,866</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 At The Market offering, net of issuance costs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337</w:t>
            </w:r>
          </w:p>
        </w:tc>
        <w:tc>
          <w:tcPr>
            <w:tcW w:w="142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6,529</w:t>
            </w:r>
          </w:p>
        </w:tc>
      </w:tr>
      <w:tr>
        <w:trPr>
          <w:trHeight w:val="210"/>
        </w:trPr>
        <w:tc>
          <w:tcPr>
            <w:tcW w:w="6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Borders>
              <w:bottom w:val="single" w:sz="8" w:color="CCEEFF"/>
            </w:tcBorders>
          </w:tcPr>
          <w:p>
            <w:pPr>
              <w:spacing w:after="0"/>
              <w:rPr>
                <w:sz w:val="18"/>
                <w:szCs w:val="18"/>
                <w:color w:val="auto"/>
              </w:rPr>
            </w:pPr>
          </w:p>
        </w:tc>
      </w:tr>
      <w:tr>
        <w:trPr>
          <w:trHeight w:val="210"/>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r>
      <w:tr>
        <w:trPr>
          <w:trHeight w:val="209"/>
        </w:trPr>
        <w:tc>
          <w:tcPr>
            <w:tcW w:w="6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Borders>
              <w:bottom w:val="single" w:sz="8" w:color="CCEEFF"/>
            </w:tcBorders>
          </w:tcPr>
          <w:p>
            <w:pPr>
              <w:spacing w:after="0"/>
              <w:rPr>
                <w:sz w:val="18"/>
                <w:szCs w:val="18"/>
                <w:color w:val="auto"/>
              </w:rPr>
            </w:pPr>
          </w:p>
        </w:tc>
      </w:tr>
      <w:tr>
        <w:trPr>
          <w:trHeight w:val="223"/>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related to bonus and earnout payments</w:t>
            </w:r>
          </w:p>
        </w:tc>
        <w:tc>
          <w:tcPr>
            <w:tcW w:w="148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related to conversion of convertible debt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 Basis of Presentation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Background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Ocean Power Technologies, Inc. (“OPT,” “we,” “our,” or “the Company”) is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serve a global customer base, including the U.S. and allied defense agencies, offshore energy operators, and commercial interests. The common thread across these markets is the growing need for a persistent, autonomous, and sustainable offshore presence, a need we are uniquely positioned to fulfill.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holds numerous patents and leverages decades of research including control systems, energy storage, and marine integration. Our headquarters and assembly operations are located in New Jersey, and we maintain an additional manufacturing and robotics development facility in Richmond, CA. In addition, the Company maintains an office at the Association for Uncrewed Vehicle Systems International (AUVSI) headquarters in Washington, D.C., which serves to strengthen our strategic position in the fast-growing uncrewed systems market.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 is committed to enabling a smarter, safer ocean economy through innovation in ocean intelligence and power. As we look forward, our strategic priorities include expanding our customer and geographic base, accelerating technology adoption, enhancing recurring revenue, and driving margin growth through platform scalability and supply chain efficiencies.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New Jersey in April 1984 and began commercial operations in 1994. On April 23, 2007, we reincorporated in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and for interim financial information in accordance with the Securities and Exchange Commission (“SEC”), instructions to Form 10-Q and Article 8 of Regulation S-X. Accordingly, they do not include all the information and footnotes required by GAAP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2025, as filed with the SEC and elsewhere in subsequent Exchange Act filings, including this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Liquidity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July 31, 2025, the Company incurred a net loss of approximately $7.4 million and used cash in operations of approximately $5.6 million. 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technology development, scalability of technology and production, ability to attract and retain key personnel, concentration of customers and suppliers, pending or threatened litigation and deployment risks and integration of acquisitions.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cash on hand and forecasted operating results will provide sufficient liquidity to meet its obligation for at least the next 12 months. In the event operating results are not sufficient the Company will need to seek additional financing. There can be no assurance that the Company will be able to raise additional capital on favorable terms, or at all, if needed.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Consolidation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Marine Advanced Robotics Inc. (CA), referred to herein as MAR,), Oregon Wave Energy Partners I LLC (DE), and ReedSport OPT WavePark, LLC (OR). Ocean Power Technologies Ltd. in the United Kingdom was dissolved on April 22, 2025. ReedSport OPT WavePark, LLC (OR) and Oregon Wave Energy Partners I, LLC (DE) were dissolved during the first quarter of fiscal 2024. All significant intercompany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of the Company to make several estimates and assumptions relating to the reported amounts of assets and liabilities at the date of the consolidated financial statements and the reported amounts of revenue and expenses during the period. Significant items subject to such estimates and assumptions include, among other items, stock-based compensation based on the likelihood of meeting performance obligations, over time revenue recognition, valuation consideration related to business combinations, including contingent consideration based on actual and projected revenues, in addition to discount rates and present values, and other assumptions and estimates used to evaluate the recoverability of long-lived assets, goodwill and other intangible assets. Actual results could differ from those estimates.</w:t>
      </w:r>
    </w:p>
    <w:p>
      <w:pPr>
        <w:sectPr>
          <w:pgSz w:w="11900" w:h="16838" w:orient="portrait"/>
          <w:cols w:equalWidth="0" w:num="1">
            <w:col w:w="11240"/>
          </w:cols>
          <w:pgMar w:left="320" w:top="229" w:right="339" w:bottom="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Cash, Cash Equivalents, Restricted Cash and Security Agreements</w:t>
      </w:r>
    </w:p>
    <w:p>
      <w:pPr>
        <w:sectPr>
          <w:pgSz w:w="11900" w:h="16838" w:orient="portrait"/>
          <w:cols w:equalWidth="0" w:num="1">
            <w:col w:w="11240"/>
          </w:cols>
          <w:pgMar w:left="320" w:top="229" w:right="339"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The Company invests excess cash in a money market account. The Company had cash and cash equivalents of approximately $10.0 million and $6.9 million as of July 31, 2025 and April 30, 2025,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 and Security Agreements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letter of credit agreement with Santander Bank, N.A. (“Santander”). Cash of $154,000 is on deposit at Santander and serves as security for a letter of credit issued by Santander for the lease of warehouse/office space in Monroe Township, New Jersey.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total to the same amounts shown in the Consolidated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July 31, 2025</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2025</w:t>
            </w:r>
          </w:p>
        </w:tc>
      </w:tr>
      <w:tr>
        <w:trPr>
          <w:trHeight w:val="210"/>
        </w:trPr>
        <w:tc>
          <w:tcPr>
            <w:tcW w:w="6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9,860</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6,715</w:t>
            </w:r>
          </w:p>
        </w:tc>
      </w:tr>
      <w:tr>
        <w:trPr>
          <w:trHeight w:val="22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long term</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Inventory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Accounting Standards Codification 330 (ASC 330), inventory is stated at the lower of cost or net realizable value applicable to goods on hand. Items remain in inventory until they are shipped to the customer, at which time the costs are transferred on a FIFO basis to cost of revenues, or moved to leased assets as applicable, following the matching principle where costs and revenues are recognized in the same period. The Company has three classes of inventory; raw materials, work in process, and finished goods.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Accounts Receivable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stated at the net amount expected to be collected. Amounts are usually due between 30 and 90 days after the invoice issuance. The Company is exposed to credit losses primarily on accounts receivable and contract assets related to sales to customers. If applicable, an allowance for credit losses is established to provide for the expected lifetime credit losses by evaluating factors such as customer creditworthiness, historical payment and loss experiences, current economic conditions (including geographic and political risk), and the age and status of outstanding receivables. Based on these factors, management has determined the allowance for credit losses was approximately $100,000 at both July 31, 2025 and April 30, 2025. Expected credit losses are written off in the period in which the financial assets are no longer collectible.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grants credit to its customers, generally, without collateral, under normal payment. Generally, invoicing occurs after the services are performed or control of the product has transferred to the customer. Accounts receivable represent an unconditional right to consideration arising from the Company’s performance under contracts with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Property and Equipment, net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amortization. Depreciation and amortization is calculated using the straight-line method over the estimated useful lives (three to ten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Estimated depreciable life</w:t>
            </w:r>
          </w:p>
        </w:tc>
      </w:tr>
      <w:tr>
        <w:trPr>
          <w:trHeight w:val="210"/>
        </w:trPr>
        <w:tc>
          <w:tcPr>
            <w:tcW w:w="5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Borders>
              <w:top w:val="single" w:sz="8" w:color="auto"/>
            </w:tcBorders>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fixtures</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Shorter of the estimated useful life or lease term</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Power Buoy assets</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 years</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Leased WAM-V assets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Foreign Exchange Gains and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Transactions denominated in a foreign currency may result in realized and unrealized foreign exchange gains or losses from exchange rate fluctuations, which, if applicable, are included in “Foreign exchange gain” in the accompanying Consolidated Statements of Operations.</w:t>
      </w:r>
    </w:p>
    <w:p>
      <w:pPr>
        <w:sectPr>
          <w:pgSz w:w="11900" w:h="16838" w:orient="portrait"/>
          <w:cols w:equalWidth="0" w:num="1">
            <w:col w:w="11240"/>
          </w:cols>
          <w:pgMar w:left="320" w:top="229"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trade accounts receivable and cash equivalents. The Company believes that its credit risk is limited because the Company’s current contracts are with entities with a reliable payment history. The Company invests its excess cash in a money market fund and does not believe that it is exposed to any significant risks related to its cash accounts or money market funds.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July 31, 2025 and 2024, the Company had four and two customers, respectively, whose revenues accounted for at least 10% of the Company’s consolidated revenues. These revenues accounted for approximately 89% and 84% of the Company’s total revenues for the respective periods.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July 31, 2025 and 2024, the Company had five and three customers, respectively, whose total receivable balance accounted for at least 10% of the Company’s consolidated receivables. These receivables accounted for approximately 79% and 76% of the Company’s total revenues for the respective periods.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July 31, 2025, one commercial customer represented about 24% of our accounts receivable balance. As part of that contract, we granted extended payment terms that are not typical for the Company, which increases our credit exposure. We continue to monitor this receivable closely, and while we have not recorded an allowance because we believe collectability is probable, we acknowledge that these terms carry additional risk if the customer’s financial condition changes.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three months ended July 31, 2025 and 2024 was approximately $2.4 million and $0.3 million, respectively. The Company’s policy is to account for forfeitures of share-based compensation as they occur.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upon vesting of Restricted Stock Units (“RSU”) that were granted to an employee, the employee is given the option to either pay the taxes themselves, or have enough shares of their RSU award withheld by the Company to cover the taxes incurred by the employee. In the event the employee elects to surrender shares to cover the tax implication, the Company maintains those shares in the Company’s treasury stock account. Shares held in the Company’s treasury stock account are not available for future RSU grants.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Revenue Recognition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Estimates of variable consideration and determination of whether to include such amounts in the transaction price are based largely on the assessment of legal enforceability, performance, and any other information (historical, current, and forecasted) that is reasonably available to us. There was no variable consideration as of April 30, 2025 or 2024. The Company presents shipping and handling costs, that occur after control of the promised goods or services transfer to the customer, as fulfillment costs in costs of goods sold and regular shipping and handling activities charged to operating expenses.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(e.g., upon shipment, upon delivery, as services are rendered, or upon completion of service), including when performance obligations are satisfied in a bill-and-hold arrangement.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three month period ended July 31, 2025, the Company recognized approximately $1.0 million in revenue related to performance obligations satisfied at a point in time and approximately $0.2 million in revenue related to performance obligations satisfied over time. During the three month period ended July 31, 2024, the Company recognized approximately $1.2 million in revenue related to performance obligations satisfied at a point in time and approximately $0.1 million in revenue related to performance obligations satisfied over time.</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contracts are either cost-plus contracts, fixed-price contracts, time and material agreements, lease or service agreements. Under cost plus contracts, customers are billed for actual expenses incurred plus an agreed-upon fee.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agreed-upon amount. Under cost-sharing contracts, the fixed amount agreed upon with the customer is only intended to fund a portion of the costs on a specific project. Under cost-sharing contracts, an amount corresponding to the revenue is recorded in cost of revenue, resulting in gross profit on these contracts of zero. The Company reports its disaggregation of revenue by contract type since this method best represents the Company’s business. For each of the three month periods ended July 31, 2025 and 2024, the majority of the Company’s contracts were classified as firm fixed-price and the remainder were cost-sharing.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contract-related balances.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revenue also includes revenue from certain contracts which do not fall within the scope of ASC 606, but under the scope of ASC 842, “Leases”. At inception of a contract for those classified under ASC 842, the Company classifies leases as either operating or financing in accordance with the authoritative accounting guidance contained within ASC 842. If the direct financing or sales-type classification criteria are met, then the lease is accounted for as a finance lease. All others are treated as operating leases. The Company recognizes revenue from operating lease arrangements generally on a straight-line basis over the lease term, or as agreed upon in-use days are utilized, which is presented in Revenues in the Consolidated Statement of Operations. The Company also enters into lease arrangements for its PowerBuoys® and Wave Adaptive Modular Vessels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Existing customers are subject to ongoing credit evaluations based on payment history and other factors. If it is determined that collectability of any portion of the contract value is not probable, an analysis of variable consideration will be performed using either the most likely amount or expected value method to determine the amount of revenue that must be constrained until the scenario causing the variability has been resolved.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to record taxes collected from customers on a net basis and does not include tax amounts in revenue or costs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represents the total revenue recognized under ASC 606 and ASC 842 for the three months ended July 31, 2025 and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60" w:type="dxa"/>
            <w:vAlign w:val="bottom"/>
            <w:tcBorders>
              <w:right w:val="single" w:sz="8" w:color="auto"/>
            </w:tcBorders>
            <w:gridSpan w:val="9"/>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July 31, 2025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gridSpan w:val="9"/>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July 31, 2024</w:t>
            </w:r>
          </w:p>
        </w:tc>
      </w:tr>
      <w:tr>
        <w:trPr>
          <w:trHeight w:val="223"/>
        </w:trPr>
        <w:tc>
          <w:tcPr>
            <w:tcW w:w="40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ASC 606</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ASC 842</w:t>
            </w: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ASC 606</w:t>
            </w: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ASC 842</w:t>
            </w: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 thousands)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 thousands)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WAM-V</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Buoy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North and South America</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Asia and Australia</w:t>
            </w: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Net Loss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and diluted net loss per common share for all periods presented is computed by dividing net loss by the weighted average number of shares of common stock and common stock equivalents outstanding during the period. Due to the Company’s net losses, potentially dilutive securities, consisting of options to purchase shares of common stock, and unvested RSUs issued to employees and non-employee directors, were excluded from the diluted loss per share calculation due to their anti-dilutive effect.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computing diluted net loss per common share on the Consolidated Statement of Operations, options to purchase shares of common stock and unvested RSUs issued to employees and non-employee directors, totaling 22,285,129 and 6,259,956 for the three months ended July 31, 2025 and 2024, respectively, were excluded from each of the computations as the effect would have been anti-dilutive due to the net loss for the periods. Share purchase rights, which include a contingency, are not included in the calculation until the contingency is resolved.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Intangibles,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acquired in a business combination are recognized separately from goodwill and are initially recognized at their fair value at the acquisition date (which is regarded as their cost). Intangible assets, including patents, are amortized over the estimated useful life of the asset on a basis that approximates the pattern of economic benefit. The patents, trade name and customer relationship intangibles are being amortized over 20, 12 and 10 years respectively, which is consistent with the estimated pattern of economic benefit of the assets. The trademark is not subject to amortization.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are reviewed for impairment if indicators of potential impairment exist. There were no indications of potential impairment of intangible assets for either the three months ended July 31, 2025 or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Goodwill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is assessed for impairment using a qualitative or quantitative approach. The Company performs an annual impairment test of goodwill and further periodic tests to the extent indicators of impairment develop between annual impairment tests. Management performed its annual qualitative assessment in fiscal year 2025 and determined that it is more likely than not that no goodwill impairment existed as of April 30, 2025. There were no indications of potential impairment of goodwill identified for the three months ended July 31, 2025 and 2024. When the Company uses a qualitative analysis, it considers factors that include historical financial performance, macroeconomic and industry conditions, and the legal and regulatory environment. If the qualitative assessment indicates that it is more likely than not that an impairment exists, then a quantitative assessment is also performed. The quantitative assessment requires an analysis of several estimates including future cash flows or income consistent with management’s strategic business plans, annual revenue growth rates and the selection of assumptions underlying a discount rate (weighted average cost of capital) based on market data available at the time to determine the fair value of the Company. If the fair value is less than the carrying amounts, an impairment charge for the difference is recorded.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 Refer to Note 15 for additional disclosure.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monetize their attributes, the Company has historically sold the Net Operating Losses (NOL’s) generated in New Jersey. The Company has elected to recognize the gain on the sale as a component of tax expense at the time of the sale. Prior to the time of sale, the Company has elected to not factor the expected sales when assessing the realizability of the related deferred tax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Accumulated Other Comprehensive Loss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Shareholders’ Equity. For each of the three months ended July 31, 2025 and 2024, there were no amounts recorded to other comprehensive loss due to limited foreign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Warranty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include a right of return on its products other than rights related to standard warranty provisions that permit repair or replacement of defective goods. Warranty expense incurred to date has not been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Product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related to product development activities by the Company are expensed as incurred. The Company had approximately $0.6 million and $0.5 million in product development expense for the three months ended July 31, 2025 and 2024,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Derivative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statement of operations each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Recently Issued Accounting Standards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interim period ended July 31, 2025, the following FASB issued Accounting Standards Updates (ASUs) that may be relevant to the Company’s operations and financial reporting. We are currently evaluating the potential impact of these ASUs and adopting them when applicable based on their effective 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which improves the transparency of income tax disclosures by requiring companies to</w:t>
      </w:r>
    </w:p>
    <w:p>
      <w:pPr>
        <w:jc w:val="both"/>
        <w:ind w:firstLine="8"/>
        <w:spacing w:after="0" w:line="253"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We are currently evaluating the impact of adopting this ASU 2023-09 on our consolidated financial statements and disclosures for the annual period ending April 30, 2026.</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2024-3, “Income Statement - Reporting Comprehensive Income - Expense Disaggregation Disclosures (Subtopic 220-40): Disaggregation of Income Statement Expenses.” This ASU improves the disclosures about a public business entity’s expenses and addresses requests from investors for more detailed information about the types of expenses in commonly presented expense captions. The new guidance is effective for fiscal years beginning after December 15, 2026, and interim periods within fiscal years beginning after December 15, 2027. Early adoption is permitted. We are currently evaluating what the potential impact of adopting this ASU 2024-03 could have on our consolidated financial statements and disclosures</w:t>
      </w:r>
    </w:p>
    <w:p>
      <w:pPr>
        <w:spacing w:after="0" w:line="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July 2025, the FASB issued Accounting Standards Update 2025-05, Financial Instruments – 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We are currently evaluating the potential impact of adopting ASU 2025-05 on our consolidated financial statements and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 Contract Assets and Contract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provides further details on the balance sheet accounts of accounts receivable, contract assets and contract liabilities from contracts with customers: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July 31, 2025</w:t>
            </w:r>
          </w:p>
        </w:tc>
        <w:tc>
          <w:tcPr>
            <w:tcW w:w="380" w:type="dxa"/>
            <w:vAlign w:val="bottom"/>
          </w:tcPr>
          <w:p>
            <w:pPr>
              <w:spacing w:after="0"/>
              <w:rPr>
                <w:sz w:val="20"/>
                <w:szCs w:val="20"/>
                <w:color w:val="auto"/>
              </w:rPr>
            </w:pP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36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10"/>
        </w:trPr>
        <w:tc>
          <w:tcPr>
            <w:tcW w:w="5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2,207</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1,191</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555</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1,088</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135</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432"/>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w w:val="99"/>
              </w:rPr>
              <w:t>13</w:t>
            </w: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include unbilled amounts typically resulting from arrangements whereby the right to payment is conditional on completing additional tasks or services for a performance obligation. The decrease in contract assets from year end is primarily a result of being able to contractually bill on active projects for which revenue was recognized in the prior period but was not yet been billed as of the beginning of the period. No impairments to contract assets were incurred during the three months ended July 31, 2025 and 2024.</w:t>
      </w:r>
    </w:p>
    <w:p>
      <w:pPr>
        <w:sectPr>
          <w:pgSz w:w="11900" w:h="16838" w:orient="portrait"/>
          <w:cols w:equalWidth="0" w:num="1">
            <w:col w:w="11240"/>
          </w:cols>
          <w:pgMar w:left="320" w:top="229"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the contract assets balances during the period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60"/>
        <w:spacing w:after="0" w:line="261" w:lineRule="auto"/>
        <w:rPr>
          <w:sz w:val="20"/>
          <w:szCs w:val="20"/>
          <w:color w:val="auto"/>
        </w:rPr>
      </w:pPr>
      <w:r>
        <w:rPr>
          <w:rFonts w:ascii="Times New Roman" w:cs="Times New Roman" w:eastAsia="Times New Roman" w:hAnsi="Times New Roman"/>
          <w:sz w:val="18"/>
          <w:szCs w:val="18"/>
          <w:color w:val="auto"/>
        </w:rPr>
        <w:t>Transferred to receivables from contract assets recognized Revenue recognized and not billed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change in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July 31, 2025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July 31, 2024</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20" w:type="dxa"/>
            <w:vAlign w:val="bottom"/>
            <w:tcBorders>
              <w:top w:val="single" w:sz="8" w:color="auto"/>
            </w:tcBorders>
            <w:gridSpan w:val="5"/>
          </w:tcPr>
          <w:p>
            <w:pPr>
              <w:jc w:val="right"/>
              <w:ind w:right="1470"/>
              <w:spacing w:after="0" w:line="191" w:lineRule="exact"/>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gridSpan w:val="2"/>
          </w:tcPr>
          <w:p>
            <w:pPr>
              <w:spacing w:after="0"/>
              <w:rPr>
                <w:sz w:val="16"/>
                <w:szCs w:val="16"/>
                <w:color w:val="auto"/>
              </w:rPr>
            </w:pPr>
          </w:p>
        </w:tc>
      </w:tr>
      <w:tr>
        <w:trPr>
          <w:trHeight w:val="229"/>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(644)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563</w:t>
            </w: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260" w:space="720"/>
            <w:col w:w="4260"/>
          </w:cols>
          <w:pgMar w:left="320" w:top="229" w:right="339" w:bottom="1440" w:gutter="0" w:footer="0" w:header="0"/>
          <w:type w:val="continuous"/>
        </w:sectPr>
      </w:pPr>
    </w:p>
    <w:p>
      <w:pPr>
        <w:spacing w:after="0" w:line="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Contract liabilities consist of amounts invoiced to customers in excess of revenue recognized. The increase in contract liabilities from year end is primarily due to collecting payments for jobs we cannot contractually recognize revenue on the current year.</w:t>
      </w:r>
    </w:p>
    <w:p>
      <w:pPr>
        <w:sectPr>
          <w:pgSz w:w="11900" w:h="16838" w:orient="portrait"/>
          <w:cols w:equalWidth="0" w:num="1">
            <w:col w:w="11240"/>
          </w:cols>
          <w:pgMar w:left="320" w:top="229" w:right="3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the contract liabilities balances during the period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collected for which revenue has not been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July 31, 2025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July 31, 2024</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20" w:type="dxa"/>
            <w:vAlign w:val="bottom"/>
            <w:tcBorders>
              <w:top w:val="single" w:sz="8" w:color="auto"/>
            </w:tcBorders>
            <w:gridSpan w:val="5"/>
          </w:tcPr>
          <w:p>
            <w:pPr>
              <w:jc w:val="right"/>
              <w:ind w:right="1470"/>
              <w:spacing w:after="0" w:line="191" w:lineRule="exact"/>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gridSpan w:val="2"/>
          </w:tcPr>
          <w:p>
            <w:pPr>
              <w:spacing w:after="0"/>
              <w:rPr>
                <w:sz w:val="16"/>
                <w:szCs w:val="16"/>
                <w:color w:val="auto"/>
              </w:rPr>
            </w:pPr>
          </w:p>
        </w:tc>
      </w:tr>
      <w:tr>
        <w:trPr>
          <w:trHeight w:val="229"/>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689</w:t>
            </w: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6260" w:space="720"/>
            <w:col w:w="4260"/>
          </w:cols>
          <w:pgMar w:left="320" w:top="229"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holds inventory related to the production of its WAM-V® and PowerBuoy® products.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31, 2025</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2025</w:t>
            </w:r>
          </w:p>
        </w:tc>
      </w:tr>
      <w:tr>
        <w:trPr>
          <w:trHeight w:val="210"/>
        </w:trPr>
        <w:tc>
          <w:tcPr>
            <w:tcW w:w="4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340" w:type="dxa"/>
            <w:vAlign w:val="bottom"/>
            <w:gridSpan w:val="2"/>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4,202</w:t>
            </w: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3,586</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r>
      <w:tr>
        <w:trPr>
          <w:trHeight w:val="23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28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84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4,865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raw materials balance represents the majority of the inventory as the Company orders parts in quantity to fill orders. Work in process and finished products typically represent smaller portions of inventory as the Company does not historically hold finished products with the exception of assets transitioning to the lease fleet. The Company typically ships finished products as they are completed.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Other Current Assets</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 at July 31, 2025 and April 30, 2025:</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31, 2025</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2025</w:t>
            </w:r>
          </w:p>
        </w:tc>
      </w:tr>
      <w:tr>
        <w:trPr>
          <w:trHeight w:val="209"/>
        </w:trPr>
        <w:tc>
          <w:tcPr>
            <w:tcW w:w="12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000" w:type="dxa"/>
            <w:vAlign w:val="bottom"/>
            <w:gridSpan w:val="2"/>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w:t>
            </w: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 &amp; licenses</w:t>
            </w: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sales &amp; marketing</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project costs</w:t>
            </w: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r>
      <w:tr>
        <w:trPr>
          <w:trHeight w:val="229"/>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property and equipment, net as of July 31, 2025 and April 30, 2025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July 31, 2025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30, 2025</w:t>
            </w:r>
          </w:p>
        </w:tc>
      </w:tr>
      <w:tr>
        <w:trPr>
          <w:trHeight w:val="209"/>
        </w:trPr>
        <w:tc>
          <w:tcPr>
            <w:tcW w:w="4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5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2,088</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1,569</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equipment</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WAM-V’s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1,735</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Leased Buoys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w:t>
            </w:r>
          </w:p>
        </w:tc>
      </w:tr>
      <w:tr>
        <w:trPr>
          <w:trHeight w:val="210"/>
        </w:trPr>
        <w:tc>
          <w:tcPr>
            <w:tcW w:w="46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(2,537)</w:t>
            </w:r>
          </w:p>
        </w:tc>
      </w:tr>
      <w:tr>
        <w:trPr>
          <w:trHeight w:val="223"/>
        </w:trPr>
        <w:tc>
          <w:tcPr>
            <w:tcW w:w="4680" w:type="dxa"/>
            <w:vAlign w:val="bottom"/>
            <w:tcBorders>
              <w:top w:val="single" w:sz="8" w:color="CCEEFF"/>
              <w:bottom w:val="single" w:sz="8" w:color="CCEEFF"/>
            </w:tcBorders>
            <w:shd w:val="clear" w:color="auto" w:fill="CCEEFF"/>
          </w:tcPr>
          <w:p>
            <w:pPr>
              <w:spacing w:after="0"/>
              <w:rPr>
                <w:sz w:val="19"/>
                <w:szCs w:val="19"/>
                <w:color w:val="auto"/>
              </w:rPr>
            </w:pP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Leased WAM-V’s and buoys represent fixed assets that are associated with underlying operating leases with customers or for customer demonstration as discussed in the revenue recognition section related to ASC 842.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approximately $194,000 and $204,000 for the three-month periods ended July 31, 2025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net as of July 31, 2025 and April 30, 2025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July 31, 2025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30, 2025</w:t>
            </w:r>
          </w:p>
        </w:tc>
      </w:tr>
      <w:tr>
        <w:trPr>
          <w:trHeight w:val="209"/>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8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2,729</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2,729</w:t>
            </w: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2,769</w:t>
            </w:r>
          </w:p>
        </w:tc>
      </w:tr>
      <w:tr>
        <w:trPr>
          <w:trHeight w:val="210"/>
        </w:trPr>
        <w:tc>
          <w:tcPr>
            <w:tcW w:w="44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(2,008)</w:t>
            </w:r>
          </w:p>
        </w:tc>
      </w:tr>
      <w:tr>
        <w:trPr>
          <w:trHeight w:val="223"/>
        </w:trPr>
        <w:tc>
          <w:tcPr>
            <w:tcW w:w="4460" w:type="dxa"/>
            <w:vAlign w:val="bottom"/>
            <w:tcBorders>
              <w:top w:val="single" w:sz="8" w:color="CCEEFF"/>
              <w:bottom w:val="single" w:sz="8" w:color="CCEEFF"/>
            </w:tcBorders>
            <w:shd w:val="clear" w:color="auto" w:fill="CCEEFF"/>
          </w:tcPr>
          <w:p>
            <w:pPr>
              <w:spacing w:after="0"/>
              <w:rPr>
                <w:sz w:val="19"/>
                <w:szCs w:val="19"/>
                <w:color w:val="auto"/>
              </w:rPr>
            </w:pP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approximately $34,000 and $33,000 for the three-month periods ended July 31, 2025 and 2024,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in the amount of $8.5 million was recognized in November 2021 related to the acquisition of MAR. There have been no additions to, or any impairment of, goodwill during the three-month periods ended July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Information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July 31, 2025 and April 30, 2025, the Company had three WAM-V’s leased to customers which have been classified as operating leases per accounting guidance contained within ASC Topic 842, “Leases”, respectively. The remaining term on these operating leases is less than 2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Information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Right-of-use assets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The Company’s operating leases consist of leases for office facilities and warehouse space. Lease expense for minimum lease payments is recognized on a straight- line basis over the lease term and consists of interest on the lease liability and the amortization of the right of use asset.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lease for its facility located in Monroe Township, New Jersey that is used as warehouse/production space and the Company’s principal offices and corporate headquarters. In February 2024, the Company extended the lease for its main headquarters in Monroe, NJ to April 30, 2026 and it was executed and recorded as an additional right of use asset and liability. The lease is classified as an operating lease and is included in right-of-use assets, right-of-use liabilities – current, and right-of-use liabilities- long-term on the Company’s Consolidated Balance Sheets.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a lease for office space located in Richmond, California. This lease commenced in April of 2023 and will continue for 62 months. The lease is classified as an operating lease and is included in right-of-use assets, right-of-use liabilities- current and right-of-use liabilities- long-term on the Company’s Consolidated Balance Sheets.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a lease for warehouse space located in Richmond, California. The lease commenced in June of 2025 and will continue for 24 months. The lease is classified as an operating lease and is included in right-of-use assets, right-of-use liabilities- current and right-of-use liabilities- long-term on the Company’s Consolidated Balance Sheets.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Variable lease expenses, if any, are recorded as incurred. The operating lease cash flow payments for the three months ended July 31, 2025 and 2024 were $267,000 and $269,000,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which are included in our operating expenses in the Consolidated Statement of Operations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2025 and 2024 were as follows: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1"/>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60" w:type="dxa"/>
            <w:vAlign w:val="bottom"/>
            <w:gridSpan w:val="4"/>
          </w:tcPr>
          <w:p>
            <w:pPr>
              <w:jc w:val="right"/>
              <w:ind w:right="116"/>
              <w:spacing w:after="0" w:line="191" w:lineRule="exact"/>
              <w:rPr>
                <w:sz w:val="20"/>
                <w:szCs w:val="20"/>
                <w:color w:val="auto"/>
              </w:rPr>
            </w:pPr>
            <w:r>
              <w:rPr>
                <w:rFonts w:ascii="Times New Roman" w:cs="Times New Roman" w:eastAsia="Times New Roman" w:hAnsi="Times New Roman"/>
                <w:sz w:val="18"/>
                <w:szCs w:val="18"/>
                <w:color w:val="auto"/>
              </w:rPr>
              <w:t>(in thousands)</w:t>
            </w:r>
          </w:p>
        </w:tc>
        <w:tc>
          <w:tcPr>
            <w:tcW w:w="1360" w:type="dxa"/>
            <w:vAlign w:val="bottom"/>
          </w:tcPr>
          <w:p>
            <w:pPr>
              <w:spacing w:after="0"/>
              <w:rPr>
                <w:sz w:val="16"/>
                <w:szCs w:val="16"/>
                <w:color w:val="auto"/>
              </w:rPr>
            </w:pPr>
          </w:p>
        </w:tc>
      </w:tr>
      <w:tr>
        <w:trPr>
          <w:trHeight w:val="229"/>
        </w:trPr>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56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-462280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-179070</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260" w:space="720"/>
            <w:col w:w="42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Information related to the Company’s right-of use assets and lease liabilities as of July 31, 2025 was as follows:</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11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July 31, 2025</w:t>
            </w:r>
          </w:p>
        </w:tc>
      </w:tr>
      <w:tr>
        <w:trPr>
          <w:trHeight w:val="210"/>
        </w:trPr>
        <w:tc>
          <w:tcPr>
            <w:tcW w:w="11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18"/>
                <w:szCs w:val="18"/>
                <w:color w:val="auto"/>
              </w:rPr>
            </w:pPr>
          </w:p>
        </w:tc>
      </w:tr>
      <w:tr>
        <w:trPr>
          <w:trHeight w:val="175"/>
        </w:trPr>
        <w:tc>
          <w:tcPr>
            <w:tcW w:w="8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Operating lease:</w:t>
            </w: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8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1,388</w:t>
            </w:r>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7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8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Right-of-use liabilities- current</w:t>
            </w:r>
          </w:p>
        </w:tc>
        <w:tc>
          <w:tcPr>
            <w:tcW w:w="8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981</w:t>
            </w:r>
          </w:p>
        </w:tc>
      </w:tr>
      <w:tr>
        <w:trPr>
          <w:trHeight w:val="229"/>
        </w:trPr>
        <w:tc>
          <w:tcPr>
            <w:tcW w:w="8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liabilities- long term</w:t>
            </w: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w:t>
            </w:r>
          </w:p>
        </w:tc>
      </w:tr>
      <w:tr>
        <w:trPr>
          <w:trHeight w:val="263"/>
        </w:trPr>
        <w:tc>
          <w:tcPr>
            <w:tcW w:w="8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5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60" w:type="dxa"/>
            <w:vAlign w:val="bottom"/>
            <w:tcBorders>
              <w:bottom w:val="single" w:sz="8" w:color="CCEEFF"/>
            </w:tcBorders>
          </w:tcPr>
          <w:p>
            <w:pPr>
              <w:spacing w:after="0"/>
              <w:rPr>
                <w:sz w:val="22"/>
                <w:szCs w:val="22"/>
                <w:color w:val="auto"/>
              </w:rPr>
            </w:pPr>
          </w:p>
        </w:tc>
      </w:tr>
      <w:tr>
        <w:trPr>
          <w:trHeight w:val="197"/>
        </w:trPr>
        <w:tc>
          <w:tcPr>
            <w:tcW w:w="1180" w:type="dxa"/>
            <w:vAlign w:val="bottom"/>
            <w:shd w:val="clear" w:color="auto" w:fill="CCEEFF"/>
          </w:tcPr>
          <w:p>
            <w:pPr>
              <w:spacing w:after="0"/>
              <w:rPr>
                <w:sz w:val="17"/>
                <w:szCs w:val="17"/>
                <w:color w:val="auto"/>
              </w:rPr>
            </w:pPr>
          </w:p>
        </w:tc>
        <w:tc>
          <w:tcPr>
            <w:tcW w:w="7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 operating leases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 years</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 operating leases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bl>
    <w:p>
      <w:pPr>
        <w:spacing w:after="0" w:line="198" w:lineRule="exact"/>
        <w:rPr>
          <w:sz w:val="20"/>
          <w:szCs w:val="20"/>
          <w:color w:val="auto"/>
        </w:rPr>
      </w:pPr>
    </w:p>
    <w:p>
      <w:pPr>
        <w:sectPr>
          <w:pgSz w:w="11900" w:h="16838" w:orient="portrait"/>
          <w:cols w:equalWidth="0" w:num="1">
            <w:col w:w="1124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remaining lease payments under the Company’s operating leases are as follows:</w:t>
            </w: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July 31, 2025</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2026</w:t>
            </w: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6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at July 31, 2025 and April 30, 2025:</w:t>
            </w: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31, 2025</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April 30, 2025</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incentive payments</w:t>
            </w:r>
          </w:p>
        </w:tc>
        <w:tc>
          <w:tcPr>
            <w:tcW w:w="1900" w:type="dxa"/>
            <w:vAlign w:val="bottom"/>
            <w:gridSpan w:val="2"/>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salary and benefits</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project costs</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53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1,293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2015, upon approval by the Company’s shareholders, the Company’s 2015 Omnibus Incentive Plan (the “2015 Plan”) became effective. A total of 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Most recently in January 2025, the shareholders approved an amendment and restatement of the 2015 Plan to, among other things, provide an aggregate increase to the 2015 Plan of 20,000,000 shares resulting in total shares authorized for issuance of 27,282,036 as of July 31, 2025, based on 7,282,036 available before the amendment. The 2015 Plan will now terminate in January 2035, but is subject to earlier termination as provided in the 2015 Plan.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711(a) of the NYSE American Company Guide. On February 9, 2022, the 2018 Inducement Plan was amended to increase the authorized shares by 250,000 to 275,000. On June 3, 2025, the 2018 Inducement Plan was further amended to increase the authorized shares by 715,000 to 990,000.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estimates the fair value of each stock option award granted with service-based vesting requirements, using the Black-Scholes option pricing model, assuming no dividends, and using weighted average valuation assumptions. The risk-free rate is based on the U.S. Treasury yield curve in effect at the time of the grant commensurate with the expected life of the award. The expected life (estimated period of time outstanding) of the stock options granted was estimated using the “simplified” method as permitted by the SEC’s Staff Accounting Bulletin No. 110,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Expected volatility is based on the Company’s historical volatility over the expected life of the stock option granted. The Company did not grant any stock options during the three months ended July 31, 2025 and 2024,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options under the stock incentive plans is detailed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0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2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Underlying Options</w:t>
            </w:r>
          </w:p>
        </w:tc>
        <w:tc>
          <w:tcPr>
            <w:tcW w:w="120" w:type="dxa"/>
            <w:vAlign w:val="bottom"/>
          </w:tcPr>
          <w:p>
            <w:pPr>
              <w:spacing w:after="0"/>
              <w:rPr>
                <w:sz w:val="20"/>
                <w:szCs w:val="20"/>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April 30, 2025</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483,342</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July 31, 2025</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483,342</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July 31, 2025</w:t>
            </w: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425,440</w:t>
            </w:r>
          </w:p>
        </w:tc>
        <w:tc>
          <w:tcPr>
            <w:tcW w:w="3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2.85</w:t>
            </w:r>
          </w:p>
        </w:tc>
        <w:tc>
          <w:tcPr>
            <w:tcW w:w="320" w:type="dxa"/>
            <w:vAlign w:val="bottom"/>
            <w:vMerge w:val="continue"/>
          </w:tcPr>
          <w:p>
            <w:pPr>
              <w:spacing w:after="0"/>
              <w:rPr>
                <w:sz w:val="17"/>
                <w:szCs w:val="17"/>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July 31, 2025, the total intrinsic value of outstanding and exercisable options was approximately zero. As of July 31, 2025, approximately 58,000 options were unvested, which had an intrinsic value of zero and a weighted average remaining contractual term of 7.5 years. There was approximately $9,000 and $19,000 of total recognized compensation cost related to stock options during each of the three months ended July 31, 2025 and 2024, respectively. As of July 31, 2025, there was approximately $17,000 of total unrecognized compensation cost related to non-vested stock options granted under the plans. This cost is expected to be recognized over a weighted-average period of 0.5 years.</w:t>
      </w:r>
    </w:p>
    <w:p>
      <w:pPr>
        <w:sectPr>
          <w:pgSz w:w="11900" w:h="16838" w:orient="portrait"/>
          <w:cols w:equalWidth="0" w:num="1">
            <w:col w:w="11240"/>
          </w:cols>
          <w:pgMar w:left="320" w:top="216" w:right="339" w:bottom="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performance stock units (“PSUs”) under our Stock Incentive Plans is detailed in the following table.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April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 and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July 31, 2025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38"/>
        </w:trPr>
        <w:tc>
          <w:tcPr>
            <w:tcW w:w="2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r>
      <w:tr>
        <w:trPr>
          <w:trHeight w:val="191"/>
        </w:trPr>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6"/>
                <w:szCs w:val="16"/>
                <w:color w:val="auto"/>
              </w:rPr>
            </w:pPr>
          </w:p>
        </w:tc>
      </w:tr>
      <w:tr>
        <w:trPr>
          <w:trHeight w:val="216"/>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0.56</w:t>
            </w:r>
          </w:p>
        </w:tc>
      </w:tr>
      <w:tr>
        <w:trPr>
          <w:trHeight w:val="230"/>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0.56</w:t>
            </w:r>
          </w:p>
        </w:tc>
        <w:tc>
          <w:tcPr>
            <w:tcW w:w="20" w:type="dxa"/>
            <w:vAlign w:val="bottom"/>
            <w:tcBorders>
              <w:bottom w:val="single" w:sz="8" w:color="auto"/>
            </w:tcBorders>
          </w:tcPr>
          <w:p>
            <w:pPr>
              <w:spacing w:after="0"/>
              <w:rPr>
                <w:sz w:val="19"/>
                <w:szCs w:val="19"/>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-744855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-462280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-179070</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260" w:space="720"/>
            <w:col w:w="4260"/>
          </w:cols>
          <w:pgMar w:left="320" w:top="229"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approximately $8,000 and zero of total recognized compensation cost related to PSUs for the three months ended July 31, 2025 and 2024, respectively. As of July 31, 2025, there was approximately $75,000 of unrecognized compensation cost remaining related to unvested PSUs. This cost is expected to be recognized over a weighted-average period of 1.4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for RSUs is generally recorded based on the market value on the date of grant and recognized ratably over the associated service and performance period. During the three months ended July 31, 2025 and 2024, the Company granted 521,000 and zero shares, respectively, that were subject to both service-based and market-based vesting requirements.</w:t>
      </w:r>
    </w:p>
    <w:p>
      <w:pPr>
        <w:sectPr>
          <w:pgSz w:w="11900" w:h="16838" w:orient="portrait"/>
          <w:cols w:equalWidth="0" w:num="1">
            <w:col w:w="11240"/>
          </w:cols>
          <w:pgMar w:left="320" w:top="229" w:right="3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unvested RSU’s under the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 and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July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38"/>
        </w:trPr>
        <w:tc>
          <w:tcPr>
            <w:tcW w:w="2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r>
      <w:tr>
        <w:trPr>
          <w:trHeight w:val="191"/>
        </w:trPr>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22.461,633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0.79</w:t>
            </w:r>
          </w:p>
        </w:tc>
        <w:tc>
          <w:tcPr>
            <w:tcW w:w="20" w:type="dxa"/>
            <w:vAlign w:val="bottom"/>
          </w:tcPr>
          <w:p>
            <w:pPr>
              <w:spacing w:after="0"/>
              <w:rPr>
                <w:sz w:val="16"/>
                <w:szCs w:val="16"/>
                <w:color w:val="auto"/>
              </w:rPr>
            </w:pPr>
          </w:p>
        </w:tc>
      </w:tr>
      <w:tr>
        <w:trPr>
          <w:trHeight w:val="216"/>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520,870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0.56</w:t>
            </w:r>
          </w:p>
        </w:tc>
      </w:tr>
      <w:tr>
        <w:trPr>
          <w:trHeight w:val="216"/>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(1,330,716)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0.76</w:t>
            </w:r>
          </w:p>
        </w:tc>
      </w:tr>
      <w:tr>
        <w:trPr>
          <w:trHeight w:val="223"/>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21,651,787</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0.79</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260" w:space="720"/>
            <w:col w:w="4260"/>
          </w:cols>
          <w:pgMar w:left="320" w:top="229"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approximately $2,382,000 and $240,000 of total recognized compensation cost related to RSUs for the three months ended July 31, 2025 and 2024, respectively. As of July 31, 2025, there was approximately $10,524,000 of unrecognized compensation cost remaining related to unvested RSUs. This cost is expected to be recognized over a weighted-average period of 1.4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Unadjusted quoted prices in active markets for identical assets or liabilities that the Company has the ability to access at the measurement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Inputs other than quoted prices in active markets that are observable for the asset or liability, either directly or indirectly.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that are unobservable for the asset or liability.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Fair Values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are not re-measured at fair value include cash, cash equivalents, restricted cash, accounts receivable, other assets, contract assets and liabilities, deposits, accounts payable, and accrued expenses. The carrying value is equal to their fair value due to the short-term nature of these accounts.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sets forth the Company’s financial instruments that were measured at fair value on a recurring basis by level within the fair value hierarchy (amounts in thousands):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issuance</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Change due to conversion of notes</w:t>
            </w:r>
          </w:p>
        </w:tc>
        <w:tc>
          <w:tcPr>
            <w:tcW w:w="2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r>
      <w:tr>
        <w:trPr>
          <w:trHeight w:val="209"/>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July 31, 2025</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July 31, 2025</w:t>
            </w:r>
          </w:p>
        </w:tc>
        <w:tc>
          <w:tcPr>
            <w:tcW w:w="14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July 31, 2024</w:t>
            </w: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derivative liability related to our convertible notes (refer to Note 13 for further discussion) was determined using inputs including the Company’s common stock price, the volume-weighted average price of the Company’s common stock upon conversion, and the probability of conversion methodology based on historical experience and the likelihood of attaining certain common stock share price levels. There were no financial instruments that were measured at fair value on a recurring basis as of July 31, 2024. During the periods presented, the Company has not changed the manner in which it values assets and liabilities that are measured at fair value. Transfers into or out of any hierarchy level are recognized at the end of the reporting period in which the transfers occurred. There were no transfers between any hierarchy levels during either of the three and three months ended July 31, 2025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21, 2024, the Company entered into an At-the-Market Offering Agreement with an aggregate offering price of up to $7.0 million (the “2023 ATM Facility”). On August 30, 2024 the aggregate offering price under the 2023 ATM Facility was increased to approximately $16.0 million. It was then reduced to approximately $2.9 million in September 2024 and increased again to approximately $60.0 million in December 2024. As of April 30, 2025, the Company had received proceeds of approximately $17.7 million under this facility and an additional $0.3 million between April 30, 2025 and July 31, 2025. This agreement was terminated effective August 8, 2025.</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8, 2025, the Company entered into an At Market Issuance Sales Agreement with Ladenburg Thalmann &amp;Co. Inc., under which the Company may, from time to time, offer and sell shares of its common stock having an aggregate gross sales price of up to $40.0 million. The shares will be offered pursuant to the Company’s shelf registration statement on Form S-3, including the related prospectus supplement filed with the SEC on August 8,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if any, will be made in transactions deemed to be “at the market offerings” as defined in Rule 415(a)(4) under the Securities Act, directly on or through the NYSE American or in negotiated transactions as otherwise permitted under the Sales Agreement. The Company is not obligated to sell any shares under the Ladenburg sales agreement and may suspend or terminate the offering at any time.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shares were sold under the Ladenburg sales agreement during the three months ended July 31, 2025 and approximately $1.1 million has been raised through the date of this filing.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2025 Convertible Debt Issuance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2025 we issued $10.0 million in aggregate principal amount of convertible notes with a 24-month maturity to new institutional investors with net proceeds of $9.7 million. The notes are convertible into shares of our common stock under specific terms outlined in the Securities Purchase Agreement and Indenture. This financing was aimed at providing us with additional liquidity, supporting the commercialization of our systems, and advancing our autonomous maritime solutions. The convertible debt structure offers the potential for conversion into equity, which may result in dilution to existing shareholders upon conversion.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convertible debt has a conversion feature was determined to be an embedded derivative that requires bifurcation and separate accounting from the host instrument. At inception, the fair value of the derivative liability was approximately $699,000.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sale of additional equity under new facilities could result in dilution to our shareholders. If additional funds are raised through the issuance of debt securities or preferred stock, these securities could have rights senior to those associated with our common stock and could contain covenants that would restrict our operations. The Company cannot be certain that additional equity and/or debt financing will be available to the Company as needed on acceptable terms, or at all. If we are unable to obtain required financing when needed, we may be required to reduce the scope of our operations, including our planned incremental product development and marketing efforts, which could materially and adversely affect our financial condition and operating results. If we are unable to secure additional financing, we may be forced to cease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with Paragon Technologies, Inc.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10, 2023, Paragon Technologies, Inc. filed a complaint in the Court of Chancery of the State of Delaware against the Company, and the members of its Board of Directors, claiming certain breaches of their fiduciary duties. The complaint sought only injunctive relief against the Company, and not monetary damages, and therefore the financial exposure derived therein was limited to applicable legal fees and costs at that stage, which was material to FY’ 24. The hearing on the initial complaint was held and on November 30, 2023, the Court ruled in favor of the Company and denied Paragon’s motion for injunctive relief. On February 28, 2024, the Company successfully finalized its 2023 annual meeting of stockholders in spite of Paragon’s repeated attempts to contest the meeting. In an August 12, 2024 Press Release and its Form 10-Q report for the second quarter of 2024, Paragon announced that it was no longer pursuing litigation against the Company. Pursuant to a Court order dated January 9, 2025, Paragon was required “to file a status report within 30 days. Otherwise, the case will be dismissed under Rule 41(e).” Because Paragon did not file a status report by February 10, 2025, the Company anticipates that the Court will dismiss the case, with prejudice, due to Paragon’s failure to prosecute.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220 Demand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2025, the Company received a shareholder demand under Section 220 of the General Corporation Law of the State of Delaware for inspection of certain books and records relating to prior equity grants made to officers and directors under the 2015 Plan in January 2023, February 2024 and January 2025. The Company has provided the Plaintiff documents fully responsive to the Demand. The Company is reviewing and considering the demand and engaging with counsel for the shareholder but has not recorded any material liability for these matters as of July 31, 2025 or April 30, 2025 as it cannot estimate the ultimate outcome at this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Legal Matters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The guidance requires the Company to recognize in its consolidated financial statements the impact of a tax position if that position is more likely than not to be sustained upon examination, based on the technical merits of the position. The Company has no current or deferred tax due to current and projected losses for the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July 31, 2025 the Company had no uncertain tax positions. The Company does not expect any material increases or decreases in its income tax expense or benefit in the next twelve months, related to examinations or uncertain tax positions. Net operating losses and credit carryforwards since inception remain open to examination by taxing authorities and will continue to remain open for a period of time after utilization.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Preservation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2023, in order to protect the Company’s valuable tax assets related to its net operating losses from being limited or lost under Section 382 of the Internal Revenue Code, the Company adopted a Tax Benefits Preservation Plan (the “Plan”). Pursuant to the Plan, the Board declared a dividend of one preferred share purchase right (each, a “Right”) for each outstanding share of common stock of the Company. The dividend was distributed to stockholders of record as of the close of business on July 11, 2023. The Plan substantially diminishes the risk that the Company’s ability to utilize its net operating loss carryovers to reduce potential future federal income tax obligations may become substantially limited. The Plan is intended to act as a deterrent to any person or group acquiring beneficial ownership of 4.99% or more of the outstanding common stock without approval by potentially subjecting any such person or group to significant dilution. The Plan was approved by shareholders by a non-binding advisory vote at the Company’s Annual Meeting held on February 28, 2024.</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the grant date fair value of the Rights using an option-pricing model. The amount was immaterial to the consolidated financial statements and deemed to be de minimis, and accordingly was not recorded to the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the One Big Beautiful Act (“OBBBA”)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introducing various changes to U.S. federal income tax provisions, including modifications to bonus depreciation, interest expense limitations, research and development expense treatment, and international tax rules. Under Accounting Standards Codification (ASC) 740, the effects of changes in tax law are required to be recognized in the period that includes the enactment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evaluated the provisions of the OBBBA and determined that the enactment of the legislation did not have a material impact on its income tax provision, deferred tax assets or liabilities, or estimated annual effective tax rate for the quarter ended July 31, 2025. The Company will continue to monitor the potential future impacts of the OBBBA, including provisions that become effective in subsequent periods, and will reflect any material changes in its financial statements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Operating Segments and Geographic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(the “CODM”) is its Chief Executive Officer, who reviews financial information on a consolidated basis and utilizes net loss for purposes of making operating decisions, assessing financial performance of the consolidated Company, and making resource allocation decisions. The CODM also reviews total assets. While assets may move throughout the world to support our revenue projects, for reporting purposes they are included in North America total assets. Revenue and expenses are generally attributed to the operating unit that bills the customers.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and its significant segment expenses for the three months ended July 31, 2025 and 2024,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 month ended July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4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color w:val="auto"/>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12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1,182</w:t>
            </w:r>
          </w:p>
        </w:tc>
        <w:tc>
          <w:tcPr>
            <w:tcW w:w="142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 costs</w:t>
            </w: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Employee-related costs</w:t>
            </w:r>
          </w:p>
        </w:tc>
        <w:tc>
          <w:tcPr>
            <w:tcW w:w="1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2,285</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consulting and contractor fees</w:t>
            </w: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1,578</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costs</w:t>
            </w:r>
          </w:p>
        </w:tc>
        <w:tc>
          <w:tcPr>
            <w:tcW w:w="1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Facilities costs</w:t>
            </w: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2,399</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1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12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(7,388)</w:t>
            </w:r>
          </w:p>
        </w:tc>
        <w:tc>
          <w:tcPr>
            <w:tcW w:w="142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229" w:right="339" w:bottom="1028"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028"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revenue and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or incorporated by reference are largely based on our expectations, which reflect estimates and assumptions made by management. These estimates and assumptions reflect our best judgment based on currently known market conditions and other factors. Although we believe such estimates and assumptions to be reasonable, they are inherently uncertain and involve several risks and uncertainties that are beyond our control, including:</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market and commercialize our products, and achieve and sustain profitability;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improvement of our proprietary technologies, and expected continued use of cash from operating activities unless or until we achieve positive cash flow from the commercialization of our products and services;</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regarding Federal governmental tariffs, the implementation on the new US Department of Governmental Efficiency (“DOGE”) and related DOGE federal governmental budget cuts and the potential that this affects the demand for, or restrict the use of, our products and services;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our financial condition and our operating performance;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and other obligations under our convertible notes;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do business with properly qualified customers that have good credit ratings and pay their obligation on a timely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as a going concern;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short-term and possibly longer;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challenges and expenses associated with communications and disputes with activist shareholders, including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mitigate risks associated with our internal cyber security protocols and protection of the data we collect and distribute;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inflation related to the U.S. dollar on our business, operations, customers, suppliers, manufacturers, and personnel;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forecasts and estimates regarding future expenses, revenue, gross margin, cash flow and capital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competition in our targeted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our existing and future strategic partners which may not be successful;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and continuous improvement of our technology, products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more efficiently utilize the synergies available from our product 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markets across geographic boundaries;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with Federal government work which is complex due to various statutes and regulations applicable to doing business with the Federal government;</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doing business internationally which requires strict compliance with applicable statutes and regulations;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geopolitical world uncertainty, including tariffs, Russia’s invasion of Ukraine, the Israel/Palestine conflict and previous attacks on merchant ships in the Red Sea;</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that new foreign country tariffs may have on our ability (i) to source and procure necessary raw materials for the manufacture and provision of our products and services; and (ii) to deliver our products to such foreign countries;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including senior management, to achieve our business objectives;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consistent commercial profit margins.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2025,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is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2025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2024 refers to the year ended April 30, 2025). References to “we,” “us,” “our”, and “OPT” refer to Ocean Power Technologies, Inc. and its subsidiaries, as applicable.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Ocean Power Technologies, Inc. (“OPT,” “we,” “our,” or “the Company”) is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business description from that disclosed in our Annual Report on Form 10-K for the year ended April 30, 2025, filed with the SEC on July 24, 2025, except as noted below.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we issued convertible notes to institutional investors, and increased our backlog. In addition, subsequent to quarter end on August 8, 2025 we executed a new ATM offering agreement with Ladenburg Thalmann &amp; Co.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Technological Advancements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2025, OPT was awarded a new U.S. patent for its System and Method for Vehicle Charging, covering an autonomous offshore charging solution for electric and uncrewed surface vessels. This breakthrough allows vessels to safely find, dock, and recharge at sea without returning to port, removing a key barrier to persistent, long-duration maritime operations. The technology will integrate with OPT’s PowerBuoy® platform, enabling it to serve as both a power generation source and recharging hub for WAM-V® autonomous surface vehicles. The patent covers multiple innovations, including smart docking guidance, secure mooring, wired and wireless charging, and wave-powered energy generation. This strengthens OPT’s intellectual property portfolio and positions the Company to lead in delivering scalable, intelligent offshore infrastructure for defense, commercial, and scientific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July 31, 2025, the Company incurred a net loss of approximately $7.4 million and used cash in operations of approximately $5.6 million. 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technology development, scalability of technology and production, ability to attract and retain key personnel, concentration of customers and suppliers, pending or threatened litigation and deployment risks and integration of acquisitions.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cash on hand and forecasted operating results will provide sufficient liquidity to meet its obligation for at least the next 12 months. In the event operating results are not sufficient the Company will need to seek additional financing. There can be no assurance that the Company will be able to raise additional capital on favorable terms, or at all, if needed.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8, 2025, we entered into an At Market Issuance Sales Agreement (the “Sales Agreement”) with Ladenburg Thalmann &amp; Co. Inc. under which we may offer and sell, from time to time, shares of our common stock having an aggregate gross sales price of up to $40.0 million. As of the date of this filing, approximately $1.1 million has been raised under the Sales Agreement. We intend to use any net proceeds for general corporate purposes, including sales and marketing, product development, working capital, capital expenditures, repayment or refinancing of indebtedness, repurchases or redemptions of securities, and potential acquisitions.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facility replaced our prior ATM program, which was terminated effective August 8, 2025.</w:t>
      </w:r>
    </w:p>
    <w:p>
      <w:pPr>
        <w:sectPr>
          <w:pgSz w:w="11900" w:h="16838" w:orient="portrait"/>
          <w:cols w:equalWidth="0" w:num="1">
            <w:col w:w="11240"/>
          </w:cols>
          <w:pgMar w:left="320" w:top="229" w:right="339" w:bottom="285"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285"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2025, we issued $10.0 million aggregate principal amount of convertible notes with a 24-month maturity, receiving net proceeds of $9.7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convertible into shares of our common stock under specified terms, and conversion could result in dilution to existing shareholders.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July 31, 2025, backlog was $15.0 million, compared to $5.3 million at July 31, 2024. Backlog represents unfulfilled purchase orders and agreements with commercial and governmental customers. The Company expects to convert all current backlog within the next 12 to 36 months. The amount and timing of backlog conversion to revenue is subject to change.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existing cash, cash equivalents, and available capital under the ATM will be sufficient to meet our operating and capital requirements for at least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disclosed in our Annual Report on Form 10-K for the year ended April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interim period ended July 31, 2025, the following FASB issued Accounting Standards Updates (ASUs) that may be relevant to the Company’s operations and financial reporting. We are currently evaluating the potential impact of these ASUs and adopting them when applicable based on their effective 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which improves the transparency of income tax disclosures by requiring companies to</w:t>
      </w:r>
    </w:p>
    <w:p>
      <w:pPr>
        <w:jc w:val="both"/>
        <w:ind w:firstLine="8"/>
        <w:spacing w:after="0" w:line="253"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We are currently evaluating the impact of adopting this ASU 2023-09 on our consolidated financial statements and disclosures for the annual period ending April 30, 2026.</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2024-3, “Income Statement - Reporting Comprehensive Income - Expense Disaggregation Disclosures (Subtopic 220-40): Disaggregation of Income Statement Expenses.” This ASU improves the disclosures about a public business entity’s expenses and addresses requests from investors for more detailed information about the types of expenses in commonly presented expense captions. The new guidance is effective for fiscal years beginning after December 15, 2026, and interim periods within fiscal years beginning after December 15, 2027. Early adoption is permitted. We are currently evaluating what the potential impact of adopting this ASU 2024-03 could have on our consolidated financial statements and disclosures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2025, the FASB issued Accounting Standards Update 2025-05, Financial Instruments – 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We are currently evaluating the potential impact of adopting ASU 2025-05 on our consolidated financial statements and disclosures.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certain line items in our Statements of Operations and some of the factors that affect our operating results.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focus our sales efforts in key global markets in North America, South America, Europe and Asia. The following table shows the percentage of our revenues by geographical location of our customers for the three and three months ended July 31,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4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r>
      <w:tr>
        <w:trPr>
          <w:trHeight w:val="22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Customer Location*</w:t>
            </w:r>
          </w:p>
        </w:tc>
        <w:tc>
          <w:tcPr>
            <w:tcW w:w="168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4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&amp; South America</w:t>
            </w:r>
          </w:p>
        </w:tc>
        <w:tc>
          <w:tcPr>
            <w:tcW w:w="20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EMEA</w:t>
            </w:r>
          </w:p>
        </w:tc>
        <w:tc>
          <w:tcPr>
            <w:tcW w:w="2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89%</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&amp; Australia</w:t>
            </w:r>
          </w:p>
        </w:tc>
        <w:tc>
          <w:tcPr>
            <w:tcW w:w="20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&lt;1%</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 U.S. Government contracts, the revenue is classified as North American however, location of operations may differ.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of revenue consists primarily of subcontracts, incurred material, labor and manufacturing overhead expenses, such as engineering expense, equipment depreciation, maintenance, and facility related expenses, and includes the cost of equipment to customize the PowerBuoy®, WAM-V® and our other products supplied by third-party suppliers. Cost of revenue also includes PowerBuoy® and other product system delivery and deployment expenses and may include losses recorded at the time a loss is forecasted to be incurred on a contract.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and product development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engineering and product enhancement costs consist of salaries and other personnel-related costs and the costs of products, materials and outside services used in our product enhancement and unfunded research activities. Our product enhancement costs relate primarily to our efforts to increase the power output and reliability of our PowerBuoy® system and other products, to enhance and optimize data monitoring and controls systems, and the development of new products, product applications and complementary technologies. We expense all of these costs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costs consist primarily of professional fees, salaries, share-based compensation and other personnel-related costs for employees and consultants engaged in sales and marketing of our products, and costs for executive, accounting and administrative personnel, professional fees and other general corporate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net consists of interest received on cash, cash equivalents, and short-term investments and interest paid on certain obligations to third parties as well as amortization expense related to the premiums on the purchase of short-term investments.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transact business in various countries and have exposure to fluctuations in foreign currency exchange rates. Since we conduct our business in U.S. dollars and our functional currency is the U.S. dollar, our main foreign exchange exposure, if any, results from changes in the exchange rate between the U.S. dollar and transactions settled in foreign currencies.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completed the process of winding down its Australian subsidiary during fiscal 2024 and its UK subsidiary during fiscal 2025. The unrealized gains or losses resulting from foreign currency balances translation are included in Accumulated Other Comprehensive Loss within Shareholders’ Equity. Foreign currency transaction gains and losses are recognized within our Consolidated Statements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do not hedge our exchange rate exposure. However, we assess the anticipated foreign currency working capital requirements and capital asset acquisitions of our foreign operations and assess the need and cost to utilize financial instruments to hedge currency exposures on an ongoing basis and may hedge against exchange rate exposure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should be read in conjunction with the discussion below under “Liquidity and Capital Resources.”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July 31, 2025 compared to the three months ended July 31, 2024</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selected statement of operations information, which serves as the basis of the discussion of our results of operations for the three months ended July 31,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5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70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1,182</w:t>
            </w:r>
          </w:p>
        </w:tc>
        <w:tc>
          <w:tcPr>
            <w:tcW w:w="142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shd w:val="clear" w:color="auto" w:fill="CCEEFF"/>
          </w:tcPr>
          <w:p>
            <w:pPr>
              <w:spacing w:after="0"/>
              <w:rPr>
                <w:sz w:val="18"/>
                <w:szCs w:val="18"/>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854</w:t>
            </w:r>
          </w:p>
        </w:tc>
      </w:tr>
      <w:tr>
        <w:trPr>
          <w:trHeight w:val="210"/>
        </w:trPr>
        <w:tc>
          <w:tcPr>
            <w:tcW w:w="45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24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7,055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80" w:type="dxa"/>
            <w:vAlign w:val="bottom"/>
            <w:shd w:val="clear" w:color="auto" w:fill="CCEEFF"/>
          </w:tcPr>
          <w:p>
            <w:pPr>
              <w:spacing w:after="0"/>
              <w:rPr>
                <w:sz w:val="19"/>
                <w:szCs w:val="19"/>
                <w:color w:val="auto"/>
              </w:rPr>
            </w:pPr>
          </w:p>
        </w:tc>
      </w:tr>
      <w:tr>
        <w:trPr>
          <w:trHeight w:val="209"/>
        </w:trPr>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Operating loss</w:t>
            </w:r>
          </w:p>
        </w:tc>
        <w:tc>
          <w:tcPr>
            <w:tcW w:w="240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5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net</w:t>
            </w:r>
          </w:p>
        </w:tc>
        <w:tc>
          <w:tcPr>
            <w:tcW w:w="2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(7,388)</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(4,453)</w:t>
            </w: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0" w:type="dxa"/>
            <w:vAlign w:val="bottom"/>
          </w:tcPr>
          <w:p>
            <w:pPr>
              <w:spacing w:after="0"/>
              <w:rPr>
                <w:sz w:val="19"/>
                <w:szCs w:val="19"/>
                <w:color w:val="auto"/>
              </w:rPr>
            </w:pP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for the three months ended July 31, 2025 and 2024 were approximately $1.2 million and $1.3 million, respectively. The year-over-year decrease primarily related to the timing of deliveries on current year projects versus the prior year contracts of WAM-Vs.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for the three months ended July 31, 2025 and 2024 increased to $1.2 million from $0.9 million, respectively. The year-over-year increase is related primarily to changes in product mix, with the current year’s quarterly revenue containing a larger amount of third-party equipment, which carry lower margins.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expenses for the three months ended July 31, 2025 and 2024 were $7.1 million and $4.9 million, respectively. The increase of approximately $2.2 million was primarily the result of the significant increases in stock based compensation during FY26.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(expense)/income for the three months ended July 31, 2025 and 2024 was $(310,000) and $3,000, respectively, with the decrease primarily related to interest expenses associated with the May 2025 convertible notes.</w:t>
      </w:r>
    </w:p>
    <w:p>
      <w:pPr>
        <w:sectPr>
          <w:pgSz w:w="11900" w:h="16838" w:orient="portrait"/>
          <w:cols w:equalWidth="0" w:num="1">
            <w:col w:w="11240"/>
          </w:cols>
          <w:pgMar w:left="320" w:top="229"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cash requirements relate primarily to working capital needed to operate and grow our business including funding operating expenses. We have experienced and continue to experience negative cash flows from operations and net losses. The Company incurred net losses of $7.4 million and $4.5 million for the three months ended July 31, 2025 and 2024, respectively. Refer to “Liquidity Outlook” below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July 31, 2025, net cash flows used in operating activities was $5.6 million, a reduction of cash used in operating activities of $0.5 million compared to net cash used in operating activities during the three months ended July 31, 2024 of $6.1 million. This primarily reflects an increase in non-cash expenses such as share-based compensation and an increase accounts payable, offset partially by increases in account receivable and inventory balances.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July 31, 2025 was $1.5 million, compared to $0.4 million during the three months ended July 31, 2024, a change of $1.1 million. The net cash used in investing activities during the three months ended July 31, 2025 was due to the purchase of property, plant and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July 31, 2025 and July 31, 2024 was $10.2 million and $6.5 million, respectively. The current quarter activity was driven by the proceeds raised related to the issuance of the May 2025 convertible notes and the prior year quarter was related primarily to the issuance of common stock under the Company’s At the Market Offering Program discussed above under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material effect of exchange rates on cash and cash equivalents during the three months ended July 31, 2025 and July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the cash flows from customer revenues have not been sufficient to fund our operations and provide the capital resources for our business. As of July 31, 2025, our year-to-date revenues were $1.2 million, our year-to-date net losses were $7.4 million, and our year-to-date net cash used in operating activities was $5.6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continue to devote substantial resources to expand our sales, marketing and manufacturing programs associated with the continued commercialization of our products. Our future capital requirements will depend on several factors, including but not limited to:</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market and commercialize our products, and achieve and sustain profitability;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improvement of our proprietary technologies, and expected continued use of cash from operating activities unless or until we achieve positive cash flow from the commercialization of our products and services;</w:t>
      </w: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regarding Federal governmental tariffs, the implementation on the new US Department of Governmental Efficiency (“DOGE”) and related DOGE federal governmental budget cuts and the potential that this affects the demand for, or restrict the use of, our products and services;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our financial condition and our operating performance;</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and other obligations under our convertible notes;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do business with properly qualified customers that have good credit ratings and pay their obligation on a timely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as a going concern;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short-term and possibly longer;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challenges and expenses associated with communications and disputes with activist shareholders, including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mitigate risks associated with our internal cyber security protocols and protection of the data we collect and distribute;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inflation related to the U.S. dollar on our business, operations, customers, suppliers, manufacturers, and personnel;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forecasts and estimates regarding future expenses, revenue, gross margin, cash flow and capital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competition in our targeted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our existing and future strategic partners which may not be successful;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and continuous improvement of our technology, products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more efficiently utilize the synergies available from our product 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markets across geographic boundaries;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with Federal government work which is complex due to various statutes and regulations applicable to doing business with the Federal government;</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doing business internationally which requires strict compliance with applicable statutes and regulations;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geopolitical world uncertainty, including tariffs, Russia’s invasion of Ukraine, the Israel/Palestine conflict and previous attacks on merchant ships in the Red Sea;</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that new foreign country tariffs may have on our ability (i) to source and procure necessary raw materials for the manufacture and provision of our products and services; and (ii) to deliver our products to such foreign countries;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including senior management, to achieve our business objectives;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consistent commercial profit margins.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capital intensive, and through July 31, 2025, we have been funding our business principally through sales of our securities. As of July 31, 2025, our cash and cash equivalents and long-term restricted cash balance was $10.0 million and we expect to fund our business with this amount and, to a lesser extent, with our cash flow generated from operations. Management believes the Company’s current cash and cash equivalents, and long-term restricted cash, inclusive of the August 2025 ATM, and future financing will be sufficient to fund its planned expenditures through September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financing activities.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material information required to be disclosed in our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designing and evaluating the disclosure controls and procedures, management recognized that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a company have been detected.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CEO and CFO, of the effectiveness of the design and operation of our disclosure controls based upon the framework presented in “Internal Control-Integrated Framework” (2013) issued by the Committee of Sponsoring Organizations of the Treadway Commission (“COSO”). Based upon that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of Previously Identified Material Weakness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April 30, 2024, management identified material weaknesses in internal control over financial reporting related to control activities around stock-based compensation and risk assessment and design of controls related to inventory account balances and related disclosures. During fiscal year 2025, management implemented a series of remediation measures designed to address the identified material weakness. As previously disclosed in our Annual Report on Form 10-K for the year ended April 30, 2025, management has completed testing of the newly implemented and enhanced controls and has concluded that the material weakness has been fully remediated.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July 31, 2025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matters in dispute, see Note 14 to the Consolidated Financial Statements under Part I, Item 1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should be read together with the risk factors contained in Item 1A of our Annual Report on Form 10-K for the year ended April 30, 2025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Except as noted below, there have been no material changes in our risk factors from those disclosed in our Annual Report on Form 10-K filed with the SEC on July 24, 2025.</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convertible notes have certain limitations on sales in this offering and our use of proceeds, which may limit our ability to use this offering to raise capital.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convertible notes that we issued in May 2025 include certain limitation on the total dollars we can raise under our ATM program and also may require us to use the proceeds of the ATM program to pay down the principal and interest on those convertible notes. In addition, the investors in our December 2024 convertible note financing have certain rights of participation in our future financings. Any limitations which are imposed on our ability to utilize this “at the market offering” or require us to use the proceeds of the ATM program to pay down the notes rather than on our business could have an adverse effect on our results of operation. We could also be required to raise capital through other means and there is no assurance will be available on terms that are acceptable to us.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current or future indebtedness may limit our operations and our use of our cash flow, and any failure to comply with the covenants that apply to any indebtedness could adversely affect our liquidity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issued $10.0 million in convertible notes to investors in May 2025 and have the option to issue up to an additional $15.0 million in convertible notes under the same investment agreement. Our debt level and the need to meet related covenants can have negative consequences. We may incur more debt in the future, and there can be no assurance that our cost of funding will not substantially increase. The convertible notes also impose certain restrictions on us, including financial covenants and events of default. Upon an event of default, for example, the lenders can get an increased rate of return and force a redemption, which could adversely affect our liquidity and financial condition.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obligations under our convertible notes.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make payments of principal or to pay interest on or to refinance our convertible notes depends on our future performance, which is subject to economic, financial, competitive and other factors, some of which are beyond our control. Our business may not continue to generate cash flow from operations in the future sufficient to satisfy our obligations under the convertible notes.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the convertible notes will depend on the capital markets and our financial condition at such time. We may not be able to engage in any of these activities or engage in these activities on desirable terms, which could result in a default on the convertible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convertible notes may deter or prevent a business combination that may be favorable to you</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convertible notes, we are prohibited from engaging in certain mergers or acquisitions unless, among other things, the surviving entity in certain circumstances assumes our obligations under the convertible notes. In addition, the terms of the convertible notes require us to offer to purchase the convertible notes for cash in the event of a change of control. A non-stock takeover of our company may trigger the requirement that we purchase the convertible notes. These and other provisions could prevent or deter a third party from acquiring us, even where the acquisition could be beneficial to you.</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under our ATM program may be limited and could result in substantial dilution to existing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our ATM program with Ladenburg provides us with flexibility to raise equity capital, our ability to do so will depend on market conditions, trading volume, investor demand, and compliance with applicable regulations. There is no assurance we will be able to sell any shares under the ATM, or that we will raise the full amount available. Any sales of common stock under the ATM could also dilute the ownership interest of existing shareholders, and such sales, or the perception that they may occur, could depress the market price of our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Delays or difficulties in converting backlog into revenue could adversely affect our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July 31, 2025, our backlog was $15.0 million, a significant increase compared to the prior year. While backlog represents business under contract that we expect to recognize as revenue, the timing of conversion is uncertain and may be delayed due to changes in customer schedules, contract modifications, regulatory approvals, or other factors beyond our control. If we are unable to convert backlog into revenue as anticipated, our results of operations and cash flows could be negatively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international defense and security projects exposes us to heightened regulatory, political, and operational risks.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2025 and the first quarter of fiscal 2026, we increased our international sales and partnerships, including in the Middle East and Latin America. These markets can present unique risks, including complex export control requirements, compliance with the U.S. Foreign Corrupt Practices Act and similar laws, exposure to geopolitical instability, sudden changes in government procurement priorities, and logistical challenges in delivery and support. Any of these factors could result in contract delays, cancellations, increased costs, or reputational harm, all of which could have an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conditions may be adversely affected by the financial soundness of our customers, distributors, and suppliers.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operational results and financial condition are closely linked to the financial health of our customers, distributors, and suppliers. If any of these parties experience a deterioration in their financial performance or encounter difficulties with scheduled payments or credit, it could have several adverse effects on our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instance, if our customers are unable to pay or delay payment on accounts receivable, this would negatively impact our cash flow. Similarly, if our suppliers face financial challenges, they may restrict credit, impose more stringent payment terms, reduce or cease production of essential components, or even stop operations entirely. Such disruptions could directly affect our ability to procure necessary materials and maintain consistent product supply. The combined effect of these potential challenges could significantly influence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 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5"/>
              </w:rPr>
              <w:t>10.1</w:t>
            </w:r>
          </w:p>
        </w:tc>
        <w:tc>
          <w:tcPr>
            <w:tcW w:w="580" w:type="dxa"/>
            <w:vAlign w:val="bottom"/>
          </w:tcPr>
          <w:p>
            <w:pPr>
              <w:spacing w:after="0"/>
              <w:rPr>
                <w:sz w:val="17"/>
                <w:szCs w:val="17"/>
                <w:color w:val="auto"/>
              </w:rPr>
            </w:pPr>
          </w:p>
        </w:tc>
        <w:tc>
          <w:tcPr>
            <w:tcW w:w="100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Form of Amended and Restated Common Stock Purchase Agreement, dated as of September 19, 2024 (incorporated by reference to</w:t>
              </w:r>
            </w:hyperlink>
          </w:p>
        </w:tc>
      </w:tr>
      <w:tr>
        <w:trPr>
          <w:trHeight w:val="196"/>
        </w:trPr>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80" w:type="dxa"/>
            <w:vAlign w:val="bottom"/>
            <w:gridSpan w:val="5"/>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Exhibit 10.1 to the Company’s Current Report on Form 8-K filed on September 20, 2024.</w:t>
              </w:r>
            </w:hyperlink>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12"/>
        </w:trPr>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5"/>
              </w:rPr>
              <w:t>10.2</w:t>
            </w:r>
          </w:p>
        </w:tc>
        <w:tc>
          <w:tcPr>
            <w:tcW w:w="580" w:type="dxa"/>
            <w:vAlign w:val="bottom"/>
          </w:tcPr>
          <w:p>
            <w:pPr>
              <w:spacing w:after="0"/>
              <w:rPr>
                <w:sz w:val="24"/>
                <w:szCs w:val="24"/>
                <w:color w:val="auto"/>
              </w:rPr>
            </w:pPr>
          </w:p>
        </w:tc>
        <w:tc>
          <w:tcPr>
            <w:tcW w:w="100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Form of Securities Purchase Agreement, dated as of September 13, 2024 (incorporated by reference to Exhibit 10.2 to the Company’s</w:t>
              </w:r>
            </w:hyperlink>
          </w:p>
        </w:tc>
      </w:tr>
      <w:tr>
        <w:trPr>
          <w:trHeight w:val="196"/>
        </w:trPr>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80" w:type="dxa"/>
            <w:vAlign w:val="bottom"/>
            <w:gridSpan w:val="5"/>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Quarterly Report on Form 10-Q filed on September 16, 2024).</w:t>
              </w:r>
            </w:hyperlink>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00" w:type="dxa"/>
            <w:vAlign w:val="bottom"/>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12"/>
        </w:trPr>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5"/>
              </w:rPr>
              <w:t>31.1</w:t>
            </w:r>
          </w:p>
        </w:tc>
        <w:tc>
          <w:tcPr>
            <w:tcW w:w="580" w:type="dxa"/>
            <w:vAlign w:val="bottom"/>
          </w:tcPr>
          <w:p>
            <w:pPr>
              <w:spacing w:after="0"/>
              <w:rPr>
                <w:sz w:val="24"/>
                <w:szCs w:val="24"/>
                <w:color w:val="auto"/>
              </w:rPr>
            </w:pPr>
          </w:p>
        </w:tc>
        <w:tc>
          <w:tcPr>
            <w:tcW w:w="72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2880" w:type="dxa"/>
            <w:vAlign w:val="bottom"/>
          </w:tcPr>
          <w:p>
            <w:pPr>
              <w:spacing w:after="0"/>
              <w:rPr>
                <w:sz w:val="24"/>
                <w:szCs w:val="24"/>
                <w:color w:val="auto"/>
              </w:rPr>
            </w:pPr>
          </w:p>
        </w:tc>
      </w:tr>
      <w:tr>
        <w:trPr>
          <w:trHeight w:val="412"/>
        </w:trPr>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5"/>
              </w:rPr>
              <w:t>31.2</w:t>
            </w:r>
          </w:p>
        </w:tc>
        <w:tc>
          <w:tcPr>
            <w:tcW w:w="580" w:type="dxa"/>
            <w:vAlign w:val="bottom"/>
          </w:tcPr>
          <w:p>
            <w:pPr>
              <w:spacing w:after="0"/>
              <w:rPr>
                <w:sz w:val="24"/>
                <w:szCs w:val="24"/>
                <w:color w:val="auto"/>
              </w:rPr>
            </w:pP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140" w:type="dxa"/>
            <w:vAlign w:val="bottom"/>
            <w:gridSpan w:val="3"/>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r>
      <w:tr>
        <w:trPr>
          <w:trHeight w:val="412"/>
        </w:trPr>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5"/>
              </w:rPr>
              <w:t>32.1</w:t>
            </w:r>
          </w:p>
        </w:tc>
        <w:tc>
          <w:tcPr>
            <w:tcW w:w="1066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0" w:type="dxa"/>
            <w:vAlign w:val="bottom"/>
            <w:gridSpan w:val="4"/>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12"/>
        </w:trPr>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5"/>
              </w:rPr>
              <w:t>32.2</w:t>
            </w:r>
          </w:p>
        </w:tc>
        <w:tc>
          <w:tcPr>
            <w:tcW w:w="1066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of Chief Financial Officer pursuant to Section 906 of the Sarbanes-Oxley Act of 2002</w:t>
            </w: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1160" w:hanging="1152"/>
        <w:spacing w:after="0" w:line="256"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Ocean Power Technologies, Inc.’s Quarterly Report on Form 10-Q for the quarter ended July 31, 2025, formatted in eXtensible Business Reporting Language (XBRL): (i) Consolidated Balance Sheets – July 31, 2025 (unaudited) and April 30, 2025, (ii) Consolidated Statements of Operations (unaudited) – three and three months ended July 31, 2025 and 2023, (iii) Consolidated Statements of Comprehensive Loss (unaudited) – three and three months ended July 31, 2025 and 2021, (iv) Consolidated Statement of Shareholders’ Equity (unaudited) – three and three months ended July 31, 2025 and 2023 (v) Consolidated Statements of Cash Flows (unaudited) –three months ended July 31, 2025 and 2023, (vi) Notes to Consolidated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198" w:lineRule="exact"/>
        <w:rPr>
          <w:sz w:val="20"/>
          <w:szCs w:val="20"/>
          <w:color w:val="auto"/>
        </w:rPr>
      </w:pPr>
    </w:p>
    <w:p>
      <w:pPr>
        <w:ind w:left="1160" w:hanging="1152"/>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116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5" w:lineRule="exact"/>
        <w:rPr>
          <w:rFonts w:ascii="Times New Roman" w:cs="Times New Roman" w:eastAsia="Times New Roman" w:hAnsi="Times New Roman"/>
          <w:sz w:val="18"/>
          <w:szCs w:val="18"/>
          <w:color w:val="auto"/>
        </w:rPr>
      </w:pPr>
    </w:p>
    <w:p>
      <w:pPr>
        <w:jc w:val="both"/>
        <w:ind w:left="1160" w:hanging="315"/>
        <w:spacing w:after="0" w:line="266" w:lineRule="auto"/>
        <w:tabs>
          <w:tab w:leader="none" w:pos="11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6" w:lineRule="exact"/>
        <w:rPr>
          <w:sz w:val="20"/>
          <w:szCs w:val="20"/>
          <w:color w:val="auto"/>
        </w:rPr>
      </w:pPr>
    </w:p>
    <w:p>
      <w:pPr>
        <w:jc w:val="both"/>
        <w:ind w:left="1160" w:hanging="315"/>
        <w:spacing w:after="0" w:line="266"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Regulation S-K, Item 601(b)(10)(iv) of the Securities Exchange Act of 1934, as amended, certain confidential portions of this exhibit have been redacted from the publicly filed document. The Company agrees to furnish supplementally an unredacted copy of the exhibit to the Securities and Exchange Commission upon its request.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Ocean Power Technologies, Inc.</w:t>
            </w: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3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(Registrant)</w:t>
            </w: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15, 2025</w:t>
            </w:r>
          </w:p>
        </w:tc>
        <w:tc>
          <w:tcPr>
            <w:tcW w:w="1920" w:type="dxa"/>
            <w:vAlign w:val="bottom"/>
          </w:tcPr>
          <w:p>
            <w:pPr>
              <w:spacing w:after="0"/>
              <w:rPr>
                <w:sz w:val="24"/>
                <w:szCs w:val="24"/>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Philipp Stratmann</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52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Philipp Stratmann</w:t>
            </w:r>
          </w:p>
        </w:tc>
        <w:tc>
          <w:tcPr>
            <w:tcW w:w="0" w:type="dxa"/>
            <w:vAlign w:val="bottom"/>
          </w:tcPr>
          <w:p>
            <w:pPr>
              <w:spacing w:after="0"/>
              <w:rPr>
                <w:sz w:val="1"/>
                <w:szCs w:val="1"/>
                <w:color w:val="auto"/>
              </w:rPr>
            </w:pPr>
          </w:p>
        </w:tc>
      </w:tr>
      <w:tr>
        <w:trPr>
          <w:trHeight w:val="236"/>
        </w:trPr>
        <w:tc>
          <w:tcPr>
            <w:tcW w:w="37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15, 2025</w:t>
            </w:r>
          </w:p>
        </w:tc>
        <w:tc>
          <w:tcPr>
            <w:tcW w:w="1920" w:type="dxa"/>
            <w:vAlign w:val="bottom"/>
          </w:tcPr>
          <w:p>
            <w:pPr>
              <w:spacing w:after="0"/>
              <w:rPr>
                <w:sz w:val="24"/>
                <w:szCs w:val="24"/>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Robert Powers</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52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Robert Powers</w:t>
            </w:r>
          </w:p>
        </w:tc>
        <w:tc>
          <w:tcPr>
            <w:tcW w:w="0" w:type="dxa"/>
            <w:vAlign w:val="bottom"/>
          </w:tcPr>
          <w:p>
            <w:pPr>
              <w:spacing w:after="0"/>
              <w:rPr>
                <w:sz w:val="1"/>
                <w:szCs w:val="1"/>
                <w:color w:val="auto"/>
              </w:rPr>
            </w:pPr>
          </w:p>
        </w:tc>
      </w:tr>
      <w:tr>
        <w:trPr>
          <w:trHeight w:val="236"/>
        </w:trPr>
        <w:tc>
          <w:tcPr>
            <w:tcW w:w="37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tc>
        <w:tc>
          <w:tcPr>
            <w:tcW w:w="0" w:type="dxa"/>
            <w:vAlign w:val="bottom"/>
          </w:tcPr>
          <w:p>
            <w:pPr>
              <w:spacing w:after="0"/>
              <w:rPr>
                <w:sz w:val="1"/>
                <w:szCs w:val="1"/>
                <w:color w:val="auto"/>
              </w:rPr>
            </w:pPr>
          </w:p>
        </w:tc>
      </w:tr>
      <w:tr>
        <w:trPr>
          <w:trHeight w:val="432"/>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2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Philipp Stratmann,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right="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15, 2025</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Powers,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right="2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15, 2025</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Robert Powers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July 31, 2025, as filed with the Securities and Exchange Commission on the date hereof (the “Report”), the undersigned, Philipp Stratmann, President and Chief Executive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460" w:firstLine="8"/>
        <w:spacing w:after="0" w:line="499"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September 15, 2025</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July 31, 2025, as filed with the Securities and Exchange Commission on the date hereof (the “Report”), the undersigned, Robert Powers, Senior Vice President and Chief Financial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460" w:firstLine="8"/>
        <w:spacing w:after="0" w:line="499" w:lineRule="auto"/>
        <w:tabs>
          <w:tab w:leader="none" w:pos="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September 15, 2025</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Robert Powers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01"/>
    </w:lvl>
  </w:abstractNum>
  <w:abstractNum w:abstractNumId="7">
    <w:nsid w:val="41A7C4C9"/>
    <w:multiLevelType w:val="hybridMultilevel"/>
    <w:lvl w:ilvl="0">
      <w:lvlJc w:val="left"/>
      <w:lvlText w:val="%1"/>
      <w:numFmt w:val="decimal"/>
      <w:start w:val="104"/>
    </w:lvl>
    <w:lvl w:ilvl="1">
      <w:lvlJc w:val="left"/>
      <w:lvlText w:val="*"/>
      <w:numFmt w:val="bullet"/>
      <w:start w:val="1"/>
    </w:lvl>
  </w:abstractNum>
  <w:abstractNum w:abstractNumId="8">
    <w:nsid w:val="6B68079A"/>
    <w:multiLevelType w:val="hybridMultilevel"/>
    <w:lvl w:ilvl="0">
      <w:lvlJc w:val="left"/>
      <w:lvlText w:val="%1"/>
      <w:numFmt w:val="decimal"/>
      <w:start w:val="1"/>
    </w:lvl>
    <w:lvl w:ilvl="1">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decimal"/>
      <w:start w:val="5"/>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bullet"/>
      <w:start w:val="1"/>
    </w:lvl>
  </w:abstractNum>
  <w:abstractNum w:abstractNumId="15">
    <w:nsid w:val="257130A3"/>
    <w:multiLevelType w:val="hybridMultilevel"/>
    <w:lvl w:ilvl="0">
      <w:lvlJc w:val="left"/>
      <w:lvlText w:val="2"/>
      <w:numFmt w:val="bullet"/>
      <w:start w:val="1"/>
    </w:lvl>
  </w:abstractNum>
  <w:abstractNum w:abstractNumId="16">
    <w:nsid w:val="62BBD95A"/>
    <w:multiLevelType w:val="hybridMultilevel"/>
    <w:lvl w:ilvl="0">
      <w:lvlJc w:val="left"/>
      <w:lvlText w:val="3"/>
      <w:numFmt w:val="bullet"/>
      <w:start w:val="1"/>
    </w:lvl>
  </w:abstractNum>
  <w:abstractNum w:abstractNumId="17">
    <w:nsid w:val="436C6125"/>
    <w:multiLevelType w:val="hybridMultilevel"/>
    <w:lvl w:ilvl="0">
      <w:lvlJc w:val="left"/>
      <w:lvlText w:val="4"/>
      <w:numFmt w:val="bullet"/>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5"/>
      <w:numFmt w:val="bullet"/>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53" Type="http://schemas.openxmlformats.org/officeDocument/2006/relationships/hyperlink" Target="https://www.sec.gov/Archives/edgar/data/1378140/000149315224037590/ex10-1.htm" TargetMode="External"/><Relationship Id="rId54" Type="http://schemas.openxmlformats.org/officeDocument/2006/relationships/hyperlink" Target="https://www.sec.gov/Archives/edgar/data/1378140/000149315224036423/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2025-09-15T15:26:54Z</dcterms:created>
  <dcterms:modified xsi:type="dcterms:W3CDTF">2025-09-15T15:26:54Z</dcterms:modified>
</cp:coreProperties>
</file>