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left="340" w:right="2120" w:hanging="332"/>
        <w:spacing w:after="0" w:line="500"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April 30, 2020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225" w:lineRule="exact"/>
        <w:rPr>
          <w:sz w:val="24"/>
          <w:szCs w:val="24"/>
          <w:color w:val="auto"/>
        </w:rPr>
      </w:pPr>
    </w:p>
    <w:p>
      <w:pPr>
        <w:ind w:left="340"/>
        <w:spacing w:after="0"/>
        <w:tabs>
          <w:tab w:leader="none" w:pos="3080" w:val="left"/>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Ocean Power Technologies, Inc.</w:t>
      </w:r>
    </w:p>
    <w:p>
      <w:pPr>
        <w:spacing w:after="0" w:line="235"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42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200" w:type="dxa"/>
            <w:vAlign w:val="bottom"/>
          </w:tcPr>
          <w:p>
            <w:pPr>
              <w:jc w:val="center"/>
              <w:ind w:right="1910"/>
              <w:spacing w:after="0"/>
              <w:rPr>
                <w:sz w:val="20"/>
                <w:szCs w:val="20"/>
                <w:color w:val="auto"/>
              </w:rPr>
            </w:pPr>
            <w:r>
              <w:rPr>
                <w:rFonts w:ascii="Arial" w:cs="Arial" w:eastAsia="Arial" w:hAnsi="Arial"/>
                <w:sz w:val="18"/>
                <w:szCs w:val="18"/>
                <w:i w:val="1"/>
                <w:iCs w:val="1"/>
                <w:color w:val="auto"/>
                <w:w w:val="94"/>
              </w:rPr>
              <w:t>(State or other jurisdiction of</w:t>
            </w:r>
          </w:p>
        </w:tc>
        <w:tc>
          <w:tcPr>
            <w:tcW w:w="3300" w:type="dxa"/>
            <w:vAlign w:val="bottom"/>
          </w:tcPr>
          <w:p>
            <w:pPr>
              <w:jc w:val="center"/>
              <w:ind w:left="18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00" w:type="dxa"/>
            <w:vAlign w:val="bottom"/>
          </w:tcPr>
          <w:p>
            <w:pPr>
              <w:jc w:val="center"/>
              <w:ind w:right="189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 ENGELHARD DRIVE, SUITE B</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MONROE TOWNSHIP, NJ 08831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(609) 730-0400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ind w:left="1620" w:right="1200" w:firstLine="489"/>
        <w:spacing w:after="0" w:line="282" w:lineRule="auto"/>
        <w:rPr>
          <w:sz w:val="20"/>
          <w:szCs w:val="20"/>
          <w:color w:val="auto"/>
        </w:rPr>
      </w:pPr>
      <w:r>
        <w:rPr>
          <w:rFonts w:ascii="Arial" w:cs="Arial" w:eastAsia="Arial" w:hAnsi="Arial"/>
          <w:sz w:val="18"/>
          <w:szCs w:val="18"/>
          <w:b w:val="1"/>
          <w:bCs w:val="1"/>
          <w:color w:val="auto"/>
        </w:rPr>
        <w:t xml:space="preserve">Title of Each Class Name of Exchange on Which Registered </w:t>
      </w:r>
      <w:r>
        <w:rPr>
          <w:rFonts w:ascii="Arial" w:cs="Arial" w:eastAsia="Arial" w:hAnsi="Arial"/>
          <w:sz w:val="18"/>
          <w:szCs w:val="18"/>
          <w:color w:val="auto"/>
        </w:rPr>
        <w:t>Common Stock, par value $0.001 The Nasdaq Capital Market</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both"/>
        <w:ind w:right="860"/>
        <w:spacing w:after="0" w:line="342" w:lineRule="auto"/>
        <w:rPr>
          <w:sz w:val="20"/>
          <w:szCs w:val="20"/>
          <w:color w:val="auto"/>
        </w:rPr>
      </w:pPr>
      <w:r>
        <w:rPr>
          <w:rFonts w:ascii="Arial" w:cs="Arial" w:eastAsia="Arial" w:hAnsi="Arial"/>
          <w:sz w:val="16"/>
          <w:szCs w:val="16"/>
          <w:color w:val="auto"/>
        </w:rPr>
        <w:t>Smaller reporting company [X] Emerging growth company [ ]</w:t>
      </w:r>
    </w:p>
    <w:p>
      <w:pPr>
        <w:spacing w:after="0" w:line="124" w:lineRule="exact"/>
        <w:rPr>
          <w:sz w:val="24"/>
          <w:szCs w:val="24"/>
          <w:color w:val="auto"/>
        </w:rPr>
      </w:pPr>
    </w:p>
    <w:p>
      <w:pPr>
        <w:sectPr>
          <w:pgSz w:w="11900" w:h="16838" w:orient="portrait"/>
          <w:cols w:equalWidth="0" w:num="4">
            <w:col w:w="1980" w:space="720"/>
            <w:col w:w="1980" w:space="720"/>
            <w:col w:w="1980" w:space="720"/>
            <w:col w:w="3140"/>
          </w:cols>
          <w:pgMar w:left="320" w:top="746" w:right="339" w:bottom="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2019, the last business day of the registrant’s most recently completed second fiscal quarter, was $9.3 million based on the closing sale price of the registrant’s common stock on that date as reported on the Nasdaq Capital Market.</w:t>
      </w:r>
    </w:p>
    <w:p>
      <w:pPr>
        <w:sectPr>
          <w:pgSz w:w="11900" w:h="16838" w:orient="portrait"/>
          <w:cols w:equalWidth="0" w:num="1">
            <w:col w:w="11240"/>
          </w:cols>
          <w:pgMar w:left="320" w:top="74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as of June 23, 2020 was 17,120,565.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9860" w:type="dxa"/>
            <w:vAlign w:val="bottom"/>
          </w:tcPr>
          <w:p>
            <w:pPr>
              <w:jc w:val="center"/>
              <w:ind w:right="10"/>
              <w:spacing w:after="0"/>
              <w:rPr>
                <w:sz w:val="20"/>
                <w:szCs w:val="20"/>
                <w:color w:val="auto"/>
              </w:rPr>
            </w:pPr>
            <w:r>
              <w:rPr>
                <w:rFonts w:ascii="Arial" w:cs="Arial" w:eastAsia="Arial" w:hAnsi="Arial"/>
                <w:sz w:val="18"/>
                <w:szCs w:val="18"/>
                <w:b w:val="1"/>
                <w:bCs w:val="1"/>
                <w:color w:val="auto"/>
              </w:rPr>
              <w:t>OCEAN POWER TECHNOLOGIES, INC.</w:t>
            </w:r>
          </w:p>
        </w:tc>
        <w:tc>
          <w:tcPr>
            <w:tcW w:w="6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ANNUAL REPORT ON FORM 10-K</w:t>
            </w:r>
          </w:p>
        </w:tc>
        <w:tc>
          <w:tcPr>
            <w:tcW w:w="64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98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r>
      <w:tr>
        <w:trPr>
          <w:trHeight w:val="453"/>
        </w:trPr>
        <w:tc>
          <w:tcPr>
            <w:tcW w:w="7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10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1B.</w:t>
            </w:r>
          </w:p>
        </w:tc>
        <w:tc>
          <w:tcPr>
            <w:tcW w:w="986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Unresolved Staff Comments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Properties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986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10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986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Selected Financial Data</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w:t>
            </w:r>
          </w:p>
        </w:tc>
        <w:tc>
          <w:tcPr>
            <w:tcW w:w="9860" w:type="dxa"/>
            <w:vAlign w:val="bottom"/>
          </w:tcPr>
          <w:p>
            <w:pPr>
              <w:ind w:left="1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8.</w:t>
            </w:r>
          </w:p>
        </w:tc>
        <w:tc>
          <w:tcPr>
            <w:tcW w:w="98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Financial Statements and Supplementary Data</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Changes in and Disagreements with Accountants on Accounting and Financial Disclosure</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9A.</w:t>
            </w:r>
          </w:p>
        </w:tc>
        <w:tc>
          <w:tcPr>
            <w:tcW w:w="9860" w:type="dxa"/>
            <w:vAlign w:val="bottom"/>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Controls and Procedures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74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ind w:left="10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PART III</w:t>
              </w:r>
            </w:hyperlink>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10.</w:t>
            </w:r>
          </w:p>
        </w:tc>
        <w:tc>
          <w:tcPr>
            <w:tcW w:w="9860" w:type="dxa"/>
            <w:vAlign w:val="bottom"/>
          </w:tcPr>
          <w:p>
            <w:pPr>
              <w:ind w:left="1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Directors, Executive Officers and Corporate Governance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Executive Compensation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12.</w:t>
            </w:r>
          </w:p>
        </w:tc>
        <w:tc>
          <w:tcPr>
            <w:tcW w:w="9860" w:type="dxa"/>
            <w:vAlign w:val="bottom"/>
          </w:tcPr>
          <w:p>
            <w:pPr>
              <w:ind w:left="1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Security Ownership of Certain Beneficial Owners and Management and Related Stockholder Matters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Certain Relationships and Related Transactions, and Director Independence</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14.</w:t>
            </w:r>
          </w:p>
        </w:tc>
        <w:tc>
          <w:tcPr>
            <w:tcW w:w="9860" w:type="dxa"/>
            <w:vAlign w:val="bottom"/>
          </w:tcPr>
          <w:p>
            <w:pPr>
              <w:ind w:left="10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Principal Accountant Fees and Services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74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60" w:type="dxa"/>
            <w:vAlign w:val="bottom"/>
          </w:tcPr>
          <w:p>
            <w:pPr>
              <w:ind w:left="10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PART IV</w:t>
              </w:r>
            </w:hyperlink>
          </w:p>
        </w:tc>
        <w:tc>
          <w:tcPr>
            <w:tcW w:w="6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860" w:type="dxa"/>
            <w:vAlign w:val="bottom"/>
            <w:shd w:val="clear" w:color="auto" w:fill="CCEEFF"/>
          </w:tcPr>
          <w:p>
            <w:pPr>
              <w:ind w:left="10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Exhibits, Financial Statement Schedules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annual report are the property of their respective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64"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2"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6"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Our fiscal year begins on May 1 and ends on April 30. When we refer to a particular fiscal year, we are referring to the fiscal year ending on April 30 of that year. References to fiscal 2020 are to the fiscal year ended April 30, 2020.</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Unless the context indicates otherwise, the terms “Company,” “Ocean Power Technologies,” “OPT,” “we,” “our” or “us” as used herein refers to Ocean Power Technologies Inc. and its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Ocean Power Technologies aspires to transform the world through innovative ocean-energy solutions. We are a marine power solutions provider that designs, manufactures, sells, and services our products while working closely with partners that provide payloads, integration services, and marine installation services. Our solutions provide distributed offshore power which is persistent, reliable, and economical along with power and communications for remote surface and subsea applications. Our mission and purpose is to utilize our proprietary, state-of-the-art technologies to reduce the global carbon footprint by providing renewable energy solutions for reliable electrical power and, in so doing, drive demand for our products and services, thus realizing positive stockholder returns.</w:t>
      </w:r>
    </w:p>
    <w:p>
      <w:pPr>
        <w:spacing w:after="0" w:line="19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also continue to develop and commercialize our proprietary systems that generate electricity by harnessing the renewable energy of ocean waves for our PowerBuoy®, and solar power for our newest product, the hybrid PowerBuoy® (the “hybrid”). The PB3 PowerBuoy® (the “PB3”) uses proprietary technologies that convert the kinetic energy created by the heaving motion of ocean waves into electricity. Based on feedback from our current customers, discussions with potential future customers in the offshore oil and gas, defense and security, science and research, and communications, as well as government applications in fishery protection, together with our market research and publicly available data, we believe that numerous markets have a direct need for our solutions. While our recent projects have been in the oil and gas industry, we believe there is an increasing need for our products and solutions in areas such as fishery protection, offshore windfarm support, marine surveillance, and ocean-based laboratories.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difficult to decarbonize.</w:t>
      </w:r>
    </w:p>
    <w:p>
      <w:pPr>
        <w:spacing w:after="0" w:line="1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achievements during fiscal 2020 included the Company’s first commercial sale of a PB3 to Enel Green Power (“EGP”). We continued work on projects with Premier Oil (“PMO”) and Eni S.p.A. (“Eni”) and commenced work with the U.S. Navy Small Business Innovation Research (“U.S. SBIR”) program, and a leading oil &amp; gas operator. During the fiscal year, the Company continued development of the hybrid and its subsea battery solutions. The Company also signed a memorandum of understanding with Modus Seabed Intervention Ltd. (“Modus”) to develop and deliver innovative solutions including a combined Autonomous Underwater Vehicle (“AUV”) charging station which will be able to utilize the PowerBuoy® system for topside charging and communications.</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were incorporated under the laws of the State of New Jersey in April 1984 and began commercial operations in 1994. On April 23, 2007, we reincorporated in Delaware.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PB3 generates electricity by harnessing the renewable energy of ocean waves. In addition to our PB3, we continue to develop our PowerBuoy® product line including our turnkey surveillance system, the hybrid and the subsea battery.</w:t>
      </w:r>
    </w:p>
    <w:p>
      <w:pPr>
        <w:spacing w:after="0" w:line="170"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The PB3 features a unique onboard power take-off (“PTO”) system, which incorporates both energy storage and energy management and control systems. The PB3 generates a nominal name-plated capacity rating of up to a nominal 3 kilowatts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to meet specific application requirements. We believe there is a substantial addressable market for the current capabilities of our PB3, which we believe could be utilized in a variety of applications.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both"/>
        <w:ind w:firstLine="518"/>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believe that using wave energy for electricity generation has the following potential benefits, compared to existing incumbent solutions.</w:t>
      </w:r>
    </w:p>
    <w:p>
      <w:pPr>
        <w:spacing w:after="0" w:line="237" w:lineRule="exact"/>
        <w:rPr>
          <w:sz w:val="20"/>
          <w:szCs w:val="20"/>
          <w:color w:val="auto"/>
        </w:rPr>
      </w:pPr>
    </w:p>
    <w:p>
      <w:pPr>
        <w:jc w:val="both"/>
        <w:ind w:left="520" w:right="1680" w:hanging="512"/>
        <w:spacing w:after="0" w:line="259" w:lineRule="auto"/>
        <w:tabs>
          <w:tab w:leader="none" w:pos="5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the electricity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aggregated to supply electricity to larger payloads as a result of multiple PB3 which are placed in an array, occupying a relatively small area. We believe the array of a larger number of PB3 could offer end users a variety of advantages in availability, reliability and scalability.</w:t>
      </w:r>
    </w:p>
    <w:p>
      <w:pPr>
        <w:spacing w:after="0" w:line="186" w:lineRule="exact"/>
        <w:rPr>
          <w:rFonts w:ascii="Arial" w:cs="Arial" w:eastAsia="Arial" w:hAnsi="Arial"/>
          <w:sz w:val="18"/>
          <w:szCs w:val="18"/>
          <w:i w:val="1"/>
          <w:iCs w:val="1"/>
          <w:color w:val="auto"/>
        </w:rPr>
      </w:pPr>
    </w:p>
    <w:p>
      <w:pPr>
        <w:jc w:val="both"/>
        <w:ind w:left="520" w:right="1700" w:hanging="512"/>
        <w:spacing w:after="0" w:line="301" w:lineRule="auto"/>
        <w:tabs>
          <w:tab w:leader="none" w:pos="5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Predictability. </w:t>
      </w:r>
      <w:r>
        <w:rPr>
          <w:rFonts w:ascii="Arial" w:cs="Arial" w:eastAsia="Arial" w:hAnsi="Arial"/>
          <w:sz w:val="16"/>
          <w:szCs w:val="16"/>
          <w:color w:val="auto"/>
        </w:rPr>
        <w:t>The generation of power from wave energy can be forecasted several days in advance. Available wave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can be calculated 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57" w:lineRule="exact"/>
        <w:rPr>
          <w:rFonts w:ascii="Arial" w:cs="Arial" w:eastAsia="Arial" w:hAnsi="Arial"/>
          <w:sz w:val="16"/>
          <w:szCs w:val="16"/>
          <w:i w:val="1"/>
          <w:iCs w:val="1"/>
          <w:color w:val="auto"/>
        </w:rPr>
      </w:pPr>
    </w:p>
    <w:p>
      <w:pPr>
        <w:jc w:val="both"/>
        <w:ind w:left="520" w:right="1680" w:hanging="512"/>
        <w:spacing w:after="0" w:line="286" w:lineRule="auto"/>
        <w:tabs>
          <w:tab w:leader="none" w:pos="52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Constant source of energy. </w:t>
      </w:r>
      <w:r>
        <w:rPr>
          <w:rFonts w:ascii="Arial" w:cs="Arial" w:eastAsia="Arial" w:hAnsi="Arial"/>
          <w:sz w:val="17"/>
          <w:szCs w:val="17"/>
          <w:color w:val="auto"/>
        </w:rPr>
        <w:t>The annual occurrence of waves at specific sites can be relatively constant and defined with</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relatively high accuracy. Based on our studies and analyses of various sites of interest, we believe that we will be able to deploy our PB3 in locations where the waves could produce usable electricity for the majority of the year.</w:t>
      </w:r>
    </w:p>
    <w:p>
      <w:pPr>
        <w:spacing w:after="0" w:line="16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have a direct need for our PB3 including offshore oil and gas, defense and security, science and research and communications, as well as government applications in fishery protection. Depending on payload power requirements, sensor types and other considerations, we have found that our PB3 could satisfy several application requirements within these markets. We believe that the PB3 consistently generates sufficient power to meet the requirements of many potential customer applications within our target markets, and that the hybrid could provide ample power in geographies where wave conditions may not be sufficient to allow the PB3 to generate sufficient power on its own for load center requirements.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Company has created a hybrid PowerBuoy® that is a solar powered and liquid-fueled surface buoy, compared to the wave power generating PB3. The hybrid is powered primarily through solar panels with liquid-fueled back-up and is capable of providing reliable power in remote offshore locations, regardless of ocean wave conditions. We believe this product is to be highly complementary to the PB3 by providing the Company the opportunity to address a broader spectrum of customer deployment needs, including low-wave environments, with the potential for greater product integration within each customer project. It is primarily intended for shorter term deployment applications such as electric remotely operated vehicle (“eROV”) or (“ROV”) and AUV inspections and short-term maintenance, topside surveillance and communications, and subsea equipment and controls. The hybrid is anticipated to be quickly deployable and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1kW Stirling engine fueled by liquid propane (or biofuel for Generation 2). This energy is stored in onboard batteries which power the aforementioned subsea and topside payloads. The Company has designed the hybrid with a Stirling engine backup system to outperform traditional diesel buoys, which we believe have more frequent service and refueling intervals and higher carbon intensities. We believe the hybrid will be able to operate over a broad range of temperature and ocean wave conditions than existing diesel buoys.</w:t>
      </w:r>
    </w:p>
    <w:p>
      <w:pPr>
        <w:spacing w:after="0" w:line="168"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towable, boat-shaped hull design of the hybrid is appropriate for deployment anywhere in the world. Power is generated independent of wave activity, making it a perfect solution for providing power through extreme weather and in heaving seas, or in calm, low wave environments and is complimentary to the PB3.</w:t>
      </w:r>
    </w:p>
    <w:p>
      <w:pPr>
        <w:spacing w:after="0" w:line="184"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hybrid can be transported over land to the deployment port using conventional transportation methods. Once at port, the hybrid can be lifted into the water or onboard a vessel using a readily available crane of appropriate capacity. The hybrid may then be towed to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hybrid is configured with a nominal 30 kilowatt-hours of battery energy storage and over 1 megawatt-hour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1megawatt-hour of stored energy capacity. Our research suggests this amount of stored energy offers an attractive local, autonomous energy solution for clients in a range of industries, including but not limited to oil and gas and marine observation, particularly for shorter term deployments.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also developing a subsea battery that is complementary to both of our PowerBuoy® products and can be deployed together with our PowerBuoys® or on its own. It offers customers the option of placing additional modular and expandable energy storage on the seabed near existing or to be installed subsea equipment. Our lithium ion subsea batteries supply power that can enable subsea equipment, sensors, communications and AUV and eROV recharge. Our range of PowerBuoys® is complimentary to the subsea batteries by providing a means for recharging during longer term deployments, or the batteries can be used independently for shorter term deployments. Ideal for many remote offshore customer applications, these subsea batteries are anticipated to be high performance, cost-efficient, and quickly deployable. The subsea battery solutions are currently undergoing prototyping.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firstLine="518"/>
        <w:spacing w:after="0" w:line="291" w:lineRule="auto"/>
        <w:rPr>
          <w:sz w:val="20"/>
          <w:szCs w:val="20"/>
          <w:color w:val="auto"/>
        </w:rPr>
      </w:pPr>
      <w:r>
        <w:rPr>
          <w:rFonts w:ascii="Arial" w:cs="Arial" w:eastAsia="Arial" w:hAnsi="Arial"/>
          <w:sz w:val="16"/>
          <w:szCs w:val="16"/>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kilowatt-hours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subsea battery can be integrated into other subsea equipment on land prior to deployment. The battery is then connected to the other components on the seabed with the use of ROVs or divers.</w:t>
      </w:r>
    </w:p>
    <w:p>
      <w:pPr>
        <w:spacing w:after="0" w:line="166"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analysis suggests that the growing demand for electrification of subsea infrastructure, and an increased switch to autonomous and renewable solution, offers multiple opportunities for deploying subsea battery powered solutions over the next few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commercializing our PB3 and hybrid PowerBuoys® and subsea battery by targeting customers in our principal markets (offshore oil and gas, defense and security, science and research and communications, as well as government applications in fishery protection that require reliable and persistent power sources in remote offshore locations for short and long-term deployments. We believe that our solutions and our existing commercial relationships provide the following competitive advantages in our target markets.</w:t>
      </w:r>
    </w:p>
    <w:p>
      <w:pPr>
        <w:spacing w:after="0" w:line="187" w:lineRule="exact"/>
        <w:rPr>
          <w:sz w:val="20"/>
          <w:szCs w:val="20"/>
          <w:color w:val="auto"/>
        </w:rPr>
      </w:pPr>
    </w:p>
    <w:p>
      <w:pPr>
        <w:jc w:val="both"/>
        <w:ind w:left="520" w:hanging="512"/>
        <w:spacing w:after="0" w:line="278" w:lineRule="auto"/>
        <w:tabs>
          <w:tab w:leader="none" w:pos="5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Numerous applications within multiple major market segments. </w:t>
      </w:r>
      <w:r>
        <w:rPr>
          <w:rFonts w:ascii="Arial" w:cs="Arial" w:eastAsia="Arial" w:hAnsi="Arial"/>
          <w:sz w:val="16"/>
          <w:szCs w:val="16"/>
          <w:color w:val="auto"/>
        </w:rPr>
        <w:t>We have designed our products to address multiple offshore applications around the</w:t>
      </w:r>
      <w:r>
        <w:rPr>
          <w:rFonts w:ascii="Arial" w:cs="Arial" w:eastAsia="Arial" w:hAnsi="Arial"/>
          <w:sz w:val="16"/>
          <w:szCs w:val="16"/>
          <w:i w:val="1"/>
          <w:iCs w:val="1"/>
          <w:color w:val="auto"/>
        </w:rPr>
        <w:t xml:space="preserve"> </w:t>
      </w:r>
      <w:r>
        <w:rPr>
          <w:rFonts w:ascii="Arial" w:cs="Arial" w:eastAsia="Arial" w:hAnsi="Arial"/>
          <w:sz w:val="16"/>
          <w:szCs w:val="16"/>
          <w:color w:val="auto"/>
        </w:rPr>
        <w:t>world. In particular, we are targeting customers with multiple applications within the offshore oil and gas, defense and security, science and research, and communications, as well as government applications in fishery protection. Our PB3 is designed for longer-term deployment in high ocean wave climates. Our hybrid is designed to meet the needs of customers with projects in low sea state locations and/or those requiring short-term deployments. We believe our subsea battery enables persistent power to be delivered from the seabed to support autonomous, all-electric subsea operations. Together, all these products can be integrated to provide customized power solutions for our customers.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can also act as self-powered solution platforms for payloads such as our surveillance package which can provide real-time perimeter security, vessel tracking and Exclusion Zone Monitoring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(“EZM”) for government defense and fishery protection.</w:t>
      </w:r>
    </w:p>
    <w:p>
      <w:pPr>
        <w:spacing w:after="0" w:line="53" w:lineRule="exact"/>
        <w:rPr>
          <w:rFonts w:ascii="Arial" w:cs="Arial" w:eastAsia="Arial" w:hAnsi="Arial"/>
          <w:sz w:val="16"/>
          <w:szCs w:val="16"/>
          <w:i w:val="1"/>
          <w:iCs w:val="1"/>
          <w:color w:val="auto"/>
        </w:rPr>
      </w:pPr>
    </w:p>
    <w:p>
      <w:pPr>
        <w:jc w:val="both"/>
        <w:ind w:left="520" w:hanging="512"/>
        <w:spacing w:after="0" w:line="293" w:lineRule="auto"/>
        <w:tabs>
          <w:tab w:leader="none" w:pos="5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Considerable life-cycle cost savings over current solutions for many applications. </w:t>
      </w:r>
      <w:r>
        <w:rPr>
          <w:rFonts w:ascii="Arial" w:cs="Arial" w:eastAsia="Arial" w:hAnsi="Arial"/>
          <w:sz w:val="16"/>
          <w:szCs w:val="16"/>
          <w:color w:val="auto"/>
        </w:rPr>
        <w:t>Our PB3 is designed to operate over extended intervals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servicing, compared to several current solutions which we found to require more servicing using offshore vessels. We believe that our PB3 reduces costs over multi-year operations compared with current solutions. These cost reductions are mostly due to reduced vessel and personnel servicing activities. For short term deployments, our hybrid is cost efficient means of providing surveillance and subsea power solutions. Our subsea battery can provide power to sea floor systems when combined with either the PB3 or hybrid for power regeneration, thus reducing or even potentially eliminating the need for manned vessels to replace expended subsea batteries during mission life.</w:t>
      </w:r>
    </w:p>
    <w:p>
      <w:pPr>
        <w:spacing w:after="0" w:line="164" w:lineRule="exact"/>
        <w:rPr>
          <w:rFonts w:ascii="Arial" w:cs="Arial" w:eastAsia="Arial" w:hAnsi="Arial"/>
          <w:sz w:val="16"/>
          <w:szCs w:val="16"/>
          <w:i w:val="1"/>
          <w:iCs w:val="1"/>
          <w:color w:val="auto"/>
        </w:rPr>
      </w:pPr>
    </w:p>
    <w:p>
      <w:pPr>
        <w:jc w:val="both"/>
        <w:ind w:left="520" w:hanging="512"/>
        <w:spacing w:after="0" w:line="254" w:lineRule="auto"/>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data communications. </w:t>
      </w:r>
      <w:r>
        <w:rPr>
          <w:rFonts w:ascii="Arial" w:cs="Arial" w:eastAsia="Arial" w:hAnsi="Arial"/>
          <w:sz w:val="18"/>
          <w:szCs w:val="18"/>
          <w:color w:val="auto"/>
        </w:rPr>
        <w:t>Some current solutions with less available power than our PowerBuoys® may have limited 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or may only be able to communicate data over shorter periods due to power limitations. Some current solutions may only make data accessible upon physical retrieval of the sensor. Our PowerBuoys® can be equipped with a variety of communications equipment, such as 4G LTE, satellite (VSAT) and Wi-Fi, which enables the transmission of data on a more frequent or near-continuous basis. We believe that more frequent data communication could enable an end-user to more quickly and proactively make data-driven decisions which could result in economic advantages. Real-time data communications is an essential component of our EZM surveillance payload, allowing continued autonomous remote monitoring of marine traffic from land.</w:t>
      </w:r>
    </w:p>
    <w:p>
      <w:pPr>
        <w:spacing w:after="0" w:line="194" w:lineRule="exact"/>
        <w:rPr>
          <w:rFonts w:ascii="Arial" w:cs="Arial" w:eastAsia="Arial" w:hAnsi="Arial"/>
          <w:sz w:val="18"/>
          <w:szCs w:val="18"/>
          <w:i w:val="1"/>
          <w:iCs w:val="1"/>
          <w:color w:val="auto"/>
        </w:rPr>
      </w:pPr>
    </w:p>
    <w:p>
      <w:pPr>
        <w:jc w:val="both"/>
        <w:ind w:left="520" w:hanging="512"/>
        <w:spacing w:after="0" w:line="257" w:lineRule="auto"/>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power and persistence compared to certain current solutions</w:t>
      </w:r>
      <w:r>
        <w:rPr>
          <w:rFonts w:ascii="Arial" w:cs="Arial" w:eastAsia="Arial" w:hAnsi="Arial"/>
          <w:sz w:val="18"/>
          <w:szCs w:val="18"/>
          <w:color w:val="auto"/>
        </w:rPr>
        <w:t>. We have found that our PowerBuoys® may provide substantially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and persistence than certain existing battery and solar powered systems for long term deployments. We believe that this may allow additional sensors to be employed at the same site, a higher sensor data transmission rate to be achieved, extended operation and reduced downtime, and improved operational costs for the customer. Enabling these new capabilities may contribute to enhanced operations through real-time decision making and increased life-cycle cost savings.</w:t>
      </w:r>
    </w:p>
    <w:p>
      <w:pPr>
        <w:spacing w:after="0" w:line="187" w:lineRule="exact"/>
        <w:rPr>
          <w:rFonts w:ascii="Arial" w:cs="Arial" w:eastAsia="Arial" w:hAnsi="Arial"/>
          <w:sz w:val="18"/>
          <w:szCs w:val="18"/>
          <w:i w:val="1"/>
          <w:iCs w:val="1"/>
          <w:color w:val="auto"/>
        </w:rPr>
      </w:pPr>
    </w:p>
    <w:p>
      <w:pPr>
        <w:jc w:val="both"/>
        <w:ind w:left="520" w:hanging="512"/>
        <w:spacing w:after="0" w:line="259" w:lineRule="auto"/>
        <w:tabs>
          <w:tab w:leader="none" w:pos="5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Standard transportation and deployment. </w:t>
      </w:r>
      <w:r>
        <w:rPr>
          <w:rFonts w:ascii="Arial" w:cs="Arial" w:eastAsia="Arial" w:hAnsi="Arial"/>
          <w:sz w:val="18"/>
          <w:szCs w:val="18"/>
          <w:color w:val="auto"/>
        </w:rPr>
        <w:t>Our PB3 does not require special handling or transportation, and instead uses conventional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handling methods that are economical and readily available in standard marine operations. This may result in lower global transportation and deployment costs than current solutions. Our PB3 can be deployed using conventional vessels and conventional marine cranes and lifts. Our hybrid can be installed without the need of cranes by simply towing it out to location.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left="520" w:hanging="512"/>
        <w:spacing w:after="0" w:line="255" w:lineRule="auto"/>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Modular and scalable designs. </w:t>
      </w:r>
      <w:r>
        <w:rPr>
          <w:rFonts w:ascii="Arial" w:cs="Arial" w:eastAsia="Arial" w:hAnsi="Arial"/>
          <w:sz w:val="18"/>
          <w:szCs w:val="18"/>
          <w:color w:val="auto"/>
        </w:rPr>
        <w:t>Our PB3 and hybrid are designed with a modular ESS which allows us to tailor its configuration to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requirements, including expansion of energy storage capacity, potentially allowing for a more customized solution and potential cost savings for our customers. We believe that our PB3 is scalable to higher power levels, and multiple PB3 may also be installed in an array in order to achieve higher levels of aggregate power, although we have not yet demonstrated a PB3 array. We believe that the modular design of our subsea battery enables clients to specify larger energy storage than would be possible with just buoys and have this placed at the seabed and near existing electric subsea equipment.</w:t>
      </w:r>
    </w:p>
    <w:p>
      <w:pPr>
        <w:spacing w:after="0" w:line="192" w:lineRule="exact"/>
        <w:rPr>
          <w:rFonts w:ascii="Arial" w:cs="Arial" w:eastAsia="Arial" w:hAnsi="Arial"/>
          <w:sz w:val="18"/>
          <w:szCs w:val="18"/>
          <w:i w:val="1"/>
          <w:iCs w:val="1"/>
          <w:color w:val="auto"/>
        </w:rPr>
      </w:pPr>
    </w:p>
    <w:p>
      <w:pPr>
        <w:jc w:val="both"/>
        <w:ind w:left="520" w:hanging="512"/>
        <w:spacing w:after="0" w:line="216" w:lineRule="auto"/>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Flexible electrical, mechanical and communication interfaces for sensors. </w:t>
      </w:r>
      <w:r>
        <w:rPr>
          <w:rFonts w:ascii="Arial" w:cs="Arial" w:eastAsia="Arial" w:hAnsi="Arial"/>
          <w:sz w:val="18"/>
          <w:szCs w:val="18"/>
          <w:color w:val="auto"/>
        </w:rPr>
        <w:t>The PB3 and hybrid PowerBuoys® can be equipped with payloads,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mounted on or within the PowerBuoy®, or tethered to the PowerBuoy®. The PowerBuoys® have mechanical and electrical interfaces which allow for simplified integration of payloads, creating flexibility for the end-user. Our subsea battery will have specific interfaces for simplified integration with our PowerBuoys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electric power recharging, as well as for surface communications. Our PowerBuoys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will also have standard interfaces for subsea batteries of other providers charging as well as multiple payloads. Flexible interfaces reduce cost through simplified integration and deployment.</w:t>
      </w:r>
    </w:p>
    <w:p>
      <w:pPr>
        <w:spacing w:after="0" w:line="207" w:lineRule="exact"/>
        <w:rPr>
          <w:rFonts w:ascii="Arial" w:cs="Arial" w:eastAsia="Arial" w:hAnsi="Arial"/>
          <w:sz w:val="18"/>
          <w:szCs w:val="18"/>
          <w:i w:val="1"/>
          <w:iCs w:val="1"/>
          <w:color w:val="auto"/>
        </w:rPr>
      </w:pPr>
    </w:p>
    <w:p>
      <w:pPr>
        <w:jc w:val="both"/>
        <w:ind w:left="520" w:hanging="512"/>
        <w:spacing w:after="0" w:line="259" w:lineRule="auto"/>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Environmentally benign and aesthetically non-intrusive system design. </w:t>
      </w:r>
      <w:r>
        <w:rPr>
          <w:rFonts w:ascii="Arial" w:cs="Arial" w:eastAsia="Arial" w:hAnsi="Arial"/>
          <w:sz w:val="18"/>
          <w:szCs w:val="18"/>
          <w:color w:val="auto"/>
        </w:rPr>
        <w:t>We believe that our PB3 does not present significant risks to marine life, or</w:t>
      </w:r>
      <w:r>
        <w:rPr>
          <w:rFonts w:ascii="Arial" w:cs="Arial" w:eastAsia="Arial" w:hAnsi="Arial"/>
          <w:sz w:val="18"/>
          <w:szCs w:val="18"/>
          <w:i w:val="1"/>
          <w:iCs w:val="1"/>
          <w:color w:val="auto"/>
        </w:rPr>
        <w:t xml:space="preserve"> </w:t>
      </w:r>
      <w:r>
        <w:rPr>
          <w:rFonts w:ascii="Arial" w:cs="Arial" w:eastAsia="Arial" w:hAnsi="Arial"/>
          <w:sz w:val="18"/>
          <w:szCs w:val="18"/>
          <w:color w:val="auto"/>
        </w:rPr>
        <w:t>emit significant levels of pollutants, and therefore has minimal environmental impact as compared to some other current solutions. We believe there is no significant audible impact to the surrounding environment. We believe that our PB3 produces renewable electricity through the conversion of renewable ocean wave energy.</w:t>
      </w:r>
    </w:p>
    <w:p>
      <w:pPr>
        <w:spacing w:after="0" w:line="186" w:lineRule="exact"/>
        <w:rPr>
          <w:rFonts w:ascii="Arial" w:cs="Arial" w:eastAsia="Arial" w:hAnsi="Arial"/>
          <w:sz w:val="18"/>
          <w:szCs w:val="18"/>
          <w:i w:val="1"/>
          <w:iCs w:val="1"/>
          <w:color w:val="auto"/>
        </w:rPr>
      </w:pPr>
    </w:p>
    <w:p>
      <w:pPr>
        <w:jc w:val="both"/>
        <w:ind w:left="520" w:hanging="512"/>
        <w:spacing w:after="0" w:line="269" w:lineRule="auto"/>
        <w:tabs>
          <w:tab w:leader="none" w:pos="5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Ocean and factory-tested technology. </w:t>
      </w:r>
      <w:r>
        <w:rPr>
          <w:rFonts w:ascii="Arial" w:cs="Arial" w:eastAsia="Arial" w:hAnsi="Arial"/>
          <w:sz w:val="17"/>
          <w:szCs w:val="17"/>
          <w:color w:val="auto"/>
        </w:rPr>
        <w:t>Our PB3 is designed to be durable, with a three-year interval between required maintenance activities.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PB3 has survived hurricanes, tropical storms and North Sea winter storms. Since 1997 we have conducted ocean tests to demonstrate the viability of our technology. In 2011, we conducted multiple ocean tests of the predecessor PB3 under a contract with the U.S. Navy. More recently, we conducted multiple ocean tests of our current generation PB3. Commercial versions of the PB3 have been successfully deployed for MES and Eni. The MES PB3 performed well in a challenging shallow-water, high-current environment, and achieved its performance and duration objectives. The Eni PB3 deployed in the Adriatic Sea has been in the water for over eighteen months (as of May 2020) and has generated over 2.5 megawatts of energy. In 2015, we instituted factory-based PTO-accelerated life testing which simulates continuous operations under extremely harsh conditions. During the 2018 fiscal year, we also implemented additional features to the PB3 design to accommodate heavy topside payloads and seafloor-based payloads. Further, we continue to focus on standardizing manufacturing and production testing procedures and to work closely with our supply base to ensure production repeatability.</w:t>
      </w:r>
    </w:p>
    <w:p>
      <w:pPr>
        <w:spacing w:after="0" w:line="185" w:lineRule="exact"/>
        <w:rPr>
          <w:rFonts w:ascii="Arial" w:cs="Arial" w:eastAsia="Arial" w:hAnsi="Arial"/>
          <w:sz w:val="17"/>
          <w:szCs w:val="17"/>
          <w:i w:val="1"/>
          <w:iCs w:val="1"/>
          <w:color w:val="auto"/>
        </w:rPr>
      </w:pPr>
    </w:p>
    <w:p>
      <w:pPr>
        <w:jc w:val="both"/>
        <w:ind w:left="520" w:hanging="512"/>
        <w:spacing w:after="0" w:line="257" w:lineRule="auto"/>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Efficient design in harnessing renewable energy. </w:t>
      </w:r>
      <w:r>
        <w:rPr>
          <w:rFonts w:ascii="Arial" w:cs="Arial" w:eastAsia="Arial" w:hAnsi="Arial"/>
          <w:sz w:val="18"/>
          <w:szCs w:val="18"/>
          <w:color w:val="auto"/>
        </w:rPr>
        <w:t>We have designed and validated our PB3 for maximized power generation in average ocean wave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through optimized mechanical to electrical wave energy conversion. We have designed the onboard ESS to provide several days of continuous rated power during periods of low or no wave activity, depending on payload power consumption. For locations with consistent periods of low or no wave activity, or for locations with short-term power requirements, we are introducing our new hybrid which generates power using solar panels and a liquid-fuel backup power generation system.</w:t>
      </w:r>
    </w:p>
    <w:p>
      <w:pPr>
        <w:spacing w:after="0" w:line="187" w:lineRule="exact"/>
        <w:rPr>
          <w:rFonts w:ascii="Arial" w:cs="Arial" w:eastAsia="Arial" w:hAnsi="Arial"/>
          <w:sz w:val="18"/>
          <w:szCs w:val="18"/>
          <w:i w:val="1"/>
          <w:iCs w:val="1"/>
          <w:color w:val="auto"/>
        </w:rPr>
      </w:pPr>
    </w:p>
    <w:p>
      <w:pPr>
        <w:jc w:val="both"/>
        <w:ind w:left="520" w:hanging="512"/>
        <w:spacing w:after="0" w:line="270" w:lineRule="auto"/>
        <w:tabs>
          <w:tab w:leader="none" w:pos="5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Prior commercial relationships enabled the development of our technology. </w:t>
      </w:r>
      <w:r>
        <w:rPr>
          <w:rFonts w:ascii="Arial" w:cs="Arial" w:eastAsia="Arial" w:hAnsi="Arial"/>
          <w:sz w:val="17"/>
          <w:szCs w:val="17"/>
          <w:color w:val="auto"/>
        </w:rPr>
        <w:t>Our prior and existing relationships with the U.S. Navy, DOE, U.S.</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Homeland Security, MES, Eni and PMO have allowed us to further develop our solutions for a variety of needs in various industries. We believe these relationships have helped position us within the private sector for future commercial opportunities, which we believe enhances our market visibility and attractiveness to our prospective customers. For example, in 2011 our PowerBuoy® provided persistent power to an integrated radar and sonar system, significantly extending the U.S. Navy’s surveillance range. We have also demonstrated persistent maritime vessel detection with the U.S. Department of Homeland Security by integrating a hydrophone onto our PowerBuoy® and demonstrating enhanced maritime traffic detection. In these instances, the resulting data have informed our next round of design iterations to improve critical operations and reliability. We believe that our deployments with MES, Eni and PMO have provided commercial market credibility and allowed us to develop and market end-user solutions which we believe are valued in our principal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Company takes a rigorous approach to market evaluation. Utilizing publicly available and purchased data, we evaluate total addressable market sizes. We apply screening criteria to narrow our focus within these markets and identify sub-segments and associated serviced addressable market sizes. These market evaluations are updated on an ongoing basis throughout the year and more formally twice annually in line with our financial calendar. In 2019 the DOE’s Water Power Technology Office (WPTO) released the report Powering the Blue Economy: Exploring Opportunities for Marine Renewable Energy in Maritime Markets. The report described eight non-grid applications where renewable marine energy could provide consistent, reliable power. The identified marine energy applications are ocean observation, underwater vehicle charging, marine aquaculture, marine algae, seawater mining, seawater desalination, coastal resiliency and disaster recovery, and isolated communities. We have been focused on addressing the energy needs of many of these applications (e.g., ocean observation, underwater vehicle charging), and other offshore applications (e.g., maritime domain awareness / EZM, well-head monitoring and subsea equipment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Offshore Oil and Gas</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believe the offshore oil and gas industry is undergoing a significant transformation as it continues to invest in new technologies that enable cost savings and the electrification and digitization of operations. The industry encompasses more than 10,000 offshore sites, including exploration, production, reservoir management, and sites pending decommissioning based on information from organizations such as the U.S. Bureau of Safety and Environmental Enforcement and industry organizations and publications. We believe that we have opportunities to implement one or more PB3 at a large number of these sites to provide power in applications that are not currently possible, displace current power solutions, or augment existing technologies. This is partially driven by the growing demand for electrification, for example Norway is estimated to have 40% of its oil and gas production from electrified fields [Rystad 2019], as well as a growing desire for decarbonization and autonomous operations. For example, the market for remote and autonomous charging of subsea assets, such as ROVs and AUVs, is rapidly taking shape. The 2019 WPTO report states that “globally, the AUV market is estimated at $2.6 billion and it is expected to double by 2022”. Based on various reports, other applications in the oil and gas market include providing power to unmanned platforms and EZM during decommissioning activities. Although estimates vary in these reports, they generally point towards more then 4,000 platforms (and corresponding wells) that need to be decommissioned over the next 10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Security</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believe that our PB3 is uniquely positioned to be used to provide power and communications for multiple applications within the defense and security markets. The PB3’s ability to power multiple payloads may be an attractive feature for these markets, as their systems can be easily integrated into other PowerBuoy® applications allowing their operation to be concealed. An example application for domestic and international defense departments and defense contractors includes forward deployed energy and communications outposts (which is a current U.S. Department of Defense program), both above and below sea surface. Other example applications include perimeter security, early detection and warning systems, remote sensing stations, high frequency radar, sonar, electro-optical and infrared sensors for maritime security, network communications systems, and unmanned underwater vehicle docking stations.</w:t>
      </w:r>
    </w:p>
    <w:p>
      <w:pPr>
        <w:spacing w:after="0" w:line="19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Illegal, unregulated and unreported (IUU) fishing has become a global issue with both environmental and economic consequences. According to a report published in Sciences Advances by The University of British Columbia in February 2020, it is estimated the economic impact from illegal fishing to be as high as $50 billion. We believe our commercially proven EZM surveillance solution using the PB3 offers governments and non-governmental organizations (“NGO”) the ability to monitor fish resources and support securing exclusive economic zones (“EEZ”). Most EEZ monitoring is done by offshore patrol vessels (“OPV”), one of the fastest growing naval product markets with around 1,242 OPVs in service currently. We believe that our autonomous surveillance solution, which can be combined with satellite imagery, can deliver substantial economic impact to governments over incumbent solutions in securing remote fisheries.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Science and Research</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science and research market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in areas such as meteorology, climate change, ocean currents, and biological processes to inform operations and development. These groups often require a power and communications solution in remote offshore locations. According to NOAA’s 2016 Ocean Enterprise report, the total U.S. available ocean observing market from 2017 through 2021 for ocean-based systems infrastructure is projected to be $2.0 billion. Additionally, the increased interest in protecting marine habitats, offers opportunities to collaborate with governments and NGOs to monitor marine sanctuaries. Based on an article published in Gurufocus in February 2020, the Metocean data market alone is estimated at $143 million and estimated to grow at nearly 3% compound annual growth rate between 2020 and 2026.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and Other Markets</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believe that opportunities also exist in other markets such as communications and renewable energy development, such as offshore windfarms. The addition of near shore and offshore cellular and Wi-Fi platforms with reliable and persistent power could open new market opportunities for telecommunications carriers by displacing a portion of the maritime satellite communications market, while potentially decreasing communications costs for the marine and offshore oil and gas industries. According to an industry research paper titled “Prospects for Maritime Satellite Communications” in 2015 the global maritime satellite communications market had already reached close to 338,000 terminals, with $1.7 billion in revenue at the satellite communications service provider level. The report also noted that the value of the maritime satellite communications market is expected to continue to grow over the next decade, with a 10-year compound annual growth rate of 5% in terminals and revenue, primarily due to the increasing need for maritime data communications. Based on an article in Wind Power Monthly in October 2019 the offshore wind fleet is forecast to grow 15-fold by 2040 and move further offshore with Europe alone connecting over 500 turbines in 2019. These developments require ocean data during the early stages, monitoring of marine habitats during construction, and ongoing survey work once operational. Providing wave power solutions to utility scale renewable developments offers an attractive proposition to support renewable power and autonomous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We have made significant progress in redesigning and validating our commercially proven PB3 for use in remote offshore applications. Since 2015, we have brought the PB3 from initial concept to a full-scale design. We have performed multiple prototype iterations. During this time, we have conducted a number of in-ocean tests in combination with our facility-based accelerated life testing to validate our commercial-ready PB3 and to prepare for low rate initial production. In 2020, we completed our prototype hybrid. In December 2017, we relocated our production and corporate headquarters to a larger facility. This facility allows for expansion of our manufacturing capabilities and a move toward higher volume production of our solutions.</w:t>
      </w:r>
    </w:p>
    <w:p>
      <w:pPr>
        <w:spacing w:after="0" w:line="16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fiscal 2020 we made progress in marketing our PB3, as evidenced by the volume of proposals submitted to customers and requests for proposals from customers. We have made substantial progress in transitioning from R&amp;D to a commercialization focus with SELL, BUILD, SHIP as our motto and we intend to build on our success by implementing processes and solutions that cover the entire life cycle, from demand generation to close of contract, and from channel strategies to customer care.</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 majority of the Company’s opportunities with potential customers have been for projects in Western Europe, including the North Sea, as well as North America and Asia. Nearly two-thirds of these opportunities have progressed past initial feasibility and NDA stages to more detailed, confidential discussions around specific customer applications. Many of these discussions occur at the executive, decision-making level, as well as the implementation level.</w:t>
      </w:r>
    </w:p>
    <w:p>
      <w:pPr>
        <w:spacing w:after="0" w:line="18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Many proposal requests are for projects where one of our PowerBuoys® products, either the PB3 or the hybrid, is part of a larger solution demonstration, and typically include the potential lease or sale of one or more PowerBuoys®, as well as required services and maintenance support. A majority of hybrid inquiries are for shorter term deployments and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our PowerBuoy® product upon successful conclusion of the demonstration project.</w:t>
      </w:r>
    </w:p>
    <w:p>
      <w:pPr>
        <w:spacing w:after="0" w:line="16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believe this is an accurate depiction of the overall sales cycle for new technology in each of our target markets, including our PowerBuoy® products. However,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the resulting evidence of potential demand, vis-à-vis specific application proposal requests, are indicative of significant progress in our commercialization strategy. We believe that we have the potential for growth as a result of our positioning for higher volume production of our PowerBuoy® products and the initial indications of demand for our PowerBuoy® products in multiple customer applications.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firstLine="518"/>
        <w:spacing w:after="0" w:line="277" w:lineRule="auto"/>
        <w:rPr>
          <w:sz w:val="20"/>
          <w:szCs w:val="20"/>
          <w:color w:val="auto"/>
        </w:rPr>
      </w:pPr>
      <w:r>
        <w:rPr>
          <w:rFonts w:ascii="Arial" w:cs="Arial" w:eastAsia="Arial" w:hAnsi="Arial"/>
          <w:sz w:val="18"/>
          <w:szCs w:val="18"/>
          <w:color w:val="auto"/>
        </w:rPr>
        <w:t>We continue to commercialize our PowerBuoy® products for use in remote offshore power and real-time data communications applications. To achieve this goal, we are pursuing the following business objectives:</w:t>
      </w:r>
    </w:p>
    <w:p>
      <w:pPr>
        <w:spacing w:after="0" w:line="170" w:lineRule="exact"/>
        <w:rPr>
          <w:sz w:val="20"/>
          <w:szCs w:val="20"/>
          <w:color w:val="auto"/>
        </w:rPr>
      </w:pPr>
    </w:p>
    <w:p>
      <w:pPr>
        <w:jc w:val="both"/>
        <w:ind w:left="520" w:hanging="512"/>
        <w:spacing w:after="0" w:line="288" w:lineRule="auto"/>
        <w:tabs>
          <w:tab w:leader="none" w:pos="5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Integrated turn-key solutions sales or leases incorporating our products and services. </w:t>
      </w:r>
      <w:r>
        <w:rPr>
          <w:rFonts w:ascii="Arial" w:cs="Arial" w:eastAsia="Arial" w:hAnsi="Arial"/>
          <w:sz w:val="16"/>
          <w:szCs w:val="16"/>
          <w:color w:val="auto"/>
        </w:rPr>
        <w:t>We believe our PB3 and hybrid PowerBuoys® are well suited</w:t>
      </w:r>
      <w:r>
        <w:rPr>
          <w:rFonts w:ascii="Arial" w:cs="Arial" w:eastAsia="Arial" w:hAnsi="Arial"/>
          <w:sz w:val="16"/>
          <w:szCs w:val="16"/>
          <w:i w:val="1"/>
          <w:iCs w:val="1"/>
          <w:color w:val="auto"/>
        </w:rPr>
        <w:t xml:space="preserve"> </w:t>
      </w:r>
      <w:r>
        <w:rPr>
          <w:rFonts w:ascii="Arial" w:cs="Arial" w:eastAsia="Arial" w:hAnsi="Arial"/>
          <w:sz w:val="16"/>
          <w:szCs w:val="16"/>
          <w:color w:val="auto"/>
        </w:rPr>
        <w:t>to enable many unmanned, 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leveraging both PowerBuoy® and subsea battery sales and leases within our selected markets,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 application engineering, planning, training, project management, and marine and logistics support required for our solution life-cycle. We also intend to pursue turn-key projects where we take on a prime contractor role to capture broader revenue opportunities while ensuring that solutions effectively address customer needs. We continue to increase our commercial capabilities through new hires in sales, and application support, and through engagement of expert market consultants in various geographies.</w:t>
      </w:r>
    </w:p>
    <w:p>
      <w:pPr>
        <w:spacing w:after="0" w:line="168" w:lineRule="exact"/>
        <w:rPr>
          <w:rFonts w:ascii="Arial" w:cs="Arial" w:eastAsia="Arial" w:hAnsi="Arial"/>
          <w:sz w:val="16"/>
          <w:szCs w:val="16"/>
          <w:i w:val="1"/>
          <w:iCs w:val="1"/>
          <w:color w:val="auto"/>
        </w:rPr>
      </w:pPr>
    </w:p>
    <w:p>
      <w:pPr>
        <w:jc w:val="both"/>
        <w:ind w:left="520" w:hanging="512"/>
        <w:spacing w:after="0" w:line="287" w:lineRule="auto"/>
        <w:tabs>
          <w:tab w:leader="none" w:pos="5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customer system solution offerings through new complimentary products that enable shorter and more cost-efficient deployments.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the prototype of the hybrid in 2020. This product builds on our existing expertise in offshore power systems and is targeted for a near term deployment. The hybrid is a solar powered buoy with a liquid propane powered Stirling engine burning propane as a backup. The hybrid is to be highly complementary to the PB3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is developing a subsea battery system which will be complimentary to the Company’s PowerBuoy® products. The subsea battery system is expected to offer the possibility of creating a sea floor energy storage solution for remote offshore operations. These subsea battery systems will contain lithium ion batteries, which provide high power density to supply power to subsea equipment, sensors, communications, and the recharging of AUVs and eROVs. Ideal for many remote offshore customer applications, these subsea battery systems are anticipated to be high performance, cost-efficient, and quickly deployable.</w:t>
      </w:r>
    </w:p>
    <w:p>
      <w:pPr>
        <w:spacing w:after="0" w:line="171" w:lineRule="exact"/>
        <w:rPr>
          <w:rFonts w:ascii="Arial" w:cs="Arial" w:eastAsia="Arial" w:hAnsi="Arial"/>
          <w:sz w:val="16"/>
          <w:szCs w:val="16"/>
          <w:i w:val="1"/>
          <w:iCs w:val="1"/>
          <w:color w:val="auto"/>
        </w:rPr>
      </w:pPr>
    </w:p>
    <w:p>
      <w:pPr>
        <w:jc w:val="both"/>
        <w:ind w:left="52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on parts of North and South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Europe and Asia. We believe that each of these areas has demand for our solutions, sizable end market opportunities, political and economic stability, and high levels of industrialization and economic development.</w:t>
      </w:r>
    </w:p>
    <w:p>
      <w:pPr>
        <w:spacing w:after="0" w:line="183" w:lineRule="exact"/>
        <w:rPr>
          <w:rFonts w:ascii="Arial" w:cs="Arial" w:eastAsia="Arial" w:hAnsi="Arial"/>
          <w:sz w:val="18"/>
          <w:szCs w:val="18"/>
          <w:color w:val="auto"/>
        </w:rPr>
      </w:pPr>
    </w:p>
    <w:p>
      <w:pPr>
        <w:jc w:val="both"/>
        <w:ind w:left="520" w:hanging="512"/>
        <w:spacing w:after="0" w:line="293" w:lineRule="auto"/>
        <w:tabs>
          <w:tab w:leader="none" w:pos="5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our relationships in key market areas through strategic partnerships and collaborations. </w:t>
      </w:r>
      <w:r>
        <w:rPr>
          <w:rFonts w:ascii="Arial" w:cs="Arial" w:eastAsia="Arial" w:hAnsi="Arial"/>
          <w:sz w:val="16"/>
          <w:szCs w:val="16"/>
          <w:color w:val="auto"/>
        </w:rPr>
        <w:t>We believe that strategic partners are an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commercializing solutions and new products.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 We have formed such a relationship with several well-known groups, including Modus Seabed Intervention Ltd. (“Modus”), Saab Seaeye Ltd. (“Saab”), Acteon Field Life Service Ltd. (“Acteon”), MES, PMO and Eni. We continue to seek other opportunities to collaborate with application experts from within our selected markets.</w:t>
      </w:r>
    </w:p>
    <w:p>
      <w:pPr>
        <w:spacing w:after="0" w:line="164" w:lineRule="exact"/>
        <w:rPr>
          <w:rFonts w:ascii="Arial" w:cs="Arial" w:eastAsia="Arial" w:hAnsi="Arial"/>
          <w:sz w:val="16"/>
          <w:szCs w:val="16"/>
          <w:i w:val="1"/>
          <w:iCs w:val="1"/>
          <w:color w:val="auto"/>
        </w:rPr>
      </w:pPr>
    </w:p>
    <w:p>
      <w:pPr>
        <w:jc w:val="both"/>
        <w:ind w:left="520" w:hanging="512"/>
        <w:spacing w:after="0" w:line="257" w:lineRule="auto"/>
        <w:tabs>
          <w:tab w:leader="none" w:pos="5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PowerBuoy® to minimize our capital requirements as we scale our business. Our PTO is a proprietary subsystem and is assembled and tested at our facility. We believe this distributed manufacturing and assembly approach enables us to focus on our core competencies and ensure a cost-effective product by leveraging a larger more established supply base. We also continue to seek strategic partnerships with regard to servicing of our products.</w:t>
      </w:r>
    </w:p>
    <w:p>
      <w:pPr>
        <w:spacing w:after="0" w:line="187" w:lineRule="exact"/>
        <w:rPr>
          <w:rFonts w:ascii="Arial" w:cs="Arial" w:eastAsia="Arial" w:hAnsi="Arial"/>
          <w:sz w:val="18"/>
          <w:szCs w:val="18"/>
          <w:i w:val="1"/>
          <w:iCs w:val="1"/>
          <w:color w:val="auto"/>
        </w:rPr>
      </w:pPr>
    </w:p>
    <w:p>
      <w:pPr>
        <w:jc w:val="both"/>
        <w:ind w:left="520" w:hanging="512"/>
        <w:spacing w:after="0" w:line="279" w:lineRule="auto"/>
        <w:tabs>
          <w:tab w:leader="none" w:pos="5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Cost reduction and PowerBuoy</w:t>
      </w:r>
      <w:r>
        <w:rPr>
          <w:rFonts w:ascii="Arial" w:cs="Arial" w:eastAsia="Arial" w:hAnsi="Arial"/>
          <w:sz w:val="17"/>
          <w:szCs w:val="17"/>
          <w:color w:val="auto"/>
        </w:rPr>
        <w:t>®</w:t>
      </w:r>
      <w:r>
        <w:rPr>
          <w:rFonts w:ascii="Arial" w:cs="Arial" w:eastAsia="Arial" w:hAnsi="Arial"/>
          <w:sz w:val="17"/>
          <w:szCs w:val="17"/>
          <w:i w:val="1"/>
          <w:iCs w:val="1"/>
          <w:color w:val="auto"/>
        </w:rPr>
        <w:t xml:space="preserve"> solution development. </w:t>
      </w:r>
      <w:r>
        <w:rPr>
          <w:rFonts w:ascii="Arial" w:cs="Arial" w:eastAsia="Arial" w:hAnsi="Arial"/>
          <w:sz w:val="17"/>
          <w:szCs w:val="17"/>
          <w:color w:val="auto"/>
        </w:rPr>
        <w:t>Our engineering efforts are mainly focused on addressing customer solutions; PowerBuoy®</w:t>
      </w:r>
      <w:r>
        <w:rPr>
          <w:rFonts w:ascii="Arial" w:cs="Arial" w:eastAsia="Arial" w:hAnsi="Arial"/>
          <w:sz w:val="17"/>
          <w:szCs w:val="17"/>
          <w:i w:val="1"/>
          <w:iCs w:val="1"/>
          <w:color w:val="auto"/>
        </w:rPr>
        <w:t xml:space="preserve"> </w:t>
      </w:r>
      <w:r>
        <w:rPr>
          <w:rFonts w:ascii="Arial" w:cs="Arial" w:eastAsia="Arial" w:hAnsi="Arial"/>
          <w:sz w:val="17"/>
          <w:szCs w:val="17"/>
          <w:color w:val="auto"/>
        </w:rPr>
        <w:t>sales; reducing product, installation, and life-cycle costs; and improving the energy output, reliability, maintenance interval and expected operating life of our products. We continue to optimize manufacturability of our designs with a focus on cost competitiveness, and we believe we will be able to address new applications by developing new payloads and solutions that address customer needs.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continue to enhance our marketing capabilities across our target markets and we actively marketing our PowerBuoys® solutions. We currently use a direct sales force consisting of employees and industry expert consultants. Because our solutions use technology which is not yet fully adopted by our target markets, we expect that the customer decision process could require us to spend substantial time educating end-users and stakeholders, which may result in a lengthy sales cycle.</w:t>
      </w:r>
    </w:p>
    <w:p>
      <w:pPr>
        <w:spacing w:after="0" w:line="18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attend and display our products at trade shows and conferences that represent our pursued markets. In September 2019 the Company held a Technology Day in Montrose, Scotland. In May 2019, the Company was an exhibitor at the Offshore Technology Conference in Houston, Texas and also an exhibitor at the U.S. Navy League’s Sea-Air-Space Exposition in National Harbor, Maryland.</w:t>
      </w:r>
    </w:p>
    <w:p>
      <w:pPr>
        <w:spacing w:after="0" w:line="18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market our PowerBuoys® to companies and entities requiring remote offshore power and communications solutions, including for example, offshore oil and gas companies for potential applications such as EZM and surveillance, and power and communications for remotely operated vehicles or AUV charging stations. We also see opportunities for defense and security applications such as perimeter security using active sensors such as high frequency radar and acoustic systems with significant processing and communications requirements.</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Additionally, we continue to seek to enter into strategic relationships to develop application solutions with commercial and military sensor and equipment manufacturers, where we might grant licenses to manufacture PowerBuoys® or PowerBuoy® subsystems.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We expect to compete with other providers of in-ocean autonomous power sources, primarily consisting of subsea batteries, solar and fossil-fuel power sources, where many of the providers are substantially larger than OPT and may have access to greater financial resources. Incumbent sources of in-ocean power may also represent established and reliable power sources and may have already gained customer acceptance. Our ability to compete successfully for business from applications seeking in-ocean power will depend on our ability to produce and store energy reliably and at a total cost that is competitive with or lower than that of other sources, and on the on-going reliability of our product and customer perception of our company. Our ability to compete effectively may be adversely affected by our current need for additional financing and our future customers’ concerns about our long-term</w:t>
      </w:r>
    </w:p>
    <w:p>
      <w:pPr>
        <w:spacing w:after="0" w:line="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viability. We also may have the opportunity to cooperate with other solution providers, such as other providers of subsea batteries where our PowerBuoys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might provide recharging capabilities.</w:t>
      </w:r>
    </w:p>
    <w:p>
      <w:pPr>
        <w:spacing w:after="0" w:line="204"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As of April 2020, there were over 400 companies, some with institutional funding, listed in the DOE’s Marine and Hydrokinetic (“MHK”) Technology Database. This DOE database provides up-to-date information on MHK renewable energy technologies and companies, both in the U.S. and around the world. Many of these companies are located in the U.K., continental Europe, Japan, Israel, the U.S. and Australia, and many of those companies are pursuing the utility, grid-connected energy market. The MHK industry continues to evolve as participants strive to differentiate themselves by promoting their specific technology focusing on cost and efficiency. The companies are subdivided by implementation: wave power, current power, tidal and ocean thermal energy conversion. Within wave power, the technologies are classified as point absorber, oscillating wave column, overtopping device, attenuator and oscillating wave surge converter. Our PowerBuoy® wave energy converter is classified as a point absorber.</w:t>
      </w:r>
    </w:p>
    <w:p>
      <w:pPr>
        <w:spacing w:after="0" w:line="166"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vast majority of the companies in the DOE’s database are small, start-up type companies with a small number of employees and in early stage development that do not have our in-ocean validation experience. Only a few of these companies have conducted testing similar to us, such as accelerated life testing and extensive wave tank testing on reduced scale models of their devices. We believe our in-ocean experience is critical in proving the reliability, survivability and performance of any wave energy system, which we believe our future customers will require before adopting any wave generated energy solution. We believe our experience gained through full scale in-ocean deployments, coupled with other types of factory and laboratory testing, and our resulting understanding of risks and failure modes provides us with an advantage compared to potential wave energy competitors.</w:t>
      </w:r>
    </w:p>
    <w:p>
      <w:pPr>
        <w:spacing w:after="0" w:line="164"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believe there are only a small number of companies that may have the technical capability and financial viability to compete in the offshore autonomous power market; however, their technologies are still in early stage development with limited ocean testing. We believe that none of these technologies are at the maturity level of our current PB3, and because of this we believe that we continue to maintain a first mover advantage.</w:t>
      </w:r>
    </w:p>
    <w:p>
      <w:pPr>
        <w:spacing w:after="0" w:line="16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continuously monitor non-traditional competitive threats, such as multi domain drones and artificial intelligence tools utilizing satellite data. We are in active discussions with companies in these markets to evaluate synergistic solution development where we believe there may be a demand for cooperative solutions.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33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Twelve months ended April 30,</w:t>
            </w:r>
          </w:p>
        </w:tc>
      </w:tr>
      <w:tr>
        <w:trPr>
          <w:trHeight w:val="236"/>
        </w:trPr>
        <w:tc>
          <w:tcPr>
            <w:tcW w:w="512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5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PowerBuoy® solutions and related services to customers. Our potential customer base for our PowerBuoys® solutions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Customers</w:t>
      </w:r>
    </w:p>
    <w:p>
      <w:pPr>
        <w:spacing w:after="0" w:line="225" w:lineRule="exact"/>
        <w:rPr>
          <w:sz w:val="20"/>
          <w:szCs w:val="20"/>
          <w:color w:val="auto"/>
        </w:rPr>
      </w:pPr>
    </w:p>
    <w:p>
      <w:pPr>
        <w:jc w:val="both"/>
        <w:ind w:left="840" w:hanging="319"/>
        <w:spacing w:after="0" w:line="263"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Eni exercised their option from the March 2018 contract to extend their lease of the PB3 for an additional 18 months. The initial provision in March 2018 agreement provided for a minimum 24-month contract that included an 18-month PB3 lease and associated project management.</w:t>
      </w:r>
    </w:p>
    <w:p>
      <w:pPr>
        <w:spacing w:after="0" w:line="183" w:lineRule="exact"/>
        <w:rPr>
          <w:rFonts w:ascii="Arial" w:cs="Arial" w:eastAsia="Arial" w:hAnsi="Arial"/>
          <w:sz w:val="18"/>
          <w:szCs w:val="18"/>
          <w:color w:val="auto"/>
        </w:rPr>
      </w:pPr>
    </w:p>
    <w:p>
      <w:pPr>
        <w:jc w:val="both"/>
        <w:ind w:left="840" w:hanging="319"/>
        <w:spacing w:after="0" w:line="311"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September 2019, we entered into two contracts with subsidiaries of EGP which include the sale of a PB3 and the development and supply of a turn-key integrated Open Sea Lab (“OSL”) that will be the Company’s first deployment off the coast of Chile. The contract is a result of a detailed feasibility study of the PB3 as an offshore autonomous platform hosting oceanographic sensor systems conducted in September 2018.</w:t>
      </w:r>
    </w:p>
    <w:p>
      <w:pPr>
        <w:spacing w:after="0" w:line="148" w:lineRule="exact"/>
        <w:rPr>
          <w:rFonts w:ascii="Arial" w:cs="Arial" w:eastAsia="Arial" w:hAnsi="Arial"/>
          <w:sz w:val="16"/>
          <w:szCs w:val="16"/>
          <w:color w:val="auto"/>
        </w:rPr>
      </w:pPr>
    </w:p>
    <w:p>
      <w:pPr>
        <w:ind w:left="840" w:hanging="319"/>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2019 we entered into an agreement with a leading oil and gas operator to conduct a detailed feasibility study of using the Company’s technology to monitor subsea wells.</w:t>
      </w:r>
    </w:p>
    <w:p>
      <w:pPr>
        <w:spacing w:after="0" w:line="170" w:lineRule="exact"/>
        <w:rPr>
          <w:rFonts w:ascii="Arial" w:cs="Arial" w:eastAsia="Arial" w:hAnsi="Arial"/>
          <w:sz w:val="18"/>
          <w:szCs w:val="18"/>
          <w:color w:val="auto"/>
        </w:rPr>
      </w:pPr>
    </w:p>
    <w:p>
      <w:pPr>
        <w:ind w:left="840" w:right="20" w:hanging="319"/>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2019, we entered into a contract with the U.S. Navy to carry out the first phase of a project to design and develop a buoy mooring system which incorporates fiber optics for the transmission of subsea sensor data to airplanes, ships, and satellites.</w:t>
      </w:r>
    </w:p>
    <w:p>
      <w:pPr>
        <w:spacing w:after="0" w:line="170" w:lineRule="exact"/>
        <w:rPr>
          <w:rFonts w:ascii="Arial" w:cs="Arial" w:eastAsia="Arial" w:hAnsi="Arial"/>
          <w:sz w:val="18"/>
          <w:szCs w:val="18"/>
          <w:color w:val="auto"/>
        </w:rPr>
      </w:pPr>
    </w:p>
    <w:p>
      <w:pPr>
        <w:jc w:val="both"/>
        <w:ind w:left="840" w:hanging="319"/>
        <w:spacing w:after="0" w:line="25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2018, we entered into a contract with PMO for the lease of a PB3 to be deployed in one of PMO’s offshore fields in the North Sea. During its deployment, the PB3 provided unmanned EZM service. With an opportunistic marine weather window that allowed for offshore equipment retrievals, in early March 2020 the Company and Premier Oil retrieved the PB3 and is preparing to ship the PB3 back to the Company’s headquarters in Monroe, New Jersey. The PB3 will be serviced to prepare for one of multiple upcoming commercial opportunities. In addition, the Company will perform an inspection and review of the system’s performance with the intention to develop a Phase II deployment scope with Premier Oil. As a result of this, revenue recognized was impacted for the fourth quarter, 2020 and we removed the remaining lease payments from fiscal 2020 backlog.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ind w:left="840" w:hanging="319"/>
        <w:spacing w:after="0" w:line="259"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May 2019, we signed a memorandum of understanding with Modus, Ltd. for the purpose of developing and delivering commercial market solutions that offer a step-change in innovation and market value against conventional methodologies, specifically through development and marketing of a combined HAUV charging station which will be able to utilize the PowerBuoy® system for topside charging and communications.</w:t>
      </w:r>
    </w:p>
    <w:p>
      <w:pPr>
        <w:spacing w:after="0" w:line="186" w:lineRule="exact"/>
        <w:rPr>
          <w:rFonts w:ascii="Arial" w:cs="Arial" w:eastAsia="Arial" w:hAnsi="Arial"/>
          <w:sz w:val="18"/>
          <w:szCs w:val="18"/>
          <w:color w:val="auto"/>
        </w:rPr>
      </w:pPr>
    </w:p>
    <w:p>
      <w:pPr>
        <w:ind w:left="840" w:hanging="319"/>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2019, we signed a memorandum of understanding with Acteon to develop, explore and exploit mutual opportunities in the global oil and gas and renewable markets.</w:t>
      </w:r>
    </w:p>
    <w:p>
      <w:pPr>
        <w:spacing w:after="0" w:line="170" w:lineRule="exact"/>
        <w:rPr>
          <w:rFonts w:ascii="Arial" w:cs="Arial" w:eastAsia="Arial" w:hAnsi="Arial"/>
          <w:sz w:val="18"/>
          <w:szCs w:val="18"/>
          <w:color w:val="auto"/>
        </w:rPr>
      </w:pPr>
    </w:p>
    <w:p>
      <w:pPr>
        <w:ind w:left="840" w:hanging="319"/>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2019, we entered into a Joint System Solution Development and Marketing Agreement with Saab. The agreement anticipates a preliminary focus on AUV and eROV charging and communications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As of April 30, 2020, our backlog was $1.0 million compared to a backlog of $0.9 million as of April 30, 2019.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p>
    <w:p>
      <w:pPr>
        <w:spacing w:after="0" w:line="22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team has a broad range of experience in mechanical, electrical, and ocean engineering. We have engaged in extensive efforts to improve the PB3 PowerBuoy® efficiency, reliability and power output, and improve manufacturability while reducing cost and complexity. Our recent efforts have been focused on reducing cost of our PB3 PowerBuoys® and their deployment costs in order to balance customer cost with our solution value proposition. We continue to seek to increase the capabilities of our PB3 PowerBuoy® systems by designing flexible interfaces and rendering them sensor and payload agnostic.</w:t>
      </w:r>
    </w:p>
    <w:p>
      <w:pPr>
        <w:spacing w:after="0" w:line="188"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We have also focused on the development and implementation of accelerated testing regimens and techniques known as accelerated life testing. Such methods accelerate failures in a laboratory environment, as compared to more lengthy and expensive full-scale ocean deployments during normal use and extreme conditions. This testing allows us to quantify the life characteristics of critical components and subsystems which would normally require several years of operation in ocean conditions to achieve similar levels of wear and tear. Accelerated life testing is used successfully in other industries such as automotive and aerospace and is a critical enabler for rapid product and technology development and maturation.</w:t>
      </w:r>
    </w:p>
    <w:p>
      <w:pPr>
        <w:spacing w:after="0" w:line="16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 concerted effort has been underway which is focused on proactively implementing additional features driven by extensive and direct discussions with potential users, customers, marketing partners, and end users in our target markets. Such features include:</w:t>
      </w:r>
    </w:p>
    <w:p>
      <w:pPr>
        <w:spacing w:after="0" w:line="170" w:lineRule="exact"/>
        <w:rPr>
          <w:sz w:val="20"/>
          <w:szCs w:val="20"/>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Enhancement and cost-out of our current PB3 PowerBuoy® product and supporting systems and deployment and installation methods through customary product life cycle management.</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and development of a single point combined mooring umbilical solution that allows for quicker deployment of the PowerBuoy® and enables effective stationkeeping while providing a pathway for the delivery of power and communication capabilities to customer payloads which are external to the PowerBuoy®, or for recharging and communication capabilities from our PowerBuoy® to our subsea battery.</w:t>
      </w:r>
    </w:p>
    <w:p>
      <w:pPr>
        <w:spacing w:after="0" w:line="18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development and implementation of an advanced buoy controller that significantly reduces power consumption and continues to address buoy reliability, and supports high computational speeds needed for the PowerBuoy® monitoring and control as well as integrated solutions requiring real-time data communications.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have created a hybrid PowerBuoy® that is a solar powered and liquid-fueled surface buoy, compared to the wave power generating PB3. The hybrid is powered primarily through solar with liquid-fueled back-up and is capable of providing reliable power in remote offshore locations, regardless of ocean wave conditions. It is primarily intended for shorter term deployment applications such as eROV and AUV inspections and short-term maintenance, topside surveillance and communications, and subsea equipment and controls. The hybrid is anticipated to be quickly deployable and cost-effective solution. The design has a high payload capacity for communications and surveillance, with the capability of being tethered to subsea payloads such as batteries, or with a conventional anchor mooring system. A validation test is anticipated to take place in U.S. waters during the summer of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 solutions</w:t>
      </w:r>
    </w:p>
    <w:p>
      <w:pPr>
        <w:spacing w:after="0" w:line="225"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 is finalizing the commercialization schedule of its subsea battery. The subsea battery has been designed to provide continuous and/or short-term power supply from its integrated energy storage system, enabling us to supply into a range of industries and applications.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believe that our technology differentiates us from other providers of wave energy conversion technologies. As a result, our success depends in part on our ability to obtain and maintain proprietary protection for our products, technology and know-how, to operate without infringing upon the proprietary rights of others and to prevent others from infringing upon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9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June 2020, we have been issued 66 U.S. patents, of which 36 are active, 23 have expired and seven were abandoned. Outside of the U.S. we have been issued 256 patents across 13 countries with 32 of the active U.S. patents having at least one corresponding issued foreign patent. We have filed for 4 additional U.S. patents and 3 of the U.S. patents applications have corresponding foreign patent applications at this time. Our patent portfolio includes patents and patent applications with claims directed to:</w:t>
      </w:r>
    </w:p>
    <w:p>
      <w:pPr>
        <w:spacing w:after="0" w:line="18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1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expiration dates for our issued U.S. patents range from 2021 to 2037.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8" w:lineRule="exact"/>
        <w:rPr>
          <w:sz w:val="20"/>
          <w:szCs w:val="20"/>
          <w:color w:val="auto"/>
        </w:rPr>
      </w:pPr>
    </w:p>
    <w:p>
      <w:pPr>
        <w:jc w:val="both"/>
        <w:ind w:firstLine="518"/>
        <w:spacing w:after="0" w:line="225" w:lineRule="auto"/>
        <w:rPr>
          <w:sz w:val="20"/>
          <w:szCs w:val="20"/>
          <w:color w:val="auto"/>
        </w:rPr>
      </w:pPr>
      <w:r>
        <w:rPr>
          <w:rFonts w:ascii="Arial" w:cs="Arial" w:eastAsia="Arial" w:hAnsi="Arial"/>
          <w:sz w:val="18"/>
          <w:szCs w:val="18"/>
          <w:color w:val="auto"/>
        </w:rPr>
        <w:t>We use trademarks on nearly all our products and believe that having distinctive marks is an important factor in marketing our products. We have registered our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PB-Vue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PowerTower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Making Waves in Power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Talk on Water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marks in the United States. Trademark ownership is generally of indefinite duration when marks are properly maintained in commercial use.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PowerBuoys® are subject to regulation in the U.S. and in foreign jurisdictions concerning, among other areas, site approval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171" w:lineRule="exact"/>
        <w:rPr>
          <w:sz w:val="20"/>
          <w:szCs w:val="20"/>
          <w:color w:val="auto"/>
        </w:rPr>
      </w:pPr>
    </w:p>
    <w:p>
      <w:pPr>
        <w:jc w:val="both"/>
        <w:ind w:firstLine="518"/>
        <w:spacing w:after="0" w:line="311" w:lineRule="auto"/>
        <w:rPr>
          <w:sz w:val="20"/>
          <w:szCs w:val="20"/>
          <w:color w:val="auto"/>
        </w:rPr>
      </w:pPr>
      <w:r>
        <w:rPr>
          <w:rFonts w:ascii="Arial" w:cs="Arial" w:eastAsia="Arial" w:hAnsi="Arial"/>
          <w:sz w:val="16"/>
          <w:szCs w:val="16"/>
          <w:color w:val="auto"/>
        </w:rPr>
        <w:t>The renewable energy industry has also been subject to increasing regulation. As the renewable energy industry continues to evolve and as the wave energy industry continues to evolve, we anticipate that wave energy technology and our PowerBuoys® and their deployment will be subject to increased oversight and regulation in accordance with international, national and local regulations relating to safety, sites, and environmental protection.</w:t>
      </w:r>
    </w:p>
    <w:p>
      <w:pPr>
        <w:spacing w:after="0" w:line="14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i w:val="1"/>
          <w:iCs w:val="1"/>
          <w:color w:val="auto"/>
        </w:rPr>
        <w:t xml:space="preserve">Site Approval. </w:t>
      </w:r>
      <w:r>
        <w:rPr>
          <w:rFonts w:ascii="Arial" w:cs="Arial" w:eastAsia="Arial" w:hAnsi="Arial"/>
          <w:sz w:val="16"/>
          <w:szCs w:val="16"/>
          <w:color w:val="auto"/>
        </w:rPr>
        <w:t>In the U.S., federal agencies regulate the siting of long-term renewable energy projects and related-uses located on the outer</w:t>
      </w:r>
      <w:r>
        <w:rPr>
          <w:rFonts w:ascii="Arial" w:cs="Arial" w:eastAsia="Arial" w:hAnsi="Arial"/>
          <w:sz w:val="16"/>
          <w:szCs w:val="16"/>
          <w:i w:val="1"/>
          <w:iCs w:val="1"/>
          <w:color w:val="auto"/>
        </w:rPr>
        <w:t xml:space="preserve"> </w:t>
      </w:r>
      <w:r>
        <w:rPr>
          <w:rFonts w:ascii="Arial" w:cs="Arial" w:eastAsia="Arial" w:hAnsi="Arial"/>
          <w:sz w:val="16"/>
          <w:szCs w:val="16"/>
          <w:color w:val="auto"/>
        </w:rPr>
        <w:t>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6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 xml:space="preserve">Environmental Approval and Compliance. </w:t>
      </w:r>
      <w:r>
        <w:rPr>
          <w:rFonts w:ascii="Arial" w:cs="Arial" w:eastAsia="Arial" w:hAnsi="Arial"/>
          <w:sz w:val="17"/>
          <w:szCs w:val="17"/>
          <w:color w:val="auto"/>
        </w:rPr>
        <w:t>We are subject to various foreign, federal, state and local environmental protection and health and safety</w:t>
      </w:r>
      <w:r>
        <w:rPr>
          <w:rFonts w:ascii="Arial" w:cs="Arial" w:eastAsia="Arial" w:hAnsi="Arial"/>
          <w:sz w:val="17"/>
          <w:szCs w:val="17"/>
          <w:i w:val="1"/>
          <w:iCs w:val="1"/>
          <w:color w:val="auto"/>
        </w:rPr>
        <w:t xml:space="preserve"> </w:t>
      </w:r>
      <w:r>
        <w:rPr>
          <w:rFonts w:ascii="Arial" w:cs="Arial" w:eastAsia="Arial" w:hAnsi="Arial"/>
          <w:sz w:val="17"/>
          <w:szCs w:val="17"/>
          <w:color w:val="auto"/>
        </w:rPr>
        <w:t>laws and regulations governing, among other things: the generation, storage, handling, use and transportation of hazardous materials; the emission and discharge of hazardous materials into the ground, air or water; and the health and safety of our employees. In addition, in the U.S., the construction and operation of PowerBuoys® offshore would require permits and approvals from the U.S. Coast Guard, the U.S.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w:t>
      </w:r>
    </w:p>
    <w:p>
      <w:pPr>
        <w:spacing w:after="0" w:line="178"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18"/>
          <w:szCs w:val="18"/>
          <w:i w:val="1"/>
          <w:iCs w:val="1"/>
          <w:color w:val="auto"/>
        </w:rPr>
        <w:t xml:space="preserve">Subsidies and Incentives. </w:t>
      </w:r>
      <w:r>
        <w:rPr>
          <w:rFonts w:ascii="Arial" w:cs="Arial" w:eastAsia="Arial" w:hAnsi="Arial"/>
          <w:sz w:val="18"/>
          <w:szCs w:val="18"/>
          <w:color w:val="auto"/>
        </w:rPr>
        <w:t>Renewable energy subsidies and incentives are generally applicable only to electric generation and supply to the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grid. However, our autonomous applications may permit a customer to reduce its carbon emissions, which our potential customers may be able to publicize in their environmental stewardship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engage in two types of manufacturing activities: 1) the manufacturing of the high value-added PTO components for systems control, power generation and conversion, and energy storage for each PowerBuoy®; and 2) contracting with outside companies for the fabrication of the buoy structure, mooring system, and cabling.</w:t>
      </w:r>
    </w:p>
    <w:p>
      <w:pPr>
        <w:spacing w:after="0" w:line="184"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Our core in-house manufacturing activity is the assembly, final systems integration and testing of the PTO and its components, which is conducted at our New Jersey facility. The power generation system consists of electro-mechanical components, and the control modules include the critical electrical and electronic systems that convert the mechanical energy into usable electricity. The sensors and control systems use sophisticated technology to optimize the performance of the PowerBuoy® in response to changing operating conditions and payload power demand. We maintain a portfolio of patents, including those that cover our power generation, power conversion and control technologies.</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We purchase the remaining components and materials for each PowerBuoy® from various vendors. We provide specifications to each vendor, and they are responsible for performing quality analysis and quality control over the course of construction, subject to our review of the quality and test procedure results. After the vendor completes the testing of the buoy structure, it is transported to our facility for final integration of the PTO. We do not believe that we are dependent on any single vendor for manufacturing the components of and materials for our PowerBuoy®, and we believe that there are many available manufacturers for our component parts if a particular manufacturing partner should become unavailable or expensive. However, we have only manufactured our PowerBuoys® in limited quantities for use in development and testing and have limited commercial manufacturing experience, and our work with our vendors has not included work on multiple orders on time-critical deadlines. Moreover, we do not have long-term contracts with our third-party manufacturers or vendors. In order to be successful in our efforts to commercialize our PowerBuoys®, we will need to secure stable relationships with a variety of manufacturers and vendors that can supply component parts and materials for our PowerBuoy®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ind w:firstLine="518"/>
        <w:spacing w:after="0" w:line="263" w:lineRule="auto"/>
        <w:rPr>
          <w:sz w:val="20"/>
          <w:szCs w:val="20"/>
          <w:color w:val="auto"/>
        </w:rPr>
      </w:pPr>
      <w:r>
        <w:rPr>
          <w:rFonts w:ascii="Arial" w:cs="Arial" w:eastAsia="Arial" w:hAnsi="Arial"/>
          <w:sz w:val="18"/>
          <w:szCs w:val="18"/>
          <w:color w:val="auto"/>
        </w:rPr>
        <w:t>Our corporate headquarters and manufacturing operations are located in Monroe Township, New Jersey. Our facility offers approximately 56,000 square feet of manufacturing and office space. This facility allows for expansion of our manufacturing capabilities and a move toward higher volume production of our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As of April 30, 2020, we had 36 full-time employees. Of these employees, 35 are located in the United States and one is located in the United Kingdom. We believe that our future success will depend in part on our continued ability to attract, hire and retain qualified personnel. None of our employees are represented by a labor union, and we believe our employee relations are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are made available free of charge through the Investor Relations section of the Company’s website (www.oceanpowertechnologies.com) as soon as practicable after such material is electronically filed with, or furnished to, the SEC. Material contained on our website is not incorporated by reference in this report. Our executive offices are located at 28 Engelhard Drive, Suite B, Monroe Township, New Jersey, 08831, and our telephone number is (609) 730-0400. The information on our website is not a part of this Annual Report. Our common stock has been listed on Nasdaq since April 24, 2007, and since July 2015, our common stock has been listed on the Nasdaq Capital Market. The public may also read and copy any materials that we file with the SEC at the SEC’s Public Reference Room at 100 F Street, NE, Washington, D.C. 20549. The public may obtain information on the operation of the Public Reference Room by calling the SEC at 1-800-SEC-0330. The SEC also maintains an Internet website that contains reports and other information regarding issuers that file electronically with the SEC located at http://www.sec.gov.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You should carefully consider the following risk factors together with the other information contained in this Annual Report, and in prior periodic and current reports. If any of the following risks actually occur, they may materially harm our business and our financial condition and results of operations. In this event, the market price of our common stock could decline, and your investment could be lost.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financial statements have been prepared assuming we will continue as a going concern. Due to the significant engineering and product development costs associated with our business and operations, we have experienced substantial and recurring losses from operations, which have contributed to an accumulated deficit of $220.1 million at April 30, 2020. On April 30, 2020, the Company had approximately $10.9 million in cash, cash equivalents and restricted cash on hand. On May 5, 2020 the Company received $0.9 million from the Paycheck Protection Program (“PPP”) (see Note 17 to the Consolidated Financial Statements for more information). The Company generated revenues of $1.7 million and $0.6 million during the twelve months ended April 30, 2020 and 2019. Based on the Company’s cash, cash equivalents and restrictive cash balances as of April 30, 2020, the Company believes that it will be able to finance its capital requirements and operations into the quarter ending April 30, 2021.</w:t>
      </w:r>
    </w:p>
    <w:p>
      <w:pPr>
        <w:spacing w:after="0" w:line="177"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We continue to experience operating losses and currently have three revenue producing contracts. During fiscal 2020, our net burn rate (cash used in operations less cash generated by operations) including product development spending was approximately $0.9 million per month.</w:t>
      </w:r>
    </w:p>
    <w:p>
      <w:pPr>
        <w:spacing w:after="0" w:line="146"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$14.0 million in fiscal 2021 including product development spending of more than $6.9 million. However, we may choose to reduce our operating expenses through personnel reductions, and reductions in our research and development and other operating costs during fiscal year 2021, if we are not successful in our efforts to sell more of our products. We cannot assure our stockholders that we will be able to increase our revenues and cash flow to a level which would support our operations and provide sufficient funds to pay our obligations for the foreseeable future. Further, we cannot assure our stockholders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Historically, we have funded our business operations through sales of equity securities. We do not know whether we will be able to secure additional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unavailability, or the timing, dollar amount, and terms and conditions of additional funding unattractive.</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issue additional securities to raise capital, our existing stockholders could experience dilution or may be subordinated to any rights, preferences or privileges granted to the new security holders.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$10.4 million and $12.2 million in fiscal 2020 and 2019, respectively. As of April 30, 2020, we had an accumulated deficit of $220.1 million. To date, our activities have consisted primarily of activities related to the development and testing of our technologies and commercializing our products.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products or whether we can achieve profitability. There is significant uncertainty about our ability to successfully commercialize our products in our targeted markets. Even if we do achieve commercialization of our products and become profitable, we may not be able to achieve or, if achieved, sustain profitability on a quarterly or annual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9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COVID-19 on our customers and contracts;</w:t>
      </w:r>
    </w:p>
    <w:p>
      <w:pPr>
        <w:spacing w:after="0" w:line="225"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successfully develop and market new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left="5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inherent uncertainties in our manufacturing processes.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reporting currency is the U.S. dollar, and sometimes we incur costs in the local currency of countries in which our customers and suppliers are located. As a result, we are subject to currency translation risk. A large percentage of our revenues are generated outside the United States and can be denominated in foreign currencies of our customers. Changes in exchange rates between foreign currencies and the U.S. dollar could affect our revenues and cost of revenues and could result in exchange losses.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scale and scope of the recent COVID-19 outbreak, the resulting pandemic, and the impact on the financial markets is unknown and could adversely affect the Company’s business, financial condition and results of operation at least for the near term.</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Since the beginning of January 2020, the COVID-19 outbreak has caused significant disruption in the financial markets both globally and in the U.S. As the U.S. faces the COVID-19 pandemic, we are following the recommendations of government and health authorities to minimize exposure risk for our employees. The rapid spread of COVID-19 globally also has resulted in increased travel restrictions and disruption and shutdown of certain businesses in the U.S. and abroad, including disruptions to our own business. We are closely monitoring this global health crisis and will reassess its strategy and operational activities on a regular, ongoing basis as the situation evolves.</w:t>
      </w:r>
    </w:p>
    <w:p>
      <w:pPr>
        <w:spacing w:after="0" w:line="188"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As a result of the changes in work protocols, as well as related pandemic fears, quarantines and market downturns, we may experience impacts from changes in customer behavior. Our business is dependent upon the willingness and ability of our customers to conduct transactions, as well as the ability of customers to meet existing payment or other obligations. The spread of COVID-19 has caused severe disruptions in the worldwide economy, which has in turn disrupted the business, activities, and operations of our business and operations, as well as that of our customers. For example, our employees have been unable to travel to Chile to perform final testing and assembly of our PB3 PowerBuoy® for EGP.</w:t>
      </w:r>
    </w:p>
    <w:p>
      <w:pPr>
        <w:spacing w:after="0" w:line="17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COVID-19 were to continue to affect a significant amount of our workforce, we may experience delays or the inability to produce and deliver solutions to our customers on a timely basis. In addition, one or more of our customers, service providers or suppliers may experience financial distress, file for bankruptcy protection, go out of business, or suffer disruptions in their business due to the COVID-19 outbreak. As with EGP, travel restrictions due to COVID-19 may also prevent our employees from completing customer work. The global scale and scope of COVID-19 is unknown and the duration of the business disruption and related financial impact cannot be reasonably estimated at this time.</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extent to which the coronavirus impacts our results will ultimately depend on future developments, which are highly uncertain, and will include emerging information concerning the severity of COVID-19 and the actions taken by governments and private businesses to attempt to contain COVID-19. However, we believe the coronavirus has and will continue to adversely affect our business, financial condition and results of operations at least for the near term.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Risks Related To Growth Of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substantially all of our revenues. The loss of, or a significant reduction in revenues from, any of these customers could significantly reduce our revenues and harm our operating results.</w:t>
      </w:r>
    </w:p>
    <w:p>
      <w:pPr>
        <w:spacing w:after="0" w:line="170"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Historically, a small number of customers have provided substantially all of our revenues and we expect that such concentration will continue for the foreseeable future. In fiscal 2020 commercial contracts accounted for 94% of our revenues and governmental contracts accounted for 6%. In fiscal 2019, revenues from commercial contacts accounted for 92% of our revenues and governmental contracts accounted for 8%. Because we currently have a small number of customers and contracts, problems with a single contract would adversely affect our business, financial condition and results of operations.</w:t>
      </w:r>
    </w:p>
    <w:p>
      <w:pPr>
        <w:spacing w:after="0" w:line="157" w:lineRule="exact"/>
        <w:rPr>
          <w:sz w:val="20"/>
          <w:szCs w:val="20"/>
          <w:color w:val="auto"/>
        </w:rPr>
      </w:pPr>
    </w:p>
    <w:p>
      <w:pPr>
        <w:jc w:val="both"/>
        <w:ind w:right="20" w:firstLine="518"/>
        <w:spacing w:after="0" w:line="311" w:lineRule="auto"/>
        <w:rPr>
          <w:sz w:val="20"/>
          <w:szCs w:val="20"/>
          <w:color w:val="auto"/>
        </w:rPr>
      </w:pPr>
      <w:r>
        <w:rPr>
          <w:rFonts w:ascii="Arial" w:cs="Arial" w:eastAsia="Arial" w:hAnsi="Arial"/>
          <w:sz w:val="16"/>
          <w:szCs w:val="16"/>
          <w:color w:val="auto"/>
        </w:rPr>
        <w:t>A customer’s payment default, or the loss of a customer as a result of competition, creditworthiness, our failure to perform, our inability to negotiate extensions or replacements of contracts, or otherwise, would adversely affect our business, financial condition and results of operations. We cannot assure you that we will be successful in our efforts to secure additional commercial customers, or additional revenue-generating contracts.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even if achieved, sustain profitability.</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7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sources and products;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economic and market conditions, such as increases or decreases in the prices of oil and other fossil fuels;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development of new and profitable applications requiring the type of remote electric power provided by our autonomous wave energy systems.</w:t>
      </w:r>
    </w:p>
    <w:p>
      <w:pPr>
        <w:spacing w:after="0" w:line="24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wave energy technology does not gain broad commercial acceptance, it is unlikely that we will be able to commercialize our PowerBuoy® and our business will be materially harmed, in which case, we may curtail or cease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sufficient demand for our PowerBuoys® or new products does not develop or takes longer to develop than we anticipate, our revenue generation will be limited, and it is unlikely that we will be able to achieve and, if achieved, then sustain profitability.</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seek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19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If demand for our PowerBuoys® or new products fails to develop sufficiently, it is unlikely that we will be able to grow our business or generate sufficient revenues to achieve and then sustain profitability. In addition, demand for PowerBuoys® in our presently targeted markets, including parts of North and South America, Europe and Asia, may not develop or may develop to a lesser extent than we anticipate.</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are not successful in commercializing our PowerBuoy® or new products, or are significantly delayed in doing so, our business, financial condition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3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success depends on the skills, experience and efforts of our senior management and other key product development, manufacturing, and sales and marketing employees. We have limited financial resources and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that may result from changes in strategy and style. Without consistent and experienced leadership, customers, employees, creditors, stockholders and others may lose confidence in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518"/>
        <w:spacing w:after="0" w:line="257" w:lineRule="auto"/>
        <w:rPr>
          <w:sz w:val="20"/>
          <w:szCs w:val="20"/>
          <w:color w:val="auto"/>
        </w:rPr>
      </w:pPr>
      <w:r>
        <w:rPr>
          <w:rFonts w:ascii="Arial" w:cs="Arial" w:eastAsia="Arial" w:hAnsi="Arial"/>
          <w:sz w:val="18"/>
          <w:szCs w:val="18"/>
          <w:color w:val="auto"/>
        </w:rPr>
        <w:t>To be successful, we need to retain key personnel. Qualified individuals, including engineers and project managers, are in high demand, and we may incur significant costs to attract and retain them. With the exception of our President and Chief Executive Officer, all of our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our business, results of operations and stock price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this could adversely affect our business and operations.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which may include areas such as North and South America, Europe and Asia, and which may result in additional organizational complexity.</w:t>
      </w:r>
    </w:p>
    <w:p>
      <w:pPr>
        <w:spacing w:after="0" w:line="178"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An important element of our business strategy is to enter into service contracts with our customers under which we would be paid fees for services related to the maintenance and operation of the PowerBuoys® purchased from us. In addition, we may offer to lease PowerBuoys®, sell power generated by PowerBuoys® or sell data gathered by sensors on our PowerBuoys®. Even if customers purchase or lease our PowerBuoys®, they may not enter into service contracts with us. We may not be able to negotiate service, power sale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the PowerBuoys® could be impaired. Any one of these outcomes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Since our PowerBuoys® can only be deployed in certain geographic locations, our ability to grow our business could be adversely affected.</w:t>
      </w:r>
    </w:p>
    <w:p>
      <w:pPr>
        <w:spacing w:after="0" w:line="248"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Our PowerBuoys® are designed for use offshore, but not all offshore areas worldwide have appropriate natural resources for our PowerBuoys® to harness wave energy. Seasonal and local variations, water depth and the effect of particular locations of islands and other geographical features may limit our ability to deploy our PowerBuoys® in certain coastal areas. If we are unable to identify and deploy PowerBuoys® at sufficient sites with appropriate natural resources to permit our PowerBuoys® to capture wave energy, our ability to grow our business could be adversely affected.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70"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have been and expect to continue to be highly dependent on third parties to supply or manufacture components of our PowerBuoys®. If, for any reason, our third-party manufacturers or vendors are not willing or able to provide us with components or supplies in a timely fashion, or at all, our ability to manufacture and sell many of our products could be impaired.</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518"/>
        <w:spacing w:after="0" w:line="257" w:lineRule="auto"/>
        <w:rPr>
          <w:sz w:val="20"/>
          <w:szCs w:val="20"/>
          <w:color w:val="auto"/>
        </w:rPr>
      </w:pPr>
      <w:r>
        <w:rPr>
          <w:rFonts w:ascii="Arial" w:cs="Arial" w:eastAsia="Arial" w:hAnsi="Arial"/>
          <w:sz w:val="18"/>
          <w:szCs w:val="18"/>
          <w:color w:val="auto"/>
        </w:rPr>
        <w:t>In addition, we rely on third parties, under our oversight, for the deployment and mooring of our PowerBuoys®. We have utilized several different deployment methods, including towing the PowerBuoy® to the deployment location and transporting the PowerBuoy® to the deployment location by barge or ocean workboat. If these third parties do not properly deploy our systems, cannot effectively deploy the PowerBuoy®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targeted markets are highly competitive. We compete against incumbent solutions already being utilized by our customers and potential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effectively, we may be unable to increase our revenues and achieve or maintain profitability.</w:t>
      </w:r>
    </w:p>
    <w:p>
      <w:pPr>
        <w:spacing w:after="0" w:line="21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principal targeted markets include offshore oil and gas, defense and security, science and research and communications. In our targeted markets, which are highly competitive, we compete against incumbent power solutions already being utilized by our customers and potential customers. If we are unable to demonstrate to our customers and our potential customers that our products are cost competitive to their existing alternative power solutions, or if it takes us longer to do so than we anticipate, we may be unable to expand our business, maintain our competitive position, satisfy our contractual obligations, continue to commercialize our products, or become profitable. In addition, if the cost associated with these development efforts exceeds our projections, our results of operations could be materially and adversely affected.</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power, we may not be able to respond effectively to competitive pressures from other renewable energy technologies or improvements to existing technologies.</w:t>
      </w:r>
    </w:p>
    <w:p>
      <w:pPr>
        <w:spacing w:after="0" w:line="171"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multiple international markets. If we are unable to manage our international operations effectively, our business, financial condition and results of operations could be adversely affected.</w:t>
      </w:r>
    </w:p>
    <w:p>
      <w:pPr>
        <w:spacing w:after="0" w:line="170" w:lineRule="exact"/>
        <w:rPr>
          <w:sz w:val="20"/>
          <w:szCs w:val="20"/>
          <w:color w:val="auto"/>
        </w:rPr>
      </w:pPr>
    </w:p>
    <w:p>
      <w:pPr>
        <w:jc w:val="both"/>
        <w:ind w:firstLine="518"/>
        <w:spacing w:after="0" w:line="311" w:lineRule="auto"/>
        <w:rPr>
          <w:sz w:val="20"/>
          <w:szCs w:val="20"/>
          <w:color w:val="auto"/>
        </w:rPr>
      </w:pPr>
      <w:r>
        <w:rPr>
          <w:rFonts w:ascii="Arial" w:cs="Arial" w:eastAsia="Arial" w:hAnsi="Arial"/>
          <w:sz w:val="16"/>
          <w:szCs w:val="16"/>
          <w:color w:val="auto"/>
        </w:rPr>
        <w:t>We market and plan to market our products in multiple global regions, including parts of North and South America, Europe, and Asia, and we are therefore subject to risks associated with having international operations. Revenues from customers who are based outside of the U.S. accounted for 94% of our revenues in fiscal 2020 and 92% of our revenues in fiscal 2019. Risks inherent in international operations include, but are not limited to, the following:</w:t>
      </w:r>
    </w:p>
    <w:p>
      <w:pPr>
        <w:spacing w:after="0" w:line="14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25"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products and make us less competitive in some countries;</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products and may adversely affect our profitability in U.S. dollars to the extent the price of our products and cost of raw materials and labor are denominated in a foreign currency;</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25"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products;</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518"/>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anticipate that our contracts with our customers will generally include cancellation for convenience clauses that permit our customers to terminate the contract for their convenience; if a customer were to terminate its contract with us for convenience, this could materially adversely affect our business.</w:t>
      </w:r>
    </w:p>
    <w:p>
      <w:pPr>
        <w:spacing w:after="0" w:line="184"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We anticipate that our contracts with our customers will be structured as capital equipment contracts or capital equipment leases, and could include a cancellation for convenience clause, which we believe is relatively standard in these types of contracts. Cancellation for convenience clauses allow the customer to cancel the contract or lease at their option without cause prior to defined points in time, generally subject to a reasonable notice period. If any of our current or future customers were to cancel their contracts with us for convenience, such cancellation could adversely affect our business.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Cyber-security breaches of our systems and information technology could adversely impact our ability to operate.</w:t>
      </w:r>
    </w:p>
    <w:p>
      <w:pPr>
        <w:spacing w:after="0" w:line="225"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utilize, develop, install and maintain a number of information technology systems. Various privacy and security laws require us to protect sensitive and confidential information from disclosure. In addition, we are bound by our customers and other contracts, as well as our own business practices, to protect confidential and proprietary information (whether it be ours or a third party’s information entrusted to us) from disclosure. Our computer systems, as well as those of our customers,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customers and other business partners. While we endeavor to maintain industry- accepted security measures and technology to secure our computer systems and while we endeavor to ensure our cloud vendors that store our data maintain similar measures, these systems and the information stored on these systems may still be subject to threats. There can be no assurance that our efforts will prevent these threats. Further, as these security threats continue to evolve, we may be required to devote additional resources to protect, prevent, detect and respond against such threats. A party who circumvents our security measures, or those of our customers, contractors or other vendors, could misappropriate confidential or proprietary information, improperly manipulate data, or cause damage or interruptions to systems. Any of these events could damage our reputation, result in litigation and regulatory fines and penalties, or have a material adverse effect on our business, financial condition,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engineering and product development costs are substantial and may increase in the future.</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engineering and product development costs primarily relate to our efforts to increase the output, durability and commercial viability of our products. Our engineering and product development costs were $4.3 million and $5.0 million in fiscal 2020 and 2019, respectively. It is our goal to fund the majority of our engineering and product development expenses, including cost sharing obligations under some of our customer contracts, over the next several years with sources of external funding, but we do not currently have any such committed sources of funding, and we may not be able to secure any such funding in the future. If we are unable to obtain external funding, our operations may be materially and adversely affected, and we may be required to curtail our engineering and product development expenses, among other consequences.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only manufactured a limited number of PowerBuoys® and to date we have not produced PowerBuoys® in any significant quantity for commercial production. Our PowerBuoys® may not have a sufficient operating history to confirm how they will perform over their estimated useful life.</w:t>
      </w:r>
    </w:p>
    <w:p>
      <w:pPr>
        <w:spacing w:after="0" w:line="184"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began developing and testing wave energy technology over 15 years ago. However, to date, we have only manufactured a limited number of PowerBuoys® for use in ocean testing and commercialization. The longest continuous in-ocean deployment of our PowerBuoy® was from December 2009 to January 2012. As a result, our PowerBuoys® may not have a sufficient operating history to confirm how they will perform over their estimated useful life. Our technology may not yet have demonstrated that our engineering and test results can be duplicated in volume or in commercial production. If our PowerBuoy® is ultimately proven ineffective or unfeasible, we may not be able to expand our commercial production of our PowerBuoys® or we may become liable to our customers for quantities we are obligated but are unable to produce. If our PowerBuoys® perform below expectations, we could lose customers and face substantial repair and replacement expenses which could in turn adversely affect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We face numerous accident and safety risks and hazards, including extreme environmental hazards, which are inherent in offshore operations.</w:t>
      </w:r>
    </w:p>
    <w:p>
      <w:pPr>
        <w:spacing w:after="0" w:line="24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products. These hazards and risks could result in personal injuries, loss of life, liberation of a product from its mooring due to extreme environmental conditions and damage caused by its drifting, and other damages which may include damage to our properties, including our products®,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that we will be able to maintain adequate insurance in the future at reasonable rates.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7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An important element of our business strategy is to enter into application development agreements and strategic alliances with companies committed to providing products and services which require in-ocean energy sources. Generally, these types of relationships obligate us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If we are unable to reach agreements with additional suitable alliance partners, we may fail to meet our business objectives for the commercialization of our products.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products to these companies, their affiliates and customers in the future, or growth opportunities may not materialize. Any of which could adversely affect our business, financial condition and results of operations.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7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plan to manufacture key components of our products, including the PTO advanced control and generation systems, while outsourcing the manufacturing for other components of our products. However, we have only manufactured our products in limited quantities for use in development and testing and have limited commercial manufacturing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and we have limited funding available to retain such additional staff. Therefore, we may not be able to hire a sufficient number of qualified personnel to allow us to meet our growth objectives.</w:t>
      </w:r>
    </w:p>
    <w:p>
      <w:pPr>
        <w:spacing w:after="0" w:line="192"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We may be unable to develop efficient, low-cost manufacturing capabilities and processes that enable us to meet the quality, price, engineering, design and production standards or production volumes necessary to successfully commercialize our products.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Problems with the quality or performance of our products would adversely affect our business, financial condition and results of operations.</w:t>
      </w:r>
    </w:p>
    <w:p>
      <w:pPr>
        <w:spacing w:after="0" w:line="24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agreements with customers will generally include guarantees with respect to the quality and performance of our products. Because of the limited operating history of our products,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products, causing us to incur substantial expense to repair or replace defective systems in the future. We will bear the risk of claims long after we have sold our products and recognized revenue. Moreover, any widespread product failures could adversely affect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spacing w:after="0" w:line="381" w:lineRule="auto"/>
        <w:rPr>
          <w:sz w:val="20"/>
          <w:szCs w:val="20"/>
          <w:color w:val="auto"/>
        </w:rPr>
      </w:pPr>
      <w:r>
        <w:rPr>
          <w:rFonts w:ascii="Arial" w:cs="Arial" w:eastAsia="Arial" w:hAnsi="Arial"/>
          <w:sz w:val="15"/>
          <w:szCs w:val="15"/>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we may be unable to achieve and then maintain profitability.</w:t>
      </w:r>
    </w:p>
    <w:p>
      <w:pPr>
        <w:spacing w:after="0" w:line="10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have not yet deployed a wave power array of two or more PowerBuoys®. Whether we are able to do so is contingent upon, among other things, our ability to manufacture and produce multiple PowerBuoys® in a short period of time, receipt of required governmental permits, obtaining adequate financing, successful array design and implementation and, finally, successful deployment and connection of the PowerBuoys®.</w:t>
      </w:r>
    </w:p>
    <w:p>
      <w:pPr>
        <w:spacing w:after="0" w:line="16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 system wave power arrays.</w:t>
      </w:r>
    </w:p>
    <w:p>
      <w:pPr>
        <w:spacing w:after="0" w:line="17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development and deployment of an array of PowerBuoys® could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future success in our selected markets depends in part on our ability to achieve cost savings over existing and incumbent solutions. If we are unable to achieve cost savings relating to our products, the commercial prospects for our products may be adversely affected.</w:t>
      </w:r>
    </w:p>
    <w:p>
      <w:pPr>
        <w:spacing w:after="0" w:line="14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goal is to commercialize our products. Our success in meeting this objective depends, in part, on our ability to provide energy to our prospective customers at a cost savings over existing and incumbent power solutions already being utilized by our customers and potential customers. If we are unable to demonstrate to our prospective customers that our products are cost competitive with existing alternative power sources, or if it takes us longer to do so than we anticipate, we may be unable to continue our business, achieve commercialization of our products, achieve a competitive position, satisfy our contractual obligations, or become profitable. In addition, if the costs associated with these development efforts exceed our projections, our results of operations will be materially and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must continually improve existing products, design and sell new products and invest in research and development in order to compete effectively.</w:t>
      </w:r>
    </w:p>
    <w:p>
      <w:pPr>
        <w:spacing w:after="0" w:line="26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markets for our products are characterized by rapid technological change, evolving industry standards and continuous improvements in products. Due to constant changes in our markets,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77" w:lineRule="exact"/>
        <w:rPr>
          <w:sz w:val="20"/>
          <w:szCs w:val="20"/>
          <w:color w:val="auto"/>
        </w:rPr>
      </w:pPr>
    </w:p>
    <w:p>
      <w:pPr>
        <w:jc w:val="both"/>
        <w:ind w:firstLine="518"/>
        <w:spacing w:after="0" w:line="311" w:lineRule="auto"/>
        <w:rPr>
          <w:sz w:val="20"/>
          <w:szCs w:val="20"/>
          <w:color w:val="auto"/>
        </w:rPr>
      </w:pPr>
      <w:r>
        <w:rPr>
          <w:rFonts w:ascii="Arial" w:cs="Arial" w:eastAsia="Arial" w:hAnsi="Arial"/>
          <w:sz w:val="16"/>
          <w:szCs w:val="16"/>
          <w:color w:val="auto"/>
        </w:rPr>
        <w:t>Product and technological developments are accomplished primarily through internally-funded R&amp;D projects. Because it is not generally possible to predict the amount of time required and costs involved in achieving certain R&amp;D objectives, actual development costs may exceed budgeted amounts and estimated product development schedules may be extended. Our financial condition and results of operations may be materially and adversely affected if:</w:t>
      </w:r>
    </w:p>
    <w:p>
      <w:pPr>
        <w:spacing w:after="0" w:line="149"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improvements are not completed on a timely basis;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are not introduced on a timely basis or do not achieve sufficient market penetration;</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budget overruns or delays in R&amp;D efforts; or</w:t>
      </w:r>
    </w:p>
    <w:p>
      <w:pPr>
        <w:spacing w:after="0" w:line="225" w:lineRule="exact"/>
        <w:rPr>
          <w:rFonts w:ascii="Arial" w:cs="Arial" w:eastAsia="Arial" w:hAnsi="Arial"/>
          <w:sz w:val="18"/>
          <w:szCs w:val="18"/>
          <w:color w:val="auto"/>
        </w:rPr>
      </w:pPr>
    </w:p>
    <w:p>
      <w:pPr>
        <w:ind w:left="5540" w:right="2020" w:hanging="5532"/>
        <w:spacing w:after="0" w:line="527" w:lineRule="auto"/>
        <w:tabs>
          <w:tab w:leader="none" w:pos="5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experience reliability or quality problems, or otherwise do not meet customer preferences or requirements.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24"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infringement and we do not know what the cost to do so would be.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4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Foreign laws may not afford us sufficient protections for our intellectual property, and we may not be able to obtain patent protection outside of the United States.</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Intellectual property rights protection continues to present significant challenges to foreign businesses in many countries around the world. The body of law is often relatively undeveloped compared to the commercial law in the United States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United States and abroad.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88"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As a result of patent or trademark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518"/>
        <w:spacing w:after="0" w:line="273" w:lineRule="auto"/>
        <w:rPr>
          <w:sz w:val="20"/>
          <w:szCs w:val="20"/>
          <w:color w:val="auto"/>
        </w:rPr>
      </w:pPr>
      <w:r>
        <w:rPr>
          <w:rFonts w:ascii="Arial" w:cs="Arial" w:eastAsia="Arial" w:hAnsi="Arial"/>
          <w:sz w:val="17"/>
          <w:szCs w:val="17"/>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 Foreign governments with which we contract to provide funding for our research and development may seek similar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all necessary regulatory permits and approvals, it could be possible we will not be able to implement our planned projects or business plan.</w:t>
      </w:r>
    </w:p>
    <w:p>
      <w:pPr>
        <w:spacing w:after="0" w:line="170"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Offshore deployment of our PowerBuoy® is heavily regulated. Each of our deployments is subject to multiple permitting and approval requirements. We are dependent on state, federal and regional government agencies for such permits and approvals. Due to the unique nature of in-ocean power generation and the associated potential for environmental hazards of PowerBuoy® deployment, we expect our projects to receive close scrutiny by permitting agencies, approval authorities and the public, which could result in substantial delay in the permitting process. Successful challenges by any parties opposed to our deployments could result in increased costs, or in the denial of necessary permits and approvals.</w:t>
      </w:r>
    </w:p>
    <w:p>
      <w:pPr>
        <w:spacing w:after="0" w:line="17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70"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business could suffer as a result of the United Kingdom’s decision to end its membership in the European Union.</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decision of the United Kingdom (U.K.) to exit from the European Union (E.U.) (generally referred to as “BREXIT”) could cause disruptions to and create uncertainty surrounding our business, including affecting our relationships with existing and potential customers, suppliers and employees. The effects of BREXIT will depend on any agreements the U.K. makes to retain access to E.U. markets.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BREXIT also may create global economic uncertainty, which may cause our customers and potential customers to monitor their costs and reduce their budgets for our products and services. Any of these effects of BREXIT, among others, could materially adversely affect our business, business opportunities, results of operations, financial condition and cash flows.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portion of products we acquire from our suppliers are manufactured in foreign countries, making the price and availability of these products subject to international trade risks and other international conditions.</w:t>
      </w:r>
    </w:p>
    <w:p>
      <w:pPr>
        <w:spacing w:after="0" w:line="17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are able to purchase, could have a material adverse effect on our financial condition and results of operations.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84"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manufacturing operations, particularly some of the activities undertaken by our third-party suppliers and manufacturers, involve the controlled use of hazardous materials. These include batteries for the PB3, propane for the hybrid and various lubricants and oils.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9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the subject of pending litigation, which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8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are the subject of certain pending litigation. Any litigation is costly, and time consuming to defend and may distract our management from the daily operations of our business. We may be the subject of additional future litigation, which could adversely affect our company, our business and our liquidity. Although we maintain insurance coverage, we cannot assure you that this insurance coverage will be sufficient to cover the substantial fees of lawyers and other professionals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these actions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become the target of additional securities litigation, which is costly and time-consuming to defend.</w:t>
      </w:r>
    </w:p>
    <w:p>
      <w:pPr>
        <w:spacing w:after="0" w:line="225"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In the past, companies that experience significant volatility in the market price of their publicly-traded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15 “Commitments and Contingencies - Litigation” in the accompanying consolidated financial statements for the fiscal year ended April 30,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issue additional shares of our equity securities in the future, our stockholders may experience substantial dilution in the value of their investment or their ownership interest.</w:t>
      </w:r>
    </w:p>
    <w:p>
      <w:pPr>
        <w:spacing w:after="0" w:line="17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certificate of incorporation currently authorizes us to issue up to 100,000,000 shares of our common stock and to issue and designate the rights of, without stockholder approval, up to 5,000,000 shares of preferred stock. In the future, in order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we have a significant number of stock options and warrants outstanding. To the extent that outstanding stock options or warrants have been or may be exercised or other shares issued, current stockholders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stockholders or result in downward pressure on the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Historically, our stock price has been volatile, and this is likely to continue; purchasers of our common stock could incur substantial losses as a result.</w:t>
      </w:r>
    </w:p>
    <w:p>
      <w:pPr>
        <w:spacing w:after="0" w:line="26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2020, the 52-week low and high prices for our common stock was $0.33 and $2.84,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9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jc w:val="right"/>
        <w:ind w:left="5540" w:right="5520" w:hanging="5532"/>
        <w:spacing w:after="0" w:line="623" w:lineRule="auto"/>
        <w:tabs>
          <w:tab w:leader="none" w:pos="5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developments or disputes concerning patents or other proprietary rights;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 perception of our company and of our targeted markets;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8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25"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84"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3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Our corporate headquarters are currently located in Monroe Township, New Jersey, where we occupy approximately 56,000 square feet under a lease expiring on October 31, 2024. We use this facility for administration, research and development, as well as assembly and testing of our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August 28, 2018, counsel for Mr. Dunleavy filed a demand for arbitration, captioned </w:t>
      </w:r>
      <w:r>
        <w:rPr>
          <w:rFonts w:ascii="Arial" w:cs="Arial" w:eastAsia="Arial" w:hAnsi="Arial"/>
          <w:sz w:val="16"/>
          <w:szCs w:val="16"/>
          <w:i w:val="1"/>
          <w:iCs w:val="1"/>
          <w:color w:val="auto"/>
        </w:rPr>
        <w:t>Charles F. Dunleavy v. Ocean Power Technologies, Inc.,</w:t>
      </w:r>
      <w:r>
        <w:rPr>
          <w:rFonts w:ascii="Arial" w:cs="Arial" w:eastAsia="Arial" w:hAnsi="Arial"/>
          <w:sz w:val="16"/>
          <w:szCs w:val="16"/>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three-person arbitration panel scheduled the discovery process to run from April 12, 2019 until November 9, 2019, set a pre-hearing case management conference for October 14, 2019, and set the hearing for December 9-13, 2019 in Princeton, New Jersey. On September 30, 2019, the parties completed the factual discovery process and the Company identified its expert witnesses. On October 14, 2019, the parties participated in a pre-hearing case management conference with arbitration panel and altered slightly the dates for the hearing. The hearing was conducted in Princeton, New Jersey between December 9-11, 2019, and between December 16-18, 2019, and on December 18, 2019 the panel decided to continue the hearing for at least another day. The final day of hearing has now been scheduled for July 15, 2020, and the hearing will be conducted in Princeton, New Jersey. As of April 30, 2020, the Company has not accrued any provision related to this matter since it is not probable and cannot reasonably estimate the loss contingency.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Notification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 2020,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August 31, 2020, in which to regain compliance with the minimum bid price rule. To regain compliance, the closing bid price of the Company’s common stock must meet or exceed $1.00 per share for a minimum of ten consecutive business days during this grace period. On April 20, 2020, the Company received a written notice from NASDAQ indicating that, as a result of the tolling of the bid price requirements due to COVID-19, the period within which the Company has to regain compliance was extended from August 31, 2020 to November 13,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The Company is currently undergoing an income tax audit in Spain for the period from 2011 to 2014, the Spanish tax inspector has raised questions with respect to the Company’s recognition of funds received during this time period from a governmental grant from the European Commission in connection with the Waveport project. It is anticipated that we will be assessed a penalty relating to these tax years. The Company has estimated this penalty to be $177,000 and as of April 30, 2020 and 2019 has recorded the penalty in Accrued expenses in the Consolidated Balance Sheet.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Our common stock is listed on the Nasdaq Capital Market, under the symbol “OPTT.” As of June 23, 2020, there were 139 holders of record for shares of our common stock. Since a portion of our common stock is held in “street” or nominee name, we are unable to determine the exact number of beneficial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Information</w:t>
      </w:r>
    </w:p>
    <w:p>
      <w:pPr>
        <w:spacing w:after="0" w:line="22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 xml:space="preserve">Our transfer agent is Computershare Trust Company, N.A. Computershare is located at 250 Royall Street, Canton, MA 02021-1011. Its contact information is: United States and Canada: (800) 662 - 7232, International (781) 575 - 4238 and its website is located at </w:t>
      </w:r>
      <w:r>
        <w:rPr>
          <w:rFonts w:ascii="Arial" w:cs="Arial" w:eastAsia="Arial" w:hAnsi="Arial"/>
          <w:sz w:val="16"/>
          <w:szCs w:val="16"/>
          <w:u w:val="single" w:color="auto"/>
          <w:color w:val="auto"/>
        </w:rPr>
        <w:t>www.computershare.com</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our share repurchases for the three months ended April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Approximate</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Total Number of</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Dollar Value of</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Shares Purchased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Shares that May</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Average Price Paid</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as Part of Publicly</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Yet Be Purchased</w:t>
            </w:r>
          </w:p>
        </w:tc>
      </w:tr>
      <w:tr>
        <w:trPr>
          <w:trHeight w:val="237"/>
        </w:trPr>
        <w:tc>
          <w:tcPr>
            <w:tcW w:w="4280" w:type="dxa"/>
            <w:vAlign w:val="bottom"/>
            <w:gridSpan w:val="2"/>
          </w:tcPr>
          <w:p>
            <w:pPr>
              <w:ind w:left="1800"/>
              <w:spacing w:after="0"/>
              <w:rPr>
                <w:sz w:val="20"/>
                <w:szCs w:val="20"/>
                <w:color w:val="auto"/>
              </w:rPr>
            </w:pPr>
            <w:r>
              <w:rPr>
                <w:rFonts w:ascii="Arial" w:cs="Arial" w:eastAsia="Arial" w:hAnsi="Arial"/>
                <w:sz w:val="18"/>
                <w:szCs w:val="18"/>
                <w:color w:val="auto"/>
              </w:rPr>
              <w:t>Period</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85"/>
              </w:rPr>
              <w:t>Shares Purchased</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per Share</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Announced Plans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Under the Plan</w:t>
            </w: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 February 29</w:t>
            </w:r>
          </w:p>
        </w:tc>
        <w:tc>
          <w:tcPr>
            <w:tcW w:w="1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March 1 - March 31</w:t>
            </w:r>
          </w:p>
        </w:tc>
        <w:tc>
          <w:tcPr>
            <w:tcW w:w="1400" w:type="dxa"/>
            <w:vAlign w:val="bottom"/>
          </w:tcPr>
          <w:p>
            <w:pPr>
              <w:spacing w:after="0"/>
              <w:rPr>
                <w:sz w:val="18"/>
                <w:szCs w:val="18"/>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See “Part III, Item 12- Security Ownership of Certain Beneficial Owners, Management and Related Stockholder Matters-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13, 2018, we issued to Aspire Capital 21,428 shares of our common stock as a commitment fee pursuant to the terms of a common stock purchase agreement dated August 13, 2018. The agreement was cancelled on October 24, 2019, and as of that date, we sold 162,162 shares of common stock with an aggregate market value of $949,259 at an average price of $5.85 per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24, 2019, we issued to Aspire Capital 194,805 shares of common stock as a commitment fee pursuant to the terms of a common stock purchase agreement dated October 24, 2019. As of April 30, 2020, we have sold 1,399,205 shares of common stock with an aggregate market value of $1,145,994 at an average price of $0.82 per share pursuant to this agreement with Aspire Capital.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2020 are to the fiscal year ended April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As a result of the COVID-19 pandemic, the Company in March 2020 put in place a number of protective measures in response to the COVID-19 outbreak. These measures included the canceling of all commercial air travel and all other non-critical travel, requesting that employees limit non-essential personal travel, eliminating all but essential third-party access to our facilities, enhancing our facility janitorial and sanitary procedures, encouraging employees to work from home to the extent their job function enables them to do so, encouraging the use of virtual employee meetings, and providing staggered shifts and social distancing measures for those employees associated with manufacturing operations.</w:t>
      </w:r>
    </w:p>
    <w:p>
      <w:pPr>
        <w:spacing w:after="0" w:line="176"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current COVID-19 pandemic has presented substantial health and economic risks, uncertainties and challenges to our business, the global economy and financial markets. It is not currently possible to predict how long the pandemic will last or the time it will take for economies to return to prior levels. The extent to which COVID-19 impacts our business, operations, financial results and financial condition, and those of our suppliers and customers will depend on future developments which are highly uncertain and cannot be predicted with certainty or clarity, including the duration and continuing severity of the outbreak and additional government actions to contain COVID-19. The volatility caused in the stock markets by the pandemic may make it difficult for the Company to raise capital. In March 2020, one of the Company’s customers cancelled a portion of their contract due to the outbreak of COVID-19. The Company has delayed the deployment of its PB3 PowerBouy® in Chile from April, 2020 to September, 2020 due to travel restrictions imposed by the U.S. and Chile. For additional information on various uncertainties and risks posed by the COVID-19 pandemic, see Part I, Item 1A “Risk Factors” of this report.</w:t>
      </w:r>
    </w:p>
    <w:p>
      <w:pPr>
        <w:spacing w:after="0" w:line="19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As a result of the COVID-19 pandemic, on March 27, 2020, the U.S. Government passed into law the Coronavirus Aid, Relief and Economic Security Act, or the (“CARES Act”). On May 3, 2020, the Company signed a Paycheck Protection Program (“PPP”) loan with Santander Bank, N.A. (“Santander”) as the lender for $890,347 in support through the Small Business Association (“SBA”) under the PPP Loan. The PPP Loan is unsecured and evidenced by a note in favor of Santander as the lender (the “Note”) and governed by a Loan Agreement with Santander (the “Loan Agreement”). The Company received the proceeds on May 5, 2020. The SBA allows loan forgiveness for costs incurred and paid for a) payroll costs, b) interest on any real or personal property mortgage incurred prior to February 15, 2020, c) rent on any lease in force prior to February 15, 2020, and d) utility payments for which service began before February 15, 2020. Additional information on the Company’s liquidity and going concern can be found in Note 1 to the Consolidated Financial Statements and under Part I, Item 1A “Risk Factors”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We aspire to transform the world through innovative ocean-energy solutions. We are a marine power solutions provider that designs, manufactures, sells and services our products while working closely with partners that provide payloads, integration services, and marine installation capabilities. Our solutions provide distributed offshore power which is persistent, reliable, and economical along with power and communications for remote surface and subsea applications. Our mission and purpose is to utilize our proprietary, state-of-the-art technologies to reduce the global carbon footprint by providing renewable solutions for reliable electrical power and, in so doing, drive demand for our products and services, thus realizing positive stockholder returns.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ind w:firstLine="518"/>
        <w:spacing w:after="0" w:line="269" w:lineRule="auto"/>
        <w:rPr>
          <w:sz w:val="20"/>
          <w:szCs w:val="20"/>
          <w:color w:val="auto"/>
        </w:rPr>
      </w:pPr>
      <w:r>
        <w:rPr>
          <w:rFonts w:ascii="Arial" w:cs="Arial" w:eastAsia="Arial" w:hAnsi="Arial"/>
          <w:sz w:val="17"/>
          <w:szCs w:val="17"/>
          <w:color w:val="auto"/>
        </w:rPr>
        <w:t>We also continue to develop and commercialize our proprietary systems that generate electricity by harnessing the renewable energy of ocean waves for our PowerBuoy, and solar power for our newest product, the hybrid PowerBuoy. The PB3 PowerBuoy® uses proprietary technologies that convert the kinetic energy created by the heaving motion of ocean waves into electricity. Based on feedback from our current customers, discussions with potential future customers in the offshore oil and gas, defense and security, science and research and communications, as well as government applications in fishery protection, together with our market research and publicly available data, we believe that numerous markets have a direct need for our solutions. While our recent projects have been in the oil and gas industry, we believe there is an increasing need for our products and solutions in areas such as fishery protection, offshore windfarm support, marine surveillance, and ocean-based laboratories. We believe that having demonstrated the capability of our solutions we can advance our product and services and gain further adoption from our target markets. Our marketing efforts are focused on offshore locations that require a cost- 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difficult to decarbonize.</w:t>
      </w:r>
    </w:p>
    <w:p>
      <w:pPr>
        <w:spacing w:after="0" w:line="179"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Our achievements during fiscal 2020 included the Company’s first commercial sale of a PB3 to Enel Green Power (“EGP”). We continued work on projects with Premier Oil (“PMO”) and Eni S.p.A. (“Eni”) and commenced work with the U.S. Navy Small Business Innovation Research (“U.S. SBIR”) program, and a leading oil &amp; gas operator. During the fiscal year, the Company continued development of the hybrid and its subsea battery solutions. The Company also signed a memorandum of understanding with Modus Seabed Intervention Ltd. (“Modus”) to develop and deliver innovative solutions including a combined AUV charging station which will be able to utilize the PowerBuoy® system for topside charging and communications.</w:t>
      </w:r>
    </w:p>
    <w:p>
      <w:pPr>
        <w:spacing w:after="0" w:line="16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PB3 generates electricity by harnessing the renewable energy of ocean waves. In addition to our PB3, we continue to develop our PowerBuoy® product line including our turnkey surveillance system, the hybrid and the subsea battery.</w:t>
      </w:r>
    </w:p>
    <w:p>
      <w:pPr>
        <w:spacing w:after="0" w:line="170"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7"/>
          <w:szCs w:val="17"/>
          <w:color w:val="auto"/>
        </w:rPr>
        <w:t>The PB3 features a unique onboard power take-off (“PTO”) system, which incorporates both energy storage and energy management and control systems. The PB3 generates a nominal name-plated capacity rating of up to a nominal 3 kilowatts of peak power during recharging of the onboard batteries. Power generation is deployment-site dependent whereby average power generated can increase substantially at very active sites. Our standard ESS has an energy capacity of up to a nominal 150 kilowatt-hours to meet specific application requirements. We believe there is a substantial addressable market for the current capabilities of our PB3, which we believe could be utilized in a variety of applications.</w:t>
      </w:r>
    </w:p>
    <w:p>
      <w:pPr>
        <w:spacing w:after="0" w:line="17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annular-structure that can freely move up and down in response to the passage of the waves. The PTO system includes a mechanical actuating system, an electrical generator, a power electronics system, our control system, and our ESS which are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firstLine="518"/>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believe that using wave energy for electricity generation has the following potential benefits, compared to existing incumbent solutions.</w:t>
      </w:r>
    </w:p>
    <w:p>
      <w:pPr>
        <w:spacing w:after="0" w:line="237" w:lineRule="exact"/>
        <w:rPr>
          <w:sz w:val="20"/>
          <w:szCs w:val="20"/>
          <w:color w:val="auto"/>
        </w:rPr>
      </w:pPr>
    </w:p>
    <w:p>
      <w:pPr>
        <w:jc w:val="both"/>
        <w:ind w:left="520" w:right="1680" w:hanging="512"/>
        <w:spacing w:after="0" w:line="259" w:lineRule="auto"/>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the electricity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aggregated to supply electricity to larger payloads as a result of multiple PB3 which are placed in an array, occupying a relatively small area. We believe the array of a larger number of PB3 could offer end users a variety of advantages in availability, reliability and scalability.</w:t>
      </w:r>
    </w:p>
    <w:p>
      <w:pPr>
        <w:spacing w:after="0" w:line="186" w:lineRule="exact"/>
        <w:rPr>
          <w:rFonts w:ascii="Arial" w:cs="Arial" w:eastAsia="Arial" w:hAnsi="Arial"/>
          <w:sz w:val="18"/>
          <w:szCs w:val="18"/>
          <w:i w:val="1"/>
          <w:iCs w:val="1"/>
          <w:color w:val="auto"/>
        </w:rPr>
      </w:pPr>
    </w:p>
    <w:p>
      <w:pPr>
        <w:jc w:val="both"/>
        <w:ind w:left="520" w:right="1700" w:hanging="512"/>
        <w:spacing w:after="0" w:line="301" w:lineRule="auto"/>
        <w:tabs>
          <w:tab w:leader="none" w:pos="5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Predictability. </w:t>
      </w:r>
      <w:r>
        <w:rPr>
          <w:rFonts w:ascii="Arial" w:cs="Arial" w:eastAsia="Arial" w:hAnsi="Arial"/>
          <w:sz w:val="16"/>
          <w:szCs w:val="16"/>
          <w:color w:val="auto"/>
        </w:rPr>
        <w:t>The generation of power from wave energy can be forecasted several days in advance. Available wave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can be calculated 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57" w:lineRule="exact"/>
        <w:rPr>
          <w:rFonts w:ascii="Arial" w:cs="Arial" w:eastAsia="Arial" w:hAnsi="Arial"/>
          <w:sz w:val="16"/>
          <w:szCs w:val="16"/>
          <w:i w:val="1"/>
          <w:iCs w:val="1"/>
          <w:color w:val="auto"/>
        </w:rPr>
      </w:pPr>
    </w:p>
    <w:p>
      <w:pPr>
        <w:jc w:val="both"/>
        <w:ind w:left="520" w:right="1680" w:hanging="512"/>
        <w:spacing w:after="0" w:line="286" w:lineRule="auto"/>
        <w:tabs>
          <w:tab w:leader="none" w:pos="5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Constant source of energy. </w:t>
      </w:r>
      <w:r>
        <w:rPr>
          <w:rFonts w:ascii="Arial" w:cs="Arial" w:eastAsia="Arial" w:hAnsi="Arial"/>
          <w:sz w:val="17"/>
          <w:szCs w:val="17"/>
          <w:color w:val="auto"/>
        </w:rPr>
        <w:t>The annual occurrence of waves at certain specific sites can be relatively constant and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with relatively high accuracy. Based on our studies and analyses of various sites of interest, we believe that we will be able to deploy our PB3 in locations where the waves could produce usable electricity for the majority of the year.</w:t>
      </w:r>
    </w:p>
    <w:p>
      <w:pPr>
        <w:spacing w:after="0" w:line="165"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have a direct need for our PB3 including offshore oil and gas, defense and security, science and research and communications, as well as government applications in fishery protection. Depending on payload power requirements, sensor types and other considerations, we have found that our PB3 could satisfy several application requirements within these markets. We believe that the PB3 consistently generates sufficient power to meet the requirements of many potential customer applications within our target markets, and that the hybrid could provide ample power in geographies where wave conditions may not be sufficient to allow the PB3 to generate sufficient power on its own for load center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The Company has created a hybrid PowerBuoy® that is a solar powered and liquid-fueled surface buoy, compared to the wave power generating PB3. The hybrid is powered primarily through solar panels with liquid-fueled back-up and is capable of providing reliable power in remote offshore locations, regardless of ocean wave conditions. We believe this product is to be highly complementary to the PB3 by providing the Company the opportunity to address a broader spectrum of customer deployment needs, including low-wave environments, with the potential for greater product integration within each customer project. It is primarily intended for shorter term deployment applications such as electric remotely operated vehicle (“eROV”) or (“ROV”) and AUV inspections and short-term maintenance, topside surveillance and communications, and subsea equipment and controls. The hybrid is anticipated to be quickly deployable and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1kW Stirling engine fueled by liquid propane (or biofuel for Generation 2). This energy is stored in onboard batteries which power the aforementioned subsea and topside payloads. The Company has designed the hybrid with a Stirling engine backup system to outperform traditional diesel buoys, which we believe have more frequent service and refueling intervals and higher carbon intensities. We believe the hybrid will be able to operate over a broader range of temperature and ocean wave conditions than existing diesel buoys.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ind w:firstLine="518"/>
        <w:spacing w:after="0" w:line="263" w:lineRule="auto"/>
        <w:rPr>
          <w:sz w:val="20"/>
          <w:szCs w:val="20"/>
          <w:color w:val="auto"/>
        </w:rPr>
      </w:pPr>
      <w:r>
        <w:rPr>
          <w:rFonts w:ascii="Arial" w:cs="Arial" w:eastAsia="Arial" w:hAnsi="Arial"/>
          <w:sz w:val="18"/>
          <w:szCs w:val="18"/>
          <w:color w:val="auto"/>
        </w:rPr>
        <w:t>The towable, boat-shaped hull design of the hybrid is appropriate for deployment anywhere in the world. Power is generated independent of wave activity, making it a perfect solution for providing power through extreme weather and in heaving seas, or in calm, low wave environments and is complimentary to the PB3.</w:t>
      </w:r>
    </w:p>
    <w:p>
      <w:pPr>
        <w:spacing w:after="0" w:line="184"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hybriud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hybrid can be transported over land to the deployment port using conventional transportation methods. Once at port, the hybrid can be lifted into the water or onboard a vessel using a readily available crane of appropriate capacity. The hybrid may then be towed to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hybrid is configured with a nominal 30 kilowatt-hours of battery energy storage and approximately 1 megawatt-hour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1megawatt-hour of stored energy capacity. Our research suggests this amount of stored energy offers an attractive local, autonomous energy solution for clients in a range of industries, including but not limited to oil and gas and marine observation, particularly for shorter term deployments.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also developing a subsea battery that is complementary to both of our PowerBuoy® products and can be deployed together with our PowerBuoys® or on its own. It offers customers the option of placing additional modular and expandable energy storage on the seabed near existing or to be installed subsea equipment. Our lithium ion subsea batteries supply power that can enable subsea equipment, sensors, communications and AUV and eROV recharge. Our range of PowerBuoys® is complimentary to the subsea batteries by providing a means for recharging during longer term deployments, or the batteries can be used independently for shorter term deployments. Ideal for many remote offshore customer applications, these subsea batteries are anticipated to be high performance, cost-efficient, and quickly deployable. The subsea battery solutions are currently undergoing prototyping.</w:t>
      </w:r>
    </w:p>
    <w:p>
      <w:pPr>
        <w:spacing w:after="0" w:line="164"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kilowatt-hours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battery is then connected to the other components on the seabed with the use of ROVs or divers.</w:t>
      </w:r>
    </w:p>
    <w:p>
      <w:pPr>
        <w:spacing w:after="0" w:line="19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analysis suggests that the growing demand for electrification of subsea infrastructure, and an increased switch to autonomous and renewable solution, offers multiple opportunities for deploying subsea battery powered solutions over the next few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provided that, subject to certain terms, conditions and limitations, Aspire Capital was committed to purchase up to an aggregate of $10.0 million of shares of the Company’s common stock over a 30-month period that did not exceed 19.99% of the outstanding common stock on the date of the agreement. The number of shares the Company could issue within the 19.99% was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The agreement was cancelled on October 24, 2019, and as of that date, the Company had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including shares issued as a commitment fee. At the 2019 annual meeting of stockholders, held on December 20, 2019, the Company’s stockholders approved an additional 5,400,000 shares to be issued pursuant to the common stock purchase agreement in excess of the 19.99% limit. In consideration for entering into the agreement, the Company issued to Aspire Capital 194,805 shares of our common stock as a commitment fee. As of April 30, 2020, the Company has sold 1,399,205 shares of common stock with an aggregate market value of approximately $1.1 million at an average price of $0.82 per share pursuant to this common stock purchase agreement.</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8"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On January 7, 2019, the Company entered into the 2019 ATM Facility with A.G.P./Alliance Global Partners under which the Company may issue and sell to or through AGP, acting as agent and/or principal, shares of the Company’s common stock having an aggregate offering price of up to $25 million. As of April 30, 2020, under the 2019 ATM Facility, the Company has issued 5,101,405 shares of its common stock with an aggregate market value of $3.8 million at an average price of $0.74 per share and paid AGP a sales commission of approximately $122,530 related to those shares.</w:t>
      </w:r>
    </w:p>
    <w:p>
      <w:pPr>
        <w:spacing w:after="0" w:line="15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As of April 30, 2020, our negotiated backlog was $1.0 million. As of April 30, 2019, our negotiated backlog was $0.9 million. Our backlog can include unfilled firm orders for our products and services from commercial and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losses have resulted in an accumulated deficit of $220.1 million at April 30, 2020. Based on the Company’s cash, cash equivalents and restricted cash balances as of April 30, 2020, as well as the $0.9 million of proceeds received from the PPP Loan on May 5, 2020, the Company believes that it will be able to finance its capital requirements and operations into the quarter ending April 30, 2021.</w:t>
      </w:r>
    </w:p>
    <w:p>
      <w:pPr>
        <w:spacing w:after="0" w:line="17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report of our independent registered public accounting firm on our consolidated financial statements for the year ended April 30, 2020,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w:t>
      </w:r>
    </w:p>
    <w:p>
      <w:pPr>
        <w:spacing w:after="0" w:line="19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2020 and 2019:</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Twelve months ended April 30,</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341</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Premier Oil UK Limited</w:t>
            </w:r>
          </w:p>
        </w:tc>
        <w:tc>
          <w:tcPr>
            <w:tcW w:w="9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11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1,211</w:t>
            </w:r>
          </w:p>
        </w:tc>
        <w:tc>
          <w:tcPr>
            <w:tcW w:w="1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12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r>
      <w:tr>
        <w:trPr>
          <w:trHeight w:val="229"/>
        </w:trPr>
        <w:tc>
          <w:tcPr>
            <w:tcW w:w="5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currently focus our sales and marketing efforts on parts of North and South America, Europe, and Asia. The following table shows the percentage of our revenues by geographical location of our customers for fiscal 2020 and 2019:</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Twelve months ended April 30,</w:t>
            </w:r>
          </w:p>
        </w:tc>
      </w:tr>
      <w:tr>
        <w:trPr>
          <w:trHeight w:val="23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14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Europe</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120" w:type="dxa"/>
            <w:vAlign w:val="bottom"/>
            <w:gridSpan w:val="2"/>
          </w:tcPr>
          <w:p>
            <w:pPr>
              <w:ind w:left="80"/>
              <w:spacing w:after="0"/>
              <w:rPr>
                <w:sz w:val="20"/>
                <w:szCs w:val="20"/>
                <w:color w:val="auto"/>
              </w:rPr>
            </w:pPr>
            <w:r>
              <w:rPr>
                <w:rFonts w:ascii="Arial" w:cs="Arial" w:eastAsia="Arial" w:hAnsi="Arial"/>
                <w:sz w:val="18"/>
                <w:szCs w:val="18"/>
                <w:color w:val="auto"/>
              </w:rPr>
              <w:t>South America</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r>
      <w:tr>
        <w:trPr>
          <w:trHeight w:val="249"/>
        </w:trPr>
        <w:tc>
          <w:tcPr>
            <w:tcW w:w="5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North America</w:t>
            </w:r>
          </w:p>
        </w:tc>
        <w:tc>
          <w:tcPr>
            <w:tcW w:w="1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7"/>
        </w:trPr>
        <w:tc>
          <w:tcPr>
            <w:tcW w:w="4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maintain cash accounts that are denominated in British pounds sterling, Euros and Australian dollars. These foreign denominated accounts had a balance of $0.3 million as of April 30, 2020 and $0.7 million as of April 30, 2019, compared to our total cash, cash equivalents, and restricted cash balances of $10.9 million as of April 30, 2020 and $17.2 million as of April 30, 2019. These foreign currency balances are translated at each month end to our functional currency, the US dollar, and any resulting gain or loss is recognized in our results of operations.</w:t>
      </w:r>
    </w:p>
    <w:p>
      <w:pPr>
        <w:spacing w:after="0" w:line="17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section should be read in conjunction with the discussion below under “-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Ended April 30, 2020 and 2019</w:t>
      </w:r>
    </w:p>
    <w:p>
      <w:pPr>
        <w:spacing w:after="0" w:line="22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years ended April 30,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780" w:type="dxa"/>
            <w:vAlign w:val="bottom"/>
            <w:gridSpan w:val="7"/>
            <w:vMerge w:val="restart"/>
          </w:tcPr>
          <w:p>
            <w:pPr>
              <w:jc w:val="right"/>
              <w:ind w:right="860"/>
              <w:spacing w:after="0"/>
              <w:rPr>
                <w:sz w:val="20"/>
                <w:szCs w:val="20"/>
                <w:color w:val="auto"/>
              </w:rPr>
            </w:pPr>
            <w:r>
              <w:rPr>
                <w:rFonts w:ascii="Arial" w:cs="Arial" w:eastAsia="Arial" w:hAnsi="Arial"/>
                <w:sz w:val="18"/>
                <w:szCs w:val="18"/>
                <w:b w:val="1"/>
                <w:bCs w:val="1"/>
                <w:color w:val="auto"/>
              </w:rPr>
              <w:t>Twelve months ended April 30,</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28"/>
        </w:trPr>
        <w:tc>
          <w:tcPr>
            <w:tcW w:w="5740" w:type="dxa"/>
            <w:vAlign w:val="bottom"/>
          </w:tcPr>
          <w:p>
            <w:pPr>
              <w:spacing w:after="0"/>
              <w:rPr>
                <w:sz w:val="19"/>
                <w:szCs w:val="19"/>
                <w:color w:val="auto"/>
              </w:rPr>
            </w:pPr>
          </w:p>
        </w:tc>
        <w:tc>
          <w:tcPr>
            <w:tcW w:w="3780" w:type="dxa"/>
            <w:vAlign w:val="bottom"/>
            <w:gridSpan w:val="7"/>
            <w:vMerge w:val="continue"/>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2020 period to</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2019 period</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5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1,682</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1,787</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1,303</w:t>
            </w:r>
          </w:p>
        </w:tc>
        <w:tc>
          <w:tcPr>
            <w:tcW w:w="32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5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4,344</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6"/>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98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6,916</w:t>
            </w:r>
          </w:p>
        </w:tc>
        <w:tc>
          <w:tcPr>
            <w:tcW w:w="9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7,616</w:t>
            </w:r>
          </w:p>
        </w:tc>
        <w:tc>
          <w:tcPr>
            <w:tcW w:w="32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6"/>
        </w:trPr>
        <w:tc>
          <w:tcPr>
            <w:tcW w:w="5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83"/>
              </w:rPr>
              <w:t>(11,365)</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83"/>
              </w:rPr>
              <w:t>(13,271)</w:t>
            </w:r>
          </w:p>
        </w:tc>
        <w:tc>
          <w:tcPr>
            <w:tcW w:w="34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income, net</w:t>
            </w:r>
          </w:p>
        </w:tc>
        <w:tc>
          <w:tcPr>
            <w:tcW w:w="98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124</w:t>
            </w:r>
          </w:p>
        </w:tc>
        <w:tc>
          <w:tcPr>
            <w:tcW w:w="9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9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3"/>
              </w:rPr>
              <w:t>(11,247)</w:t>
            </w:r>
          </w:p>
        </w:tc>
        <w:tc>
          <w:tcPr>
            <w:tcW w:w="3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3"/>
              </w:rPr>
              <w:t>(13,096)</w:t>
            </w:r>
          </w:p>
        </w:tc>
        <w:tc>
          <w:tcPr>
            <w:tcW w:w="340" w:type="dxa"/>
            <w:vAlign w:val="bottom"/>
            <w:tcBorders>
              <w:top w:val="single" w:sz="8" w:color="CCEEFF"/>
            </w:tcBorders>
            <w:gridSpan w:val="2"/>
          </w:tcPr>
          <w:p>
            <w:pPr>
              <w:spacing w:after="0"/>
              <w:rPr>
                <w:sz w:val="17"/>
                <w:szCs w:val="17"/>
                <w:color w:val="auto"/>
              </w:rPr>
            </w:pPr>
          </w:p>
        </w:tc>
        <w:tc>
          <w:tcPr>
            <w:tcW w:w="172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9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895</w:t>
            </w: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tcBorders>
          </w:tcPr>
          <w:p>
            <w:pPr>
              <w:jc w:val="right"/>
              <w:ind w:right="81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(10,352</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(12,246</w:t>
            </w:r>
          </w:p>
        </w:tc>
        <w:tc>
          <w:tcPr>
            <w:tcW w:w="3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7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Revenues for the fiscal years ended April 30, 2020 and 2019 were approximately $1.7 million and $0.6 million, respectively. The increase of approximately $1.1 million over 2019 was mainly attributable to a new contract signed in fiscal year 2020 with EGP.</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cost of revenues consists primarily of incurred material, labor and manufacturing overhead expenses, such as engineering expense, equipment depreciation and maintenance and facility related expenses, and includes the cost of equipment to customize the PowerBuoy® supplied by third-party suppliers. Cost of revenues also includes PowerBuoy® system delivery and deployment expenses and may include anticipated losses at completion on certain contracts.</w:t>
      </w:r>
    </w:p>
    <w:p>
      <w:pPr>
        <w:spacing w:after="0" w:line="18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Cost of revenues for the fiscal years ended April 30, 2020 and 2019 were approximately $1.8 million and $1.3 million, respectively. The increase of approximately $0.5 million, or 37%, over 2019 was mostly due to higher upfront spending and material costs on the new EGP contract signed in fiscal 2020 as compared to the same period in the fiscal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Engineering and product development costs during the fiscal year ended April 30, 2020 were $4.3 million as compared to $5.0 million for fiscal year 2019. The decrease of $0.7 million, or 13%, is due to lower spending on PB3 PowerBuoy® builds for future customer contracts and lower spending on product development compared to the same period in fiscal 2019.</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and other general corporate expenses.</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Selling, general and administrative costs during the fiscal year months ended April 30, 2020 were $6.9 million as compared to $7.6 million for fiscal year 2019. The decrease of $0.7 million, or 9%, is primarily attributable to lower spending on professional fees of $0.4 million and lower employee related costs of $0.3 million partly offset by higher sales and marketing of $0.2 million.</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change in fair value of warrant liabilities during the fiscal year ended April 30, 2020 was an unrealized gain of $6,000 versus an unrealized gain of $195,000 for the fiscal year ended April 30, 2019. The change between periods is mainly due to a lower stock price for the twelve months ended April 30, 2020.</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Interest income, net consists of interest received on cash and cash equivalents, investments in money market accounts and interest expense paid on certain obligations to third parties. Total cash, cash equivalents, and restricted cash was $10.9 million as of April 30, 2020, compared to $17.2 million as of April 30, 2019.</w:t>
      </w:r>
    </w:p>
    <w:p>
      <w:pPr>
        <w:spacing w:after="0" w:line="184"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Interest income, net during the fiscal year 2020 was approximately $124,000 compared to $35,000 for fiscal 2019. The increase in interest income year over year is due to a higher average cash balance in fiscal year 2020.</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exchange gain/(loss</w:t>
      </w:r>
      <w:r>
        <w:rPr>
          <w:rFonts w:ascii="Arial" w:cs="Arial" w:eastAsia="Arial" w:hAnsi="Arial"/>
          <w:sz w:val="18"/>
          <w:szCs w:val="18"/>
          <w:color w:val="auto"/>
        </w:rPr>
        <w:t>)</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Foreign exchange loss was approximately $12,000 for fiscal year 2020 as compared to a foreign exchange loss of $55,000 for fiscal year 2019. The difference was attributable primarily to the relative change in value of the British pound sterling, Euro and Australian dollar compared to the U.S. dollar during the two periods.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During the fiscal years ended April 30, 2020 and 2019, the Company sold New Jersey State net operating losses and research and development credits in the amount of $10.0 million and $9.1 million, respectively, resulting in the recognition of income tax benefits of $0.9 million in each year. The Company has a full valuation allowance against its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2020, our aggregate revenues were $2.3 million, our aggregate net losses were $22.6 million and our aggregate net cash used in operating activities was $22.7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cash flows used in operating activities during the fiscal year ended April 30, 2020 were $10.6 million, a decrease of $1.5 million, when compared to $12.1 million during the fiscal year ended April 30, 2019. The change was the result of a decrease in net loss of $1.9 million offset by an increase in cash outflow related to the changes in operating assets and liabilities of $1.3 million. Fiscal year 2019 includes a deferred credit payment of $0.6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Net cash used in investing activities was approximately $65,000 for fiscal year 2020 versus net cash used by investing activities of approximately $29,000 for fiscal year 2019. The change was primarily the result of the Company’s increased spending on equipment of $11,000 and the prior period included a net change in the marketable securities of $25,000.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Net cash provided by financing activities was approximately $4.4 million in fiscal year 2020, and net cash provided by financing activities was approximately $17.2 million for fiscal 2019. The decrease in net cash provided in fiscal year 2020 compared to fiscal year 2019 was due primarily to the Company receiving more proceeds from sales of its common stock in fiscal year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effect of exchange rates on cash and cash equivalents was a reduction of approximately $32,000 in fiscal year 2020, a decrease of $48,000 from fiscal year 2019, respectively.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losses have caused an accumulated deficit of $220.1 million at April 30, 2020. We generated revenues of only $1.7 million in fiscal year 2020, and $0.6 million in fiscal year 2019. Based on the Company’s cash, cash equivalents and restricted cash balances as of April 30, 2020, as well as the $0.9 million of proceeds received from the PPP Loan on May 5, 2020, the Company believes that it will be able to finance its capital requirements and operations into the quarter ending April 30, 2021. These conditions raise substantial doubt about our ability to continue as a going concern.</w:t>
      </w:r>
    </w:p>
    <w:p>
      <w:pPr>
        <w:spacing w:after="0" w:line="161"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COVID-19 pandemic on our business, operations, customers, suppliers and manufacturers;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such as subsea battery solutions;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that we will be successful in our efforts to commercialize our products or the timetable upon which commercialization can be achieved, if at all;</w:t>
      </w:r>
    </w:p>
    <w:p>
      <w:pPr>
        <w:spacing w:after="0" w:line="236" w:lineRule="exact"/>
        <w:rPr>
          <w:rFonts w:ascii="Arial" w:cs="Arial" w:eastAsia="Arial" w:hAnsi="Arial"/>
          <w:sz w:val="17"/>
          <w:szCs w:val="17"/>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our wave energy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reliability of our technology and our products;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engineering and product development costs associated with our product development. We anticipate that our operating expenses will be approximately $14.0 million in fiscal year 2021 including product development spending of more than $6.9 million. We may choose to reduce our operating expenses through personnel reductions, and reductions in our research and development and other operating costs during the fiscal year 2021,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longer than twelve months or leases that contain a purchase option that is reasonably certain to be exercised. Leases will be classified as either finance or operating, with classification affecting the pattern of expense recognition in the income statement. ASU 2016-02 was effective for annual periods beginning after December 15, 2018, including interim periods within those annual periods, with early adoption permitted. The guidance permits the Company to utilize the package of practical expedients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Additionally, the Company elected to exclude short-term leases having initial terms of 12 months or less and recognizes rent expense on a straight-line basis over the lease term. The Company adopted Topic 842 on May 1, 2019 using the modified retrospective approach. Under this approach, comparative periods presented in the financial statements in which the new lease standard is adopted will continue to be presented in accordance with prior GAAP. The adoption of this standard resulted in the Company recognizing a ROU and a lease liability of approximately $1.4 million and $1.5 million, respectively, and eliminating deferred rent of $39,000 and an unamortized lease incentive receivable of $108,000. Refer to Note 6 to the Consolidated Financial Statements for disclosure requirements related to the adoption of this standard.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ind w:firstLine="518"/>
        <w:spacing w:after="0" w:line="296"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amendment in this update replaces the incurred loss impairment methodology in current GAAP with a methodology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on instruments within its scope, including trade receivables. This update is intended to provide financial statement users with more decision-useful information about the expected credit losses. This ASU is effective for annual periods and interim periods beginning after December 15, 2019. The Company is currently evaluating the impact the adoption of ASU 2016-13 will have on its consolidated financial statements.</w:t>
      </w:r>
    </w:p>
    <w:p>
      <w:pPr>
        <w:spacing w:after="0" w:line="161"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The ASU modifies, removes, and adds several disclosure requirements on fair value measurements in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w:t>
      </w:r>
    </w:p>
    <w:p>
      <w:pPr>
        <w:spacing w:after="0" w:line="4" w:lineRule="exact"/>
        <w:rPr>
          <w:sz w:val="20"/>
          <w:szCs w:val="20"/>
          <w:color w:val="auto"/>
        </w:rPr>
      </w:pPr>
    </w:p>
    <w:p>
      <w:pPr>
        <w:jc w:val="both"/>
        <w:ind w:firstLine="8"/>
        <w:spacing w:after="0" w:line="255"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90"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 August 2018, the FASB issued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Disclosure controls and procedures are our controls and other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2020,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April 30, 2020 that has materially affected, or is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713"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jc w:val="both"/>
        <w:ind w:firstLine="495"/>
        <w:spacing w:after="0" w:line="301" w:lineRule="auto"/>
        <w:rPr>
          <w:sz w:val="20"/>
          <w:szCs w:val="20"/>
          <w:color w:val="auto"/>
        </w:rPr>
      </w:pPr>
      <w:r>
        <w:rPr>
          <w:rFonts w:ascii="Arial" w:cs="Arial" w:eastAsia="Arial" w:hAnsi="Arial"/>
          <w:sz w:val="16"/>
          <w:szCs w:val="16"/>
          <w:color w:val="auto"/>
        </w:rPr>
        <w:t>All of the directors bring to our Board of Directors executive leadership experience from their service as executives and/or directors of our Company and/or other entities. 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4"/>
              </w:rPr>
              <w:t>Served as</w:t>
            </w:r>
          </w:p>
        </w:tc>
      </w:t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41"/>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5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Position(s) with the Company</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7"/>
              </w:rPr>
              <w:t>From</w:t>
            </w:r>
          </w:p>
        </w:tc>
      </w:tr>
      <w:tr>
        <w:trPr>
          <w:trHeight w:val="202"/>
        </w:trPr>
        <w:tc>
          <w:tcPr>
            <w:tcW w:w="3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Terence J. Cryan</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7"/>
                <w:szCs w:val="17"/>
                <w:color w:val="auto"/>
              </w:rPr>
            </w:pPr>
          </w:p>
        </w:tc>
        <w:tc>
          <w:tcPr>
            <w:tcW w:w="5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Chairman of the Board</w:t>
            </w:r>
          </w:p>
        </w:tc>
        <w:tc>
          <w:tcPr>
            <w:tcW w:w="240" w:type="dxa"/>
            <w:vAlign w:val="bottom"/>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2012</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Dean J. Glover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53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Vice Chairman of the Board and Independent Director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George H. Kirby III</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53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Executive Officer and Director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Steven M. Fludder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5380" w:type="dxa"/>
            <w:vAlign w:val="bottom"/>
            <w:gridSpan w:val="2"/>
          </w:tcPr>
          <w:p>
            <w:pPr>
              <w:ind w:left="1780"/>
              <w:spacing w:after="0"/>
              <w:rPr>
                <w:sz w:val="20"/>
                <w:szCs w:val="20"/>
                <w:color w:val="auto"/>
              </w:rPr>
            </w:pPr>
            <w:r>
              <w:rPr>
                <w:rFonts w:ascii="Arial" w:cs="Arial" w:eastAsia="Arial" w:hAnsi="Arial"/>
                <w:sz w:val="18"/>
                <w:szCs w:val="18"/>
                <w:color w:val="auto"/>
              </w:rPr>
              <w:t>Independent Director</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Robert K. Winters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40" w:type="dxa"/>
            <w:vAlign w:val="bottom"/>
          </w:tcPr>
          <w:p>
            <w:pPr>
              <w:spacing w:after="0"/>
              <w:rPr>
                <w:sz w:val="18"/>
                <w:szCs w:val="18"/>
                <w:color w:val="auto"/>
              </w:rPr>
            </w:pPr>
          </w:p>
        </w:tc>
        <w:tc>
          <w:tcPr>
            <w:tcW w:w="53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Independent Director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Kristine S. Moore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40" w:type="dxa"/>
            <w:vAlign w:val="bottom"/>
          </w:tcPr>
          <w:p>
            <w:pPr>
              <w:spacing w:after="0"/>
              <w:rPr>
                <w:sz w:val="20"/>
                <w:szCs w:val="20"/>
                <w:color w:val="auto"/>
              </w:rPr>
            </w:pPr>
          </w:p>
        </w:tc>
        <w:tc>
          <w:tcPr>
            <w:tcW w:w="5380" w:type="dxa"/>
            <w:vAlign w:val="bottom"/>
            <w:gridSpan w:val="2"/>
          </w:tcPr>
          <w:p>
            <w:pPr>
              <w:ind w:left="1780"/>
              <w:spacing w:after="0"/>
              <w:rPr>
                <w:sz w:val="20"/>
                <w:szCs w:val="20"/>
                <w:color w:val="auto"/>
              </w:rPr>
            </w:pPr>
            <w:r>
              <w:rPr>
                <w:rFonts w:ascii="Arial" w:cs="Arial" w:eastAsia="Arial" w:hAnsi="Arial"/>
                <w:sz w:val="18"/>
                <w:szCs w:val="18"/>
                <w:color w:val="auto"/>
              </w:rPr>
              <w:t>Independent Director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2018</w:t>
            </w:r>
          </w:p>
        </w:tc>
      </w:tr>
    </w:tbl>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Terence J. Cryan </w:t>
      </w:r>
      <w:r>
        <w:rPr>
          <w:rFonts w:ascii="Arial" w:cs="Arial" w:eastAsia="Arial" w:hAnsi="Arial"/>
          <w:sz w:val="17"/>
          <w:szCs w:val="17"/>
          <w:color w:val="auto"/>
        </w:rPr>
        <w:t>has been a member of our Board of Directors since October 2012 and Chairman of the board since June 2014. Prior to joining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Mr. Cryan was a member of our Board of Advisors. Mr. Cryan was our lead independent director from October 2013 to June 2014 when he became Chairman of the Board. Since August 2017, Mr. Cryan has served as the Chairman of the Board of Westwater Resources, Inc. Mr. Cryan has served on the boards of directors of a number of other publicly traded companies including Uranium Resources, Inc. from 2006 to 2016; Global Power Equipment Group Inc. from 2008 to 2017; Superior Drilling Products from May 2014 to 2016; Gryphon Gold Corporation from 2009 to 2012; and The Providence Service Corporation from 2009 to 2011. Mr. Cryan served as President and CEO of Global Power Equipment Group Inc., from March 2015 until July 2017. From September 2012 until April 2013, Mr. Cryan served as interim President and CEO of Uranium Resources, Inc., and was elected as Chairman of the Board of Directors of Uranium Resources, Inc. in June 2014 and served until March 2016. Mr. Cryan previously served as President and Chief Executive Officer of Medical Acoustics, LLC from 2007 through 2010. Mr. Cryan earned his Bachelor of Arts degree from Tufts University in 1983 and a Master of Science degree in Economics from The London School of Economics in 1984. In December 2014, Terence Cryan was named a Board Leadership Fellow by the National Association of Corporate Directors. We believe Mr. Cryan’s qualifications to sit on our Board of Directors include his significant experience in financial matters, his prior board and executive management experience at other companies, his broad energy industry background and his extensive expertise in financings, mergers and acquisitions.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Dean J. Glover </w:t>
      </w:r>
      <w:r>
        <w:rPr>
          <w:rFonts w:ascii="Arial" w:cs="Arial" w:eastAsia="Arial" w:hAnsi="Arial"/>
          <w:sz w:val="17"/>
          <w:szCs w:val="17"/>
          <w:color w:val="auto"/>
        </w:rPr>
        <w:t>became a member of our Board of Directors in October 2014, and was elected Vice Chairman of our Board of Directors in July 2016.</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March 2018, Mr. Glover has served as a member of the Board of Directors of ConXtech. Mr. Glover is currently the CEO of Techniks Tool Group. Prior to Techniks Tool Group from October 2014 until 2017, Mr. Glover served as MIRATECH President &amp; CEO. Prior to this, he was Senior Vice President and President of the Products Division of Global Power Equipment Group Inc. Mr. Glover joined Global Power in December 2005 as Chief Operating Officer of Braden Manufacturing. Prior to joining Global Power, Mr. Glover led the global supply chain and manufacturing for Diebold Inc. Mr. Glover currently serves as a director of Oklahoma Scholastic Organization, a non-profit organization. Mr. Glover holds a Bachelor’s degree in Mechanical Engineering from the University of Nebraska and an M.B.A. from the Kellogg Graduate School of Management, Northwestern University. Mr. Glover has extensive international experience having lived in various international locations for most of his career. Mr. Glover has over 30 years of commercial and technical experience in industry. We believe Mr. Glover’s qualifications to sit on our Board of Directors include his significant managerial, commercial, financial and technical experience in the energy technology industry.</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George H. Kirby III </w:t>
      </w:r>
      <w:r>
        <w:rPr>
          <w:rFonts w:ascii="Arial" w:cs="Arial" w:eastAsia="Arial" w:hAnsi="Arial"/>
          <w:sz w:val="16"/>
          <w:szCs w:val="16"/>
          <w:color w:val="auto"/>
        </w:rPr>
        <w:t>has served as our President, Chief Executive Office and a member of our Board of Directors since January, 2015. Prior to this, Mr.</w:t>
      </w:r>
      <w:r>
        <w:rPr>
          <w:rFonts w:ascii="Arial" w:cs="Arial" w:eastAsia="Arial" w:hAnsi="Arial"/>
          <w:sz w:val="16"/>
          <w:szCs w:val="16"/>
          <w:b w:val="1"/>
          <w:bCs w:val="1"/>
          <w:color w:val="auto"/>
        </w:rPr>
        <w:t xml:space="preserve"> </w:t>
      </w:r>
      <w:r>
        <w:rPr>
          <w:rFonts w:ascii="Arial" w:cs="Arial" w:eastAsia="Arial" w:hAnsi="Arial"/>
          <w:sz w:val="16"/>
          <w:szCs w:val="16"/>
          <w:color w:val="auto"/>
        </w:rPr>
        <w:t>Kirby was Senior Vice President at AECOM Technology Corporation (NYSE: ACM) a leading provider of engineering, procurement and construction (“EPC”) services. In this role, he led their Energy Business Line for the north U.S. region providing services for utilities, power transmission and generation developers, and large industrial energy efficiency end-users. Prior to AECOM, he joined SAIC Energy, Environment, &amp; Infrastructure (NYSE: SAIC) in January 2012 a global leader in solutions for national security, healthcare and engineering, as Managing Director for their Asset Transactions group providing power generation investors and developers with technical and market consulting and advisory services and was promoted to Vice President in 2013 providing EPC services to Investor Owned Utilities. In 2009, he joined American Superconductor (Nasdaq: AMSC) as Director of Global Sales and was promoted to Managing Director of the Americas and Australia in 2011. From 2000 to 2009, Mr. Kirby held significant leadership roles at General Electric in both GE Energy and GE Capital (NYSE: GE) in product development, global sales, quality and project finance. In June 2016, Mr. Kirby was elected to the Board of Trustees of the Sea Research Foundation, a non-profit organization in Mystic, Connecticut. Mr. Kirby previously served as a director of Blade Dynamics, LLC from April to December 2011, and Schooner, Inc. from June to October 2012. Mr. Kirby earned a Bachelor of Science degree in Aerospace Engineering from Syracuse University in 1992 and an M.B.A. from Smeal College of Business at the Pennsylvania State University in 2008. We believe Mr. Kirby’s significant leadership experience in the energy and infrastructure industries qualifies him to serve on our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b w:val="1"/>
          <w:bCs w:val="1"/>
          <w:color w:val="auto"/>
        </w:rPr>
        <w:t xml:space="preserve">Steven M. Fludder </w:t>
      </w:r>
      <w:r>
        <w:rPr>
          <w:rFonts w:ascii="Arial" w:cs="Arial" w:eastAsia="Arial" w:hAnsi="Arial"/>
          <w:sz w:val="17"/>
          <w:szCs w:val="17"/>
          <w:color w:val="auto"/>
        </w:rPr>
        <w:t>became a member of the Board of Directors in 2016. Mr. Fludder brings more than 30 years of global executive leadership in energy</w:t>
      </w:r>
      <w:r>
        <w:rPr>
          <w:rFonts w:ascii="Arial" w:cs="Arial" w:eastAsia="Arial" w:hAnsi="Arial"/>
          <w:sz w:val="17"/>
          <w:szCs w:val="17"/>
          <w:b w:val="1"/>
          <w:bCs w:val="1"/>
          <w:color w:val="auto"/>
        </w:rPr>
        <w:t xml:space="preserve"> </w:t>
      </w:r>
      <w:r>
        <w:rPr>
          <w:rFonts w:ascii="Arial" w:cs="Arial" w:eastAsia="Arial" w:hAnsi="Arial"/>
          <w:sz w:val="17"/>
          <w:szCs w:val="17"/>
          <w:color w:val="auto"/>
        </w:rPr>
        <w:t>and infrastructure markets. From November 2017 until June 2020, Mr. Fludder served as the Chief Executive Officer for NEC Energy Solutions. Prior to joining NEC Energy Solutions, Mr. Fludder was the Chief Executive Officer with alpha-En Corporation, a publicly traded innovative clean technology company focused on enabling next generation lithium battery technologies. Prior to alpha-En, Mr. Fludder was Chief Executive of AECOM’s global energy and water practice. Prior to AECOM, he was Senior Executive Vice President, Division General Manager and Samsung group officer where he was head of worldwide sales and marketing for Samsung Engineering, a global engineering, procurement and construction (EPC) firm serving a broad range of energy industries including power, oil &amp; gas, petrochemicals, and metallurgy markets. He was subsequently President of Samsung Techwin Power Systems Division. Prior to Samsung, Mr. Fludder served as a Vice President and General Electric corporate officer where he led GE’s $18 billion environmental business initiative as well as several global energy related business units over a 27 year career. He has significant experience scaling and growing energy related technology businesses. Mr. Fludder holds a Master’s degree in Mechanical Engineering from the Massachusetts Institute of Technology, a bachelor’s degree in Mechanical Engineering from Columbia University, and a second Bachelor of Science degree from Providence College. We believe Mr. Fludder’s qualifications to serve on our Board of Directors include his wide experience in both the energy and infrastructure industries, as well a variety of other industry segments related to our business.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Robert K. Winters </w:t>
      </w:r>
      <w:r>
        <w:rPr>
          <w:rFonts w:ascii="Arial" w:cs="Arial" w:eastAsia="Arial" w:hAnsi="Arial"/>
          <w:sz w:val="16"/>
          <w:szCs w:val="16"/>
          <w:color w:val="auto"/>
        </w:rPr>
        <w:t>became a member of the Board of Directors in 2016. Robert Winters has been with Alpha IR Group since September 2015,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serves as Senior Managing Director. He established and is running the NYC office for Chicago-based firm, which specializes in providing strategic counsel to small- and mid-cap U.S. companies across a broad range of industries. Prior to this, he was a partner and portfolio manager at Zesiger Capital Group, LLC for 14 years; Zesiger Capital Group, LLC is an investment advisor based in NYC, catering to both large institutional clients and high net-worth individuals. Zesiger’s investment strategy during Mr. Winters’ tenure was to take concentrated, long-term investment positions in small-and mid-cap stocks in the U.S., as well as in select emerging and frontier markets. Additionally, Mr. Winters managed fixed income investments on behalf of clients at Zesiger, as well as private investments; Mr. Winters sat on the boards of several private portfolio companies during his time at Zesiger. Prior to his work at Zesiger Capital Group, LLC, Mr. Winters worked as a Managing Director and Senior Natural Resource analyst for almost 10 years at Bear, Stearns &amp; Co., Inc., where he focused on energy, metals and mining. Mr. Winters served as a director of LRM Industries International from 2009 until 2014 Mr. Winters graduated from Georgetown University in 1990 with a dual major in International Relations and History. We believe Mr. Winter’s qualifications to serve on our Board of Directors include his extensive finance experience, as well his experience with small-cap and mid-cap public companies.</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Kristine S. Moore </w:t>
      </w:r>
      <w:r>
        <w:rPr>
          <w:rFonts w:ascii="Arial" w:cs="Arial" w:eastAsia="Arial" w:hAnsi="Arial"/>
          <w:sz w:val="18"/>
          <w:szCs w:val="18"/>
          <w:color w:val="auto"/>
        </w:rPr>
        <w:t>became a member of the Board of Directors in 2018. From December 2015 through April 2018, Ms. Moore served as non-executive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at Achilles Ltd., a global private-equity held company based in London. Prior to Achilles, Ltd. from 2001 to 2015, Ms. Moore was with Royal Dutch Shell (“Shell”), an international energy company. During this time, Ms. Moore held various positions at Shell; during 2015 Ms. Moore was Vice President of Contracting and Procurement; from 2011 to 2014, Vice President of Contracting and Procurement Operations and Group Materials Management; from 2007 to 2010, Vice President of Global Functions Sourcing; and from 2001 to 2007, Ms. Moore held various managerial positions. Ms. Moore is a graduate of Rice University with a Bachelor of Science in Civil Engineering. We believe Ms. Moore’s qualifications to serve on our Board of Directors include her extensive experience in the oil and gas markets, as well as her business background in sales, marketing, and supply chain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one executive officer who is not also a 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2"/>
                <w:szCs w:val="22"/>
                <w:color w:val="auto"/>
              </w:rPr>
            </w:pPr>
          </w:p>
        </w:tc>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 with Ocean Power Technologies, Inc.</w:t>
            </w: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color w:val="auto"/>
              </w:rPr>
              <w:t>Matthew T. Shafer</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r>
        <w:trPr>
          <w:trHeight w:val="439"/>
        </w:trPr>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240"/>
          </w:cols>
          <w:pgMar w:left="320" w:top="661"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17"/>
          <w:szCs w:val="17"/>
          <w:b w:val="1"/>
          <w:bCs w:val="1"/>
          <w:color w:val="auto"/>
        </w:rPr>
        <w:t xml:space="preserve">Matthew T. Shafer </w:t>
      </w:r>
      <w:r>
        <w:rPr>
          <w:rFonts w:ascii="Arial" w:cs="Arial" w:eastAsia="Arial" w:hAnsi="Arial"/>
          <w:sz w:val="17"/>
          <w:szCs w:val="17"/>
          <w:color w:val="auto"/>
        </w:rPr>
        <w:t>joined the Company in</w:t>
      </w:r>
      <w:r>
        <w:rPr>
          <w:rFonts w:ascii="Arial" w:cs="Arial" w:eastAsia="Arial" w:hAnsi="Arial"/>
          <w:sz w:val="17"/>
          <w:szCs w:val="17"/>
          <w:b w:val="1"/>
          <w:bCs w:val="1"/>
          <w:color w:val="auto"/>
        </w:rPr>
        <w:t xml:space="preserve"> </w:t>
      </w:r>
      <w:r>
        <w:rPr>
          <w:rFonts w:ascii="Arial" w:cs="Arial" w:eastAsia="Arial" w:hAnsi="Arial"/>
          <w:sz w:val="17"/>
          <w:szCs w:val="17"/>
          <w:color w:val="333333"/>
        </w:rPr>
        <w:t>2016 as Chief Financial Officer and Treasurer of the Company. Mr. Shafer previously served as a Vice</w:t>
      </w:r>
      <w:r>
        <w:rPr>
          <w:rFonts w:ascii="Arial" w:cs="Arial" w:eastAsia="Arial" w:hAnsi="Arial"/>
          <w:sz w:val="17"/>
          <w:szCs w:val="17"/>
          <w:b w:val="1"/>
          <w:bCs w:val="1"/>
          <w:color w:val="auto"/>
        </w:rPr>
        <w:t xml:space="preserve"> </w:t>
      </w:r>
      <w:r>
        <w:rPr>
          <w:rFonts w:ascii="Arial" w:cs="Arial" w:eastAsia="Arial" w:hAnsi="Arial"/>
          <w:sz w:val="17"/>
          <w:szCs w:val="17"/>
          <w:color w:val="333333"/>
        </w:rPr>
        <w:t>President of Finance for CBIZ (NYSE: CBZ), formerly CMF Associates since 2015 where he led teams in providing finance solutions for high-growth organizations within CMF. Prior to that Mr. Shafer served as a Business Unit Chief Financial Officer at Bausch Health Companies (NYSE: BHC), formerly Valeant Pharmaceuticals International, a large global publicly traded company that develops, manufactures, markets and sells specialty pharmaceuticals and medical devices. He held this Finance Leadership role for the Valeant Dentistry, Generics and Neurology business units, and had worked closely with commercial operations and corporate level teams on numerous product launches, sales force expansions, mergers and acquisitions, financial systems integrations, and internal controls. Mr. Shafer has a foundation in Public Accounting working at Arthur Andersen LLP. Mr. Shafer holds a Bachelor of Science in Accounting from The Stillman School of Business at Seton Hall University, an MBA in Finance from Rutgers Business School in New Brunswick, N.J. and is a Certified Public Accountant.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 xml:space="preserve">Our Board of Directors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committee charters and code of business conduct and ethics are available on the corporate governance section of our website, </w:t>
      </w:r>
      <w:r>
        <w:rPr>
          <w:rFonts w:ascii="Arial" w:cs="Arial" w:eastAsia="Arial" w:hAnsi="Arial"/>
          <w:sz w:val="18"/>
          <w:szCs w:val="18"/>
          <w:i w:val="1"/>
          <w:iCs w:val="1"/>
          <w:color w:val="auto"/>
        </w:rPr>
        <w:t>www.oceanpowertechnologies.com</w:t>
      </w:r>
      <w:r>
        <w:rPr>
          <w:rFonts w:ascii="Arial" w:cs="Arial" w:eastAsia="Arial" w:hAnsi="Arial"/>
          <w:sz w:val="18"/>
          <w:szCs w:val="18"/>
          <w:color w:val="auto"/>
        </w:rPr>
        <w:t>. Alternatively, you can request a copy of any of these documents by writing to our Secretary at 28 Engelhard Drive,</w:t>
      </w:r>
      <w:r>
        <w:rPr>
          <w:rFonts w:ascii="Arial" w:cs="Arial" w:eastAsia="Arial" w:hAnsi="Arial"/>
          <w:sz w:val="18"/>
          <w:szCs w:val="18"/>
          <w:i w:val="1"/>
          <w:iCs w:val="1"/>
          <w:color w:val="auto"/>
        </w:rPr>
        <w:t xml:space="preserve"> </w:t>
      </w:r>
      <w:r>
        <w:rPr>
          <w:rFonts w:ascii="Arial" w:cs="Arial" w:eastAsia="Arial" w:hAnsi="Arial"/>
          <w:sz w:val="18"/>
          <w:szCs w:val="18"/>
          <w:color w:val="auto"/>
        </w:rPr>
        <w:t>Monroe Township, NJ 08831.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Board has adopted corporate governance guidelines to assist in the exercise of its duties and responsibilities and to serve the best interests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our stockholders. These guidelines, which provide a framework for the conduct of the Board’s business, provide that:</w:t>
      </w:r>
    </w:p>
    <w:p>
      <w:pPr>
        <w:spacing w:after="0" w:line="21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Board’s principal responsibility is to oversee the management of the Company;</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the members of the Board shall be independent directors;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non-employee directors shall meet regularly in executive session;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annually, the Board and its committees will conduct a self-evaluation to determine whether they are functioning effectively.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members of our Audit Committee are Dean J. Glover, Steven M. Fludder and Robert K. Winters. Mr. Glover is the chair of the Audit Committee. The Board of Directors has determined that Mr. Glover is an “audit committee financial expert” within the meaning of the regulations of the Securities and Exchange Commission (the “SEC”). The Audit Committee met 4 times in fiscal 2020. Our Board has also determined that all Audit Committee members meet the independence requirements contemplated by Rule 5605(c) of the Nasdaq Stock Market and Rule 10A-3 under the Securities Exchange Act of 1934, as amended (the “Exchange Act”).</w:t>
      </w:r>
    </w:p>
    <w:p>
      <w:pPr>
        <w:spacing w:after="0" w:line="188"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70"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monitoring our internal control over financial reporting, disclosure controls and procedures and code of business conduct and ethics; establishing procedures for the receipt and retention of accounting related complaints and concerns; meeting independently with our independent registered public accounting firm and management; and preparing the Audit Committee report required by SEC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Director Nominations Process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not been any material changes to the procedures by which shareholders may recommend nominees to our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 xml:space="preserve">We have adopted a Code of Business Conduct and Ethics that applies to our employees, officers (including our principal executive officer and principal financial officer) and directors. The Code of Business Conduct and Ethics is posted on our website at </w:t>
      </w:r>
      <w:r>
        <w:rPr>
          <w:rFonts w:ascii="Arial" w:cs="Arial" w:eastAsia="Arial" w:hAnsi="Arial"/>
          <w:sz w:val="18"/>
          <w:szCs w:val="18"/>
          <w:i w:val="1"/>
          <w:iCs w:val="1"/>
          <w:color w:val="auto"/>
        </w:rPr>
        <w:t>www.oceanpowertechnologies.com</w:t>
      </w:r>
      <w:r>
        <w:rPr>
          <w:rFonts w:ascii="Arial" w:cs="Arial" w:eastAsia="Arial" w:hAnsi="Arial"/>
          <w:sz w:val="18"/>
          <w:szCs w:val="18"/>
          <w:color w:val="auto"/>
        </w:rPr>
        <w:t xml:space="preserve"> and can also be obtained free of charge by sending a request to our Secretary at 28 Engelhard Drive, Suite B, Monroe Township, NJ 08831. Any changes to or waivers under the Code of Business Conduct and Ethics as it relates to our chief executive officer, chief financial officer, controller or persons performing similar functions must be approved by our Board of Directors and will be disclosed in a Current Report on Form 8-K within four business days of the change or waiver.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 in fiscal 2020 in a timely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Board service year 2020, the Board of Directors approved, for each non-employee director, an annual payment of $45,000 and a choice of either</w:t>
      </w:r>
    </w:p>
    <w:p>
      <w:pPr>
        <w:spacing w:after="0" w:line="46" w:lineRule="exact"/>
        <w:rPr>
          <w:sz w:val="20"/>
          <w:szCs w:val="20"/>
          <w:color w:val="auto"/>
        </w:rPr>
      </w:pPr>
    </w:p>
    <w:p>
      <w:pPr>
        <w:jc w:val="both"/>
        <w:ind w:firstLine="8"/>
        <w:spacing w:after="0" w:line="253" w:lineRule="auto"/>
        <w:tabs>
          <w:tab w:leader="none" w:pos="2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option worth $50,000, based on the Black-Scholes formula, to purchase shares of Common Stock with such option award or stock award to vest entirely, if at all, at the next annual meeting of stockholders or one year from award date, whichever is earlier or (b) Common Stock worth $50,000. For fiscal year 2020 each of the Directors chose to take a stock option exercisable for 25,000 shares. Directors serving a portion of a year receive a pro-rata grant. Each non-employee director also receives a per annum supplement ranging from $2,000 to $9,600 for each committee that they chair. In addition, the Chairman of the Board annually receives an additional $38,000.</w:t>
      </w:r>
    </w:p>
    <w:p>
      <w:pPr>
        <w:spacing w:after="0" w:line="191"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our Board of Directors.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compensation paid to each of our non-employee directors who served during fiscal year 2020.</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Fees Earned or</w:t>
            </w:r>
          </w:p>
        </w:tc>
        <w:tc>
          <w:tcPr>
            <w:tcW w:w="102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Paid in Cash</w:t>
            </w:r>
          </w:p>
        </w:tc>
        <w:tc>
          <w:tcPr>
            <w:tcW w:w="10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Awards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Name (1)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300" w:type="dxa"/>
            <w:vAlign w:val="bottom"/>
          </w:tcPr>
          <w:p>
            <w:pPr>
              <w:spacing w:after="0"/>
              <w:rPr>
                <w:sz w:val="20"/>
                <w:szCs w:val="20"/>
                <w:color w:val="auto"/>
              </w:rPr>
            </w:pPr>
          </w:p>
        </w:tc>
        <w:tc>
          <w:tcPr>
            <w:tcW w:w="10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28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Fludder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Kristine S. Moore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820" w:hanging="326"/>
        <w:spacing w:after="0" w:line="263"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George H. Kirby III, the Company’s President and Chief Executive Officer, is not included in this table as he is an employee of the Company and thus receives no compensation for his services as a Director. The compensation received by Mr. Kirby as an employee of the Company is shown in the Summary Compensation Table on page 48</w:t>
      </w:r>
      <w:r>
        <w:rPr>
          <w:rFonts w:ascii="Arial" w:cs="Arial" w:eastAsia="Arial" w:hAnsi="Arial"/>
          <w:sz w:val="18"/>
          <w:szCs w:val="18"/>
          <w:color w:val="FF0000"/>
        </w:rPr>
        <w:t>.</w:t>
      </w:r>
    </w:p>
    <w:p>
      <w:pPr>
        <w:spacing w:after="0" w:line="18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earned or paid in cash reflect annual retainer and committee meeting fees.</w:t>
      </w:r>
    </w:p>
    <w:p>
      <w:pPr>
        <w:spacing w:after="0" w:line="225" w:lineRule="exact"/>
        <w:rPr>
          <w:rFonts w:ascii="Arial" w:cs="Arial" w:eastAsia="Arial" w:hAnsi="Arial"/>
          <w:sz w:val="18"/>
          <w:szCs w:val="18"/>
          <w:color w:val="auto"/>
        </w:rPr>
      </w:pPr>
    </w:p>
    <w:p>
      <w:pPr>
        <w:jc w:val="both"/>
        <w:ind w:left="820" w:hanging="326"/>
        <w:spacing w:after="0" w:line="279"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Stock options granted to directors vest fully on the date of the first annual shareholders meeting following the grant date. The amounts in the “Option Awards” column reflect the aggregate grant date fair value of stock options granted during the year computed in accordance with the provisions of Accounting Standards Codification (ASC) No. 718, “</w:t>
      </w:r>
      <w:r>
        <w:rPr>
          <w:rFonts w:ascii="Arial" w:cs="Arial" w:eastAsia="Arial" w:hAnsi="Arial"/>
          <w:sz w:val="17"/>
          <w:szCs w:val="17"/>
          <w:i w:val="1"/>
          <w:iCs w:val="1"/>
          <w:color w:val="auto"/>
        </w:rPr>
        <w:t>Compensation- Stock Compensation</w:t>
      </w:r>
      <w:r>
        <w:rPr>
          <w:rFonts w:ascii="Arial" w:cs="Arial" w:eastAsia="Arial" w:hAnsi="Arial"/>
          <w:sz w:val="17"/>
          <w:szCs w:val="17"/>
          <w:color w:val="auto"/>
        </w:rPr>
        <w:t>.” The assumptions used in calculating these amounts are incorporated by reference to Note 12 to the financial statements in this Annual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9" w:name="page50"/>
    <w:bookmarkEnd w:id="49"/>
    <w:tbl>
      <w:tblPr>
        <w:tblLayout w:type="fixed"/>
        <w:tblInd w:w="660" w:type="dxa"/>
        <w:tblCellMar>
          <w:top w:w="0" w:type="dxa"/>
          <w:left w:w="0" w:type="dxa"/>
          <w:bottom w:w="0" w:type="dxa"/>
          <w:right w:w="0" w:type="dxa"/>
        </w:tblCellMar>
      </w:tblPr>
      <w:tr>
        <w:trPr>
          <w:trHeight w:val="230"/>
        </w:trPr>
        <w:tc>
          <w:tcPr>
            <w:tcW w:w="4800" w:type="dxa"/>
            <w:vAlign w:val="bottom"/>
            <w:gridSpan w:val="3"/>
          </w:tcPr>
          <w:p>
            <w:pPr>
              <w:spacing w:after="0"/>
              <w:rPr>
                <w:sz w:val="20"/>
                <w:szCs w:val="20"/>
                <w:color w:val="auto"/>
              </w:rPr>
            </w:pPr>
            <w:r>
              <w:rPr>
                <w:rFonts w:ascii="Arial" w:cs="Arial" w:eastAsia="Arial" w:hAnsi="Arial"/>
                <w:sz w:val="18"/>
                <w:szCs w:val="18"/>
                <w:color w:val="auto"/>
                <w:w w:val="95"/>
              </w:rPr>
              <w:t>The following table summarizes grants during fiscal year 2020.</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Stock</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ind w:left="440"/>
              <w:spacing w:after="0"/>
              <w:rPr>
                <w:sz w:val="20"/>
                <w:szCs w:val="20"/>
                <w:color w:val="auto"/>
              </w:rPr>
            </w:pPr>
            <w:r>
              <w:rPr>
                <w:rFonts w:ascii="Arial" w:cs="Arial" w:eastAsia="Arial" w:hAnsi="Arial"/>
                <w:sz w:val="18"/>
                <w:szCs w:val="18"/>
                <w:b w:val="1"/>
                <w:bCs w:val="1"/>
                <w:color w:val="auto"/>
              </w:rPr>
              <w:t>Option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800" w:type="dxa"/>
            <w:vAlign w:val="bottom"/>
            <w:gridSpan w:val="3"/>
          </w:tcPr>
          <w:p>
            <w:pPr>
              <w:ind w:left="200"/>
              <w:spacing w:after="0"/>
              <w:rPr>
                <w:sz w:val="20"/>
                <w:szCs w:val="20"/>
                <w:color w:val="auto"/>
              </w:rPr>
            </w:pPr>
            <w:r>
              <w:rPr>
                <w:rFonts w:ascii="Arial" w:cs="Arial" w:eastAsia="Arial" w:hAnsi="Arial"/>
                <w:sz w:val="18"/>
                <w:szCs w:val="18"/>
                <w:b w:val="1"/>
                <w:bCs w:val="1"/>
                <w:color w:val="auto"/>
              </w:rPr>
              <w:t>Name</w:t>
            </w:r>
          </w:p>
        </w:tc>
        <w:tc>
          <w:tcPr>
            <w:tcW w:w="12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Awards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420"/>
              <w:spacing w:after="0"/>
              <w:rPr>
                <w:sz w:val="20"/>
                <w:szCs w:val="20"/>
                <w:color w:val="auto"/>
              </w:rPr>
            </w:pPr>
            <w:r>
              <w:rPr>
                <w:rFonts w:ascii="Arial" w:cs="Arial" w:eastAsia="Arial" w:hAnsi="Arial"/>
                <w:sz w:val="18"/>
                <w:szCs w:val="18"/>
                <w:b w:val="1"/>
                <w:bCs w:val="1"/>
                <w:color w:val="auto"/>
              </w:rPr>
              <w:t>Awards</w:t>
            </w:r>
          </w:p>
        </w:tc>
        <w:tc>
          <w:tcPr>
            <w:tcW w:w="15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 (1)</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 (1)</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Fludder (1)</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 (1)</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Kristine S. Moore (1)</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fiscal year 2020, each non-executive board member was granted stock options exercisable for 25,000 shares of common stock for Board service during the year ending October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Executive Compensation</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Compensation Committee is responsible for overseeing the compensation of all of our executive officers. In this capacity, the Compensation Committee designs, reviews and approves all compensation for our named executive officers. The goal of the Compensation Committee is to ensure that our compensation programs are aligned with our business goals and objectives and that the total compensation paid to each of our named executive officers is fair, reasonable and competitive.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compensation programs are designed to attract and retain qualified and talented executives, motivating them to achieve our business goals and rewarding them for superior short- and long-term performance when that performance has been properly demostrated. In particular, our compensation programs are intended to reward the achievement of specified predetermined quantitative and qualitative goals and to align our executives’ interests with those of our stockholders in order to attain the ultimate objective of increasing stockholder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Elements of Total Compensation and Relationship to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these programs include:</w:t>
      </w:r>
    </w:p>
    <w:p>
      <w:pPr>
        <w:spacing w:after="0" w:line="225" w:lineRule="exact"/>
        <w:rPr>
          <w:sz w:val="20"/>
          <w:szCs w:val="20"/>
          <w:color w:val="auto"/>
        </w:rPr>
      </w:pPr>
    </w:p>
    <w:p>
      <w:pPr>
        <w:ind w:left="500" w:hanging="492"/>
        <w:spacing w:after="0" w:line="25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compensation designed to reward annual achievements, with consideration given to the executive’s qualifications, scope of responsibility, leadership abilities and management experience and effectiveness;</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Short-term incentive program that provide yearly cash bonus awards, where warranted, that are designed to align executive compensation with pre-determined business objectives and demonstrated performance; and</w:t>
      </w:r>
    </w:p>
    <w:p>
      <w:pPr>
        <w:jc w:val="both"/>
        <w:ind w:left="500" w:hanging="492"/>
        <w:spacing w:after="0" w:line="25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incentive programs that provide equity-based incentive compensation, over one-to-three year periods, which are primarily in the form of stock options and restricted stock, the value of which is dependent upon the performance of our Common Stock, and which is subject to multi-year vesting that requires continued service and/or the attainment of certain performance goals.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Determining and Setting Executive Compensation</w:t>
      </w:r>
    </w:p>
    <w:p>
      <w:pPr>
        <w:spacing w:after="0" w:line="229"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Under direction from the Compensation Committee, our management develops compensation plans by utilizing publicly available compensation and on-line survey data for a broad selection of national and regional companies, which we believe are generally comparable to the Company in terms of public ownership, organizational structure, size and stage of development, and against which we believe we may compete for executive talent. The results of these analyses and any recommendations by management are reviewed with and approved by the Compensation Committee annually. We believe that these compensation practices provide us with appropriate compensation guidelines. The Compensation Committee generally targets compensation for our executives to be consistent with similarly situated executives in comparable companies covered by the on-line survey data. Other considerations, including market factors, the unique nature of our business and the experience level of an executive, may dictate variations to this general target.</w:t>
      </w:r>
    </w:p>
    <w:p>
      <w:pPr>
        <w:spacing w:after="0" w:line="166"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Our business is characterized by a long product development cycle, including a lengthy engineering and product-testing period. Because of this, many of the traditional benchmarking metrics, such as product sales, revenues and profits are inappropriate for our Company at this time. Instead, the specific factors the Compensation Committee typically considers when determining our named executive officers’ compensation include:</w:t>
      </w:r>
    </w:p>
    <w:p>
      <w:pPr>
        <w:spacing w:after="0" w:line="16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key product development initiatives;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technology advancements;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commercial milestones;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and maintenance of key strategic relationships;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appropriate financing strategies;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and operating performance.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The following table sets forth the compensation paid or accrued during the fiscal years ended April 30, 2020 and April 30, 2019 to our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Salary</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Bonus</w:t>
            </w:r>
          </w:p>
        </w:tc>
        <w:tc>
          <w:tcPr>
            <w:tcW w:w="7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Awards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Compensation</w:t>
            </w:r>
          </w:p>
        </w:tc>
        <w:tc>
          <w:tcPr>
            <w:tcW w:w="10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520" w:type="dxa"/>
            <w:vAlign w:val="bottom"/>
          </w:tcPr>
          <w:p>
            <w:pPr>
              <w:spacing w:after="0"/>
              <w:rPr>
                <w:sz w:val="20"/>
                <w:szCs w:val="20"/>
                <w:color w:val="auto"/>
              </w:rPr>
            </w:pPr>
            <w:r>
              <w:rPr>
                <w:rFonts w:ascii="Arial" w:cs="Arial" w:eastAsia="Arial" w:hAnsi="Arial"/>
                <w:sz w:val="18"/>
                <w:szCs w:val="18"/>
                <w:b w:val="1"/>
                <w:bCs w:val="1"/>
                <w:color w:val="auto"/>
              </w:rPr>
              <w:t>Principal Position</w:t>
            </w:r>
          </w:p>
        </w:tc>
        <w:tc>
          <w:tcPr>
            <w:tcW w:w="1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Year</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 (1)</w:t>
            </w:r>
          </w:p>
        </w:tc>
        <w:tc>
          <w:tcPr>
            <w:tcW w:w="2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 (2)</w:t>
            </w:r>
          </w:p>
        </w:tc>
        <w:tc>
          <w:tcPr>
            <w:tcW w:w="220" w:type="dxa"/>
            <w:vAlign w:val="bottom"/>
          </w:tcPr>
          <w:p>
            <w:pPr>
              <w:spacing w:after="0"/>
              <w:rPr>
                <w:sz w:val="20"/>
                <w:szCs w:val="20"/>
                <w:color w:val="auto"/>
              </w:rPr>
            </w:pPr>
          </w:p>
        </w:tc>
        <w:tc>
          <w:tcPr>
            <w:tcW w:w="7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3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George H. Kirby III</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391,140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70,356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58,805(4)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520,301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391,140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173,138</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71,480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84,104(4)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719,862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Matthew T. Shafer</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34,320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7,277(5)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294,722</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253,125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73,406</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41,101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377,066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Financial Officer and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Treasurer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Christopher Phebus (6)</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Engineering</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158,649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37,590(7)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196,239</w:t>
            </w:r>
          </w:p>
        </w:tc>
      </w:tr>
      <w:tr>
        <w:trPr>
          <w:trHeight w:val="439"/>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51" w:name="page52"/>
    <w:bookmarkEnd w:id="51"/>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Salary represents actual salary earned during each fiscal year. The amounts in this column may be different from the amounts listed below under description of employment agreements, due to increases in salary levels and payments for unused vacation during each fiscal year.</w:t>
      </w:r>
    </w:p>
    <w:p>
      <w:pPr>
        <w:spacing w:after="0" w:line="14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represents bonuses earned by the named executive officers for fiscal year 2019. A recommendation was made by management that no bonuses or merit increases would be paid for any and all employees of the Company for fiscal year 2020, and the Board of Directors accepted that recommendation.</w:t>
      </w:r>
    </w:p>
    <w:p>
      <w:pPr>
        <w:spacing w:after="0" w:line="183"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in the “Option Awards” column reflect the aggregate grant date fair value of stock options granted during the year computed in accordance with the provisions of Accounting Standards Codification (ASC) No. 718, “</w:t>
      </w:r>
      <w:r>
        <w:rPr>
          <w:rFonts w:ascii="Arial" w:cs="Arial" w:eastAsia="Arial" w:hAnsi="Arial"/>
          <w:sz w:val="17"/>
          <w:szCs w:val="17"/>
          <w:i w:val="1"/>
          <w:iCs w:val="1"/>
          <w:color w:val="auto"/>
        </w:rPr>
        <w:t>Compensation- Stock Compensation</w:t>
      </w:r>
      <w:r>
        <w:rPr>
          <w:rFonts w:ascii="Arial" w:cs="Arial" w:eastAsia="Arial" w:hAnsi="Arial"/>
          <w:sz w:val="17"/>
          <w:szCs w:val="17"/>
          <w:color w:val="auto"/>
        </w:rPr>
        <w:t>.” The assumptions used in calculating these amounts are incorporated by reference to Note 12 to the financial statements in this Annual Report.</w:t>
      </w:r>
    </w:p>
    <w:p>
      <w:pPr>
        <w:spacing w:after="0" w:line="165"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year 2020, the amount of $58,805 includes $50,000 for relocation expenses, and $8,805 relates to the Company’s matching contributions to the 401(K) Plan. For fiscal year 2019, the amount of $84,104 includes $48,025 for relocation expenses, $27,079 payout for unused vacation and $9,000 relates to the Company’s matching contributions to the 401(K) Plan. In accordance with his employment agreement Mr. Kirby is eligible for reimbursement of relocation expenses.</w:t>
      </w:r>
    </w:p>
    <w:p>
      <w:pPr>
        <w:spacing w:after="0" w:line="186"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fiscal year 2020, the amount of $7,277 relates to the Company’s matching contributions to the 401(K) Plan. For fiscal year 2019, the amount of $9,434 includes $3,637 payout for unused vacation and $5,797 relates to the Company’s matching contributions to the 401(K) Plan.</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Phebus joined the Company on January 15, 2018 to serve as the Company’s Vice President of Engineering. Mr. Phebus resigned form his position as Vice President of Engineering effective November 30, 2018.</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2019, the amount $37,590 includes $32,185 for relocation expenses and $5,405 for unused vacation payout.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H. Kirby III - President, Chief Executive Officer and Director</w:t>
      </w:r>
    </w:p>
    <w:p>
      <w:pPr>
        <w:spacing w:after="0" w:line="229" w:lineRule="exact"/>
        <w:rPr>
          <w:sz w:val="20"/>
          <w:szCs w:val="20"/>
          <w:color w:val="auto"/>
        </w:rPr>
      </w:pPr>
    </w:p>
    <w:p>
      <w:pPr>
        <w:jc w:val="both"/>
        <w:ind w:firstLine="495"/>
        <w:spacing w:after="0" w:line="311" w:lineRule="auto"/>
        <w:rPr>
          <w:sz w:val="20"/>
          <w:szCs w:val="20"/>
          <w:color w:val="auto"/>
        </w:rPr>
      </w:pPr>
      <w:r>
        <w:rPr>
          <w:rFonts w:ascii="Arial" w:cs="Arial" w:eastAsia="Arial" w:hAnsi="Arial"/>
          <w:sz w:val="16"/>
          <w:szCs w:val="16"/>
          <w:color w:val="auto"/>
        </w:rPr>
        <w:t>Under an agreement entered into on December 29, 2014, Mr. Kirby was entitled to an initial annual base salary of $360,000 subject to adjustment upon annual review by our Board of Directors, was subsequently increased to $381,600 on May 1, 2016 and to $391,140 on May 1, 2018. Mr. Kirby is also eligible to earn discretionary incentive bonuses and incentive compensation. The Company also reimbursed Mr. Kirby for his eligible relocation costs.</w:t>
      </w:r>
    </w:p>
    <w:p>
      <w:pPr>
        <w:spacing w:after="0" w:line="14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Upon the termination of his employment other than for cause, other than as a result of a change of control, or if he terminates his employment for good reason (as such terms are defined in his employment agreement), Mr. Kirby has the right to receive severance payments. If such termination occurs, Mr. Kirby will receive twelve months of his base salary then in effect. Pursuant to this agreement, Mr. Kirby is prohibited from competing with us and soliciting our customers, prospective customers or employees during the term of his employment and for a period of one year after the termination or expiration of his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T. Shafer - Vice President, Chief Financial Officer and Treasurer</w:t>
      </w:r>
    </w:p>
    <w:p>
      <w:pPr>
        <w:spacing w:after="0" w:line="229"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On August 23, 2016, and in connection with his hiring by the Company, Mr. Shafer entered into an employment agreement with the Company, to be effective on September 7, 2016 (the “Shafer Employment Agreement”). Under the Shafer Employment Agreement, Mr. Shafer was entitled to an initial annual base salary of $220,000 subject to adjustment upon annual review by the Company’s Board of Directors, was subsequently increased to $250,000 on October 18, 2017 and to $253,125 on May 1, 2018. Mr. Shafer is also eligible to earn discretionary incentive bonuses and incentive compensation. He is also entitled to participate in all Company employee benefit plans.</w:t>
      </w:r>
    </w:p>
    <w:p>
      <w:pPr>
        <w:spacing w:after="0" w:line="188"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Upon the termination of his employment other than for cause, or if he terminates his employment for good reason (as such terms are defined in the Shafer Employment Agreement), Mr. Shafer has the right to receive severance payments. If such termination occurs after completing six months of service, Mr. Shafer will receive six months of his base salary. Pursuant to this agreement, Mr. Shafer is also subject to covenants regarding confidentiality, non-competition and non-solicitation during and after the term of his employment.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229"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Our 2006 Stock Incentive Plan was adopted by our Board of Directors on December 7, 2006, was approved by our stockholders on January 12, 2007 and became effective on April 24, 2007. The 2006 Stock Incentive Plan provides for the grant of incentive stock options, non-statutory stock options, restricted stock awards and other stock-unit awards. On October 2, 2009, an amendment to the 2006 Stock Incentive Plan was approved, increasing the aggregate number of shares authorized for issuance by 42,500 shares to 82,661 shares. In 2010, our Board of Directors approved amending and restating the 2006 Stock Incentive Plan to make certain adjustments, including imposing minimum performance periods for performance awards and minimum vesting periods for time-based awards, a requirement that we obtain stockholder approval prior to certain option and stock appreciation right repricing actions, and limiting the situations in which vesting periods may be waived or accelerated. This amendment and restatement did not require the approval of our stockholders. On October 2, 2013, a further amendment to the 2006 Stock Incentive Plan was approved by our stockholders, increasing the aggregate number of shares authorized for issuance by an additional 40,000 shares to 122,661.</w:t>
      </w:r>
    </w:p>
    <w:p>
      <w:pPr>
        <w:spacing w:after="0" w:line="181"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Our employees, officers, directors, consultants and advisors are eligible to receive awards under our 2006 Stock Incentive Plan; however, incentive stock options may only be granted to our employees. The maximum number of shares of Common Stock with respect to which awards may be granted to any participant under our 2006 Stock Incentive Plan is 10,000 per calendar year.</w:t>
      </w:r>
    </w:p>
    <w:p>
      <w:pPr>
        <w:spacing w:after="0" w:line="184" w:lineRule="exact"/>
        <w:rPr>
          <w:sz w:val="20"/>
          <w:szCs w:val="20"/>
          <w:color w:val="auto"/>
        </w:rPr>
      </w:pPr>
    </w:p>
    <w:p>
      <w:pPr>
        <w:jc w:val="both"/>
        <w:ind w:firstLine="495"/>
        <w:spacing w:after="0" w:line="311" w:lineRule="auto"/>
        <w:rPr>
          <w:sz w:val="20"/>
          <w:szCs w:val="20"/>
          <w:color w:val="auto"/>
        </w:rPr>
      </w:pPr>
      <w:r>
        <w:rPr>
          <w:rFonts w:ascii="Arial" w:cs="Arial" w:eastAsia="Arial" w:hAnsi="Arial"/>
          <w:sz w:val="16"/>
          <w:szCs w:val="16"/>
          <w:color w:val="auto"/>
        </w:rPr>
        <w:t>Our 2006 Stock Incentive Plan was administered by our Board of Directors. Pursuant to the terms of our 2006 Stock Incentive Plan, and to the extent permitted by law, our Board of Directors could delegate authority to one or more committees or subcommittees of the Board of Directors or to our officers. Our Board of Directors or any committee to whom the Board of Directors delegates authority selected the recipients of awards and determined:</w:t>
      </w:r>
    </w:p>
    <w:p>
      <w:pPr>
        <w:spacing w:after="0" w:line="14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the options become exercisable;</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options; provided, however, that the exercise price shall not be less than 100% of the fair market value of the underlying Common Stock on the date the option is granted;</w:t>
      </w: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duration of the options; and</w:t>
      </w:r>
    </w:p>
    <w:p>
      <w:pPr>
        <w:spacing w:after="0" w:line="9" w:lineRule="exact"/>
        <w:rPr>
          <w:rFonts w:ascii="Arial" w:cs="Arial" w:eastAsia="Arial" w:hAnsi="Arial"/>
          <w:sz w:val="18"/>
          <w:szCs w:val="18"/>
          <w:color w:val="auto"/>
        </w:rPr>
      </w:pPr>
    </w:p>
    <w:p>
      <w:pPr>
        <w:ind w:left="500" w:right="20" w:hanging="492"/>
        <w:spacing w:after="0" w:line="26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subject to any restricted stock or other stock-unit awards and the terms and conditions of such awards, including conditions for repurchase, issue price and repurchase price.</w:t>
      </w:r>
    </w:p>
    <w:p>
      <w:pPr>
        <w:spacing w:after="0" w:line="185"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If our Board of Directors delegated authority to an officer, the officer had the power to make awards to all of our employees, except to executive officers. Our Board of Directors fixed the terms of the awards to be granted by such officer, including the exercise price of such awards, and the maximum number of shares subject to awards that such officer could make.</w:t>
      </w:r>
    </w:p>
    <w:p>
      <w:pPr>
        <w:spacing w:after="0" w:line="184"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If a merger or other reorganization event occurred, our Board of Directors could provide that all of our outstanding options are to be assumed or substituted by the successor corporation. Our Board of Directors could also provide that, in the event the succeeding corporation did not agree to assume, or substitute for, outstanding options, then all unexercised options would become exercisable in full prior to the completion of the event and that these options would terminate immediately prior to the completion of the merger or other reorganization event if not previously exercised. Our Board of Directors could also provide for cashing out the value of any outstanding options.</w:t>
      </w:r>
    </w:p>
    <w:p>
      <w:pPr>
        <w:spacing w:after="0" w:line="188" w:lineRule="exact"/>
        <w:rPr>
          <w:sz w:val="20"/>
          <w:szCs w:val="20"/>
          <w:color w:val="auto"/>
        </w:rPr>
      </w:pPr>
    </w:p>
    <w:p>
      <w:pPr>
        <w:jc w:val="both"/>
        <w:ind w:firstLine="495"/>
        <w:spacing w:after="0" w:line="296" w:lineRule="auto"/>
        <w:rPr>
          <w:sz w:val="20"/>
          <w:szCs w:val="20"/>
          <w:color w:val="auto"/>
        </w:rPr>
      </w:pPr>
      <w:r>
        <w:rPr>
          <w:rFonts w:ascii="Arial" w:cs="Arial" w:eastAsia="Arial" w:hAnsi="Arial"/>
          <w:sz w:val="16"/>
          <w:szCs w:val="16"/>
          <w:color w:val="auto"/>
        </w:rPr>
        <w:t>No awards could be granted under our 2006 Stock Incentive Plan after December 6, 2016, but the vesting and effectiveness of awards granted before that date could extend beyond that date. Our Board of Directors could amend, suspend or terminate our 2006 Stock Incentive Plan at any time, except that stockholder approval would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6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As of April 30, 2020, options to purchase 596 shares of our Common Stock at a weighted average exercise price of $494.20 were outstanding under our 2006 Stock Incentive Plan.</w:t>
      </w:r>
    </w:p>
    <w:p>
      <w:pPr>
        <w:spacing w:after="0" w:line="170"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As of April 30, 2020, we had granted 5,701 shares of restricted Common Stock under our 2006 Stock Incentive Plan, of which zero remain outstanding as of April 30, 2020.</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Once the 2015 Omnibus Incentive Plan (discussed below) was approved by the stockholders on October 22, 2015, no further stock options or other awards were awarded under the 2006 Stock Incentive Plan and it was terminated.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2015 Omnibus Incentive Plan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17, 2015, the Board of Directors approved, subject to the receipt of stockholder approval, the Ocean Power Technologies, Inc. 2015 Omnibus Incentive Plan (the “2015 Plan”). On October 22, 2015, the stockholders approved the 2015 Plan and the 2006 Stock Incentive Plan was terminated. We have reserved a total of 10,000 shares of Common Stock for issuance as or under awards to be made under the 2015 Plan, plus (y) 2,036, which was the number of shares of Common Stock available for issuance under our 2006 Stock Incentive Plan as of the effective date of the 2015 Plan, plus (z) the number of shares of our Common Stock related to awards under the 2006 Stock Incentive Plan as of the effective date of the 2015 Plan which thereafter terminate by expiration, forfeiture, cancellation, or otherwise without the issuance of such shares. Effective August 17, 2016, our Board approved and adopted an amendment to the 2015 Plan, subject to stockholder approval, to increase the number of shares available for grant under the 2015 Plan from 12,036 to 32,036 in order to assure that adequate shares will be available for future grants. On October 21, 2016, the stockholders approved the amendment to the 2015 Plan. Effective September 28, 2018, our Board approved and adopted an amendment to the 2015 Plan, subject to stockholder approval, to increase the number of shares available for grant under the 2015 Plan from 32,036 to 132,036 in order to assure that adequate shares will be available for future grants. On December 7, 2018, the stockholders approved the amendment to the 2015 Plan. Effective October 24, 2019, our Board approved and adopted an amendment to the 2015 Plan, subject to stockholder approval, to increase the number of shares available for grant under the 2015 Plan from 132,036 to 732,036 in order to ensure that adequate shares will be available for future grants. On December 20, 2019, the stockholders approved the amendment to the 2015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2015 Plan</w:t>
      </w:r>
    </w:p>
    <w:p>
      <w:pPr>
        <w:spacing w:after="0" w:line="229"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 xml:space="preserve">The following is a summary of the material provisions of the 2015 Plan, as amended, and is qualified in its entirety by reference to the complete text of the 2015 Plan, a copy of which is filed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our Proxy Statement on Schedule 14A filed with the SEC on September 3, 2015.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7"/>
          <w:szCs w:val="17"/>
          <w:color w:val="auto"/>
        </w:rPr>
        <w:t>The 2015 Plan is administered by a committee of the Board, which consists of not fewer than two directors of the Company designated by the Board, each of whom is a “non-employee director” within the meaning of Rule 16b-3 promulgated under the Exchange Act, an “outside director” within the meaning of Section 162(m) of the Internal Revenue Code as amended (as now in effect or later amended and any successor thereto, the “Code”) and, for so long as our Common Stock is listed on the Nasdaq, an “independent director” within the meaning of the Nasdaq rules. Among other things, the committee administering the 2015 Plan has full power and authority to take all actions and to make all determinations required or provided for under the 2015 Plan, any award under the 2015 Plan or any award agreement under the 2015 Plan, not inconsistent with the specific terms and conditions of the 2015 Plan, which the committee deems to be necessary or appropriate to the administration of the 2015 Plan. The committee administering the 2015 Plan, may amend, modify or supplement the terms of any outstanding award, provided that no amendment, modification or supplement of the terms of any outstanding award shall impair a grantee’s rights under an award without the consent of the grantee. The committee administering the 2015 Plan is also authorized to construe the award agreements and may prescribe rules relating to the 2015 Plan. Notwithstanding the foregoing, our full Board will conduct the general administration of the 2015 Plan with respect to all awards granted to our non-employee directors. In addition, in its sole discretion, our Board may at any time and from time to time exercise any and all rights and duties of the committee under the 2015 Plan except with respect to matters which are required to be determined in the sole discretion of the committee under Rule 16b-3 of the Exchange Act or Section 162(m) of the Code, or any regulations or rules issued thereunder.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Awards; Shares Available for Awards; Award Limits; Eligible Grantees</w:t>
      </w:r>
    </w:p>
    <w:p>
      <w:pPr>
        <w:spacing w:after="0" w:line="229"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or an affiliate who is currently providing services to the Company or an affiliate, or to any other individual whose participation in the 2015 Plan is determined to be in the best interests of the Company by the committee administering the 2015 Plan. The maximum number of shares of stock that can be granted under the 2015 Plan pursuant to incentive stock option awards is currently ten thousand (10,000). The maximum number of shares of stock subject to awards that can be granted under the 2015 Plan in any one calendar year to any person, other than a non-employee director, is two hundred thousand (200,000). The maximum fair market value of shares of stock that may be granted under the 2015 Plan in any one calendar year to any non-employee director is two hundred thousand dollars ($200,000). The limitation on the amount of shares of stock issuable under the 2015 Plan is subject to adjustment in the event of certain changes in our capital stock, such as recapitalizations, reclassifications, stock splits, reverse stock splits, spin-offs, combinations of our stock, exchanges of our stock and other increases or decreases in our stock without receipt of consideration.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4" w:name="page55"/>
    <w:bookmarkEnd w:id="54"/>
    <w:p>
      <w:pPr>
        <w:jc w:val="both"/>
        <w:ind w:firstLine="495"/>
        <w:spacing w:after="0" w:line="277" w:lineRule="auto"/>
        <w:rPr>
          <w:sz w:val="20"/>
          <w:szCs w:val="20"/>
          <w:color w:val="auto"/>
        </w:rPr>
      </w:pPr>
      <w:r>
        <w:rPr>
          <w:rFonts w:ascii="Arial" w:cs="Arial" w:eastAsia="Arial" w:hAnsi="Arial"/>
          <w:sz w:val="18"/>
          <w:szCs w:val="18"/>
          <w:color w:val="auto"/>
        </w:rPr>
        <w:t>As of April 30, 2020, options to purchase 554,879 shares of our Common Stock at a weighted average exercise price of $2.66 were outstanding under our 2015 Omnibus Incentive Plan.</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As of April 30, 2020, we had granted 17,350 shares of Restricted Common Stock under our 2015 Omnibus Incentive Plan. 14,628 shares have vested and 2,722 shares were cancelled. There are no shares outstanding under the Plan.</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2015 Plan will terminate automatically on October 22, 2025, which is ten years after the date on which stockholders approve the 2015 Plan. As of April 30, 2020, there are 168,808 shares available for grant under the 2015 Omnibus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Employment Inducement Incentive Award Plan</w:t>
      </w:r>
    </w:p>
    <w:p>
      <w:pPr>
        <w:spacing w:after="0" w:line="229"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On January 18, 2018, the Board adopted the Ocean Power Technologies, Inc. Employment Inducement Incentive Award Plan (the “Inducement Plan”) and, subject to the adjustment provisions of the Inducement Plan, reserved 25,000 shares of the Company’s common stock for issuance pursuant to equity awards granted under the Inducement Plan.</w:t>
      </w:r>
    </w:p>
    <w:p>
      <w:pPr>
        <w:spacing w:after="0" w:line="184"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Inducement Plan was adopted without stockholder approval pursuant to Rule 5635(c)(4) and Rule 5635(c)(3) of the Nasdaq Listing Rules. The Inducement Plan provides for the grant of equity-based awards, including restricted stock units, restricted stock, performance shares and performance units, and its terms are substantially similar to the Company’s 2015 Omnibus Incentive Plan, including with respect to treatment of equity awards in the event of a “change in control” as defined under the Inducement Plan, but with such other terms and conditions intended to comply with the Nasdaq inducement award exception.</w:t>
      </w:r>
    </w:p>
    <w:p>
      <w:pPr>
        <w:spacing w:after="0" w:line="188" w:lineRule="exact"/>
        <w:rPr>
          <w:sz w:val="20"/>
          <w:szCs w:val="20"/>
          <w:color w:val="auto"/>
        </w:rPr>
      </w:pPr>
    </w:p>
    <w:p>
      <w:pPr>
        <w:jc w:val="both"/>
        <w:ind w:firstLine="495"/>
        <w:spacing w:after="0" w:line="271" w:lineRule="auto"/>
        <w:rPr>
          <w:sz w:val="20"/>
          <w:szCs w:val="20"/>
          <w:color w:val="auto"/>
        </w:rPr>
      </w:pPr>
      <w:r>
        <w:rPr>
          <w:rFonts w:ascii="Arial" w:cs="Arial" w:eastAsia="Arial" w:hAnsi="Arial"/>
          <w:sz w:val="17"/>
          <w:szCs w:val="17"/>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No Awards may be granted or awarded during any period of suspension or after termination of the Plan, and in no event may any Award be granted under the Plan after the tenth (10th) anniversary of the date of its adoption. Any Awards that are outstanding on the Expiration Date, or the date of termination of the Plan (if earlier), shall remain in force according to the terms of the Plan and the applicable Award Agreement. As of April 30, 2020, there were 13,513 shares outstanding and 11,487 shares available for grant under the 2018 Inducement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Outstanding Equity Awards at Fiscal Year End Table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contains certain information regarding equity awards held by the named executive officers as of April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Option Awards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800"/>
              <w:spacing w:after="0"/>
              <w:rPr>
                <w:sz w:val="20"/>
                <w:szCs w:val="20"/>
                <w:color w:val="auto"/>
              </w:rPr>
            </w:pPr>
            <w:r>
              <w:rPr>
                <w:rFonts w:ascii="Arial" w:cs="Arial" w:eastAsia="Arial" w:hAnsi="Arial"/>
                <w:sz w:val="18"/>
                <w:szCs w:val="18"/>
                <w:b w:val="1"/>
                <w:bCs w:val="1"/>
                <w:color w:val="auto"/>
              </w:rPr>
              <w:t>Stock Awards</w:t>
            </w:r>
          </w:p>
        </w:tc>
      </w:tr>
      <w:tr>
        <w:trPr>
          <w:trHeight w:val="198"/>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7"/>
                <w:szCs w:val="17"/>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Numbers of</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Numbers of</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or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or</w:t>
            </w: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Underlying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Units of</w:t>
            </w: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Unexercised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Stock That</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 (#)</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Expiration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Unexercisable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Price ($)</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Vested (#)</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 ($)</w:t>
            </w:r>
          </w:p>
        </w:tc>
      </w:tr>
      <w:tr>
        <w:trPr>
          <w:trHeight w:val="216"/>
        </w:trPr>
        <w:tc>
          <w:tcPr>
            <w:tcW w:w="2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 Kirby III</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12/7/2028(1)</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27,333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1/16/2030(2)</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54,667</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1/16/2030(3)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T. Shafer</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5,750</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12/7/2028(4)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13,333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1/16/2030(5)</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26,667</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1/16/2030(6)</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9"/>
        </w:trPr>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8" w:right="339" w:bottom="1440" w:gutter="0" w:footer="0" w:header="0"/>
        </w:sectPr>
      </w:pPr>
    </w:p>
    <w:bookmarkStart w:id="55" w:name="page56"/>
    <w:bookmarkEnd w:id="55"/>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stock options granted December 7, 2018 relating to an aggregate of 10,000 shares of which 100% are exercisable.</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stock options granted on January 16, 2020 relating to an aggregate of 27,333 shares which vest over a two- year period based on service requirements.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stock options, with market based conditions, granted on January 16, 2020 relating to an aggregate of 54,667 shares which vest over a two- year period when certain market price targets are met.</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stock options granted December 7, 2018 relating to an aggregate of 5,750 shares of which 100% are exercisable.</w:t>
      </w:r>
    </w:p>
    <w:p>
      <w:pPr>
        <w:spacing w:after="0" w:line="225"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stock options granted on January 16, 2020 relating to an aggregate of 13,333 shares which vest over a two- year period based on service requirements.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stock options, with market based conditions, granted on January 16, 2020 relating to an aggregate of 26,667 shares which vest over a two- year period when certain market price targets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following information sets forth the terms of potential payments to each of our named executive officers in the event of a termination of employment. We did not include information for Mr. Phebus since he is no longer employed by the Company and his departure did not trigger any payments.</w:t>
      </w:r>
    </w:p>
    <w:p>
      <w:pPr>
        <w:spacing w:after="0" w:line="184"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i w:val="1"/>
          <w:iCs w:val="1"/>
          <w:color w:val="auto"/>
        </w:rPr>
        <w:t xml:space="preserve">Termination by Company without Cause; Termination by Executive for Good Reason. </w:t>
      </w:r>
      <w:r>
        <w:rPr>
          <w:rFonts w:ascii="Arial" w:cs="Arial" w:eastAsia="Arial" w:hAnsi="Arial"/>
          <w:sz w:val="17"/>
          <w:szCs w:val="17"/>
          <w:color w:val="auto"/>
        </w:rPr>
        <w:t>Our employment agreement with Mr. Kirby provides for</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pay within 30 days in the event that employment is terminated by the Company, other than for cause, upon Mr. Kirby’s disability or by the executive with good reason, in the amount of twelve months of base salary.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of employment (but not longer than the original term of such options).</w:t>
      </w:r>
    </w:p>
    <w:p>
      <w:pPr>
        <w:spacing w:after="0" w:line="178" w:lineRule="exact"/>
        <w:rPr>
          <w:sz w:val="20"/>
          <w:szCs w:val="20"/>
          <w:color w:val="auto"/>
        </w:rPr>
      </w:pPr>
    </w:p>
    <w:p>
      <w:pPr>
        <w:jc w:val="both"/>
        <w:ind w:firstLine="495"/>
        <w:spacing w:after="0" w:line="308" w:lineRule="auto"/>
        <w:rPr>
          <w:sz w:val="20"/>
          <w:szCs w:val="20"/>
          <w:color w:val="auto"/>
        </w:rPr>
      </w:pPr>
      <w:r>
        <w:rPr>
          <w:rFonts w:ascii="Arial" w:cs="Arial" w:eastAsia="Arial" w:hAnsi="Arial"/>
          <w:sz w:val="17"/>
          <w:szCs w:val="17"/>
          <w:color w:val="auto"/>
        </w:rPr>
        <w:t>Our employment agreement with Mr. Shafer provides, upon the termination of his employment other than for cause, or if Mr. Shafer terminates his employment for good reason, that Mr. Shafer has the right to receive severance payments. Mr. Shafer will receive six months of his base salary.</w:t>
      </w:r>
    </w:p>
    <w:p>
      <w:pPr>
        <w:spacing w:after="0" w:line="146"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i w:val="1"/>
          <w:iCs w:val="1"/>
          <w:color w:val="auto"/>
        </w:rPr>
        <w:t xml:space="preserve">Termination by Company for Cause; Termination by Executive without Good Reason. </w:t>
      </w:r>
      <w:r>
        <w:rPr>
          <w:rFonts w:ascii="Arial" w:cs="Arial" w:eastAsia="Arial" w:hAnsi="Arial"/>
          <w:sz w:val="18"/>
          <w:szCs w:val="18"/>
          <w:color w:val="auto"/>
        </w:rPr>
        <w:t>Under our employment contracts with Mr. Kirby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cause or at the executive’s election without good reason, the executive is entitled to the base salary and benefits due and owing to the executive as of the date of termination. The employment agreement with Mr. Shafer does not contain provisions regarding severance in the event of a termination by the Company with or without cause or termination by the executive without good reason.</w:t>
      </w:r>
    </w:p>
    <w:p>
      <w:pPr>
        <w:spacing w:after="0" w:line="187"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Our employment agreement with Mr. Kirby provides for severance pay equal to two (2) years of base salary if a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occurs and Mr. Kirby is terminated by the Company or Mr. Kirby terminates the agreement, each occurring within 90 days of the change of control.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(but not longer than the original term of such options). In addition, to the extent that Mr. Kirby has not previously vested in rights and interests held by Mr. Kirby under the Company’s stock and other equity plans (including stock options, restricted stock, RSU’s, performance units or performance shares), such rights and interest would become fully vested.</w:t>
      </w:r>
    </w:p>
    <w:p>
      <w:pPr>
        <w:spacing w:after="0" w:line="166"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employment agreement for Mr. Shafer does not contain change of control provisions; therefore, payments for cash severance and continued healthcare benefits are the same as for termination without cause. The restricted stock agreement provides for accelerated stock vesting upon a change in control.</w:t>
      </w:r>
    </w:p>
    <w:p>
      <w:pPr>
        <w:spacing w:after="0" w:line="184"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i w:val="1"/>
          <w:iCs w:val="1"/>
          <w:color w:val="auto"/>
        </w:rPr>
        <w:t xml:space="preserve">Termination upon Failure to Renew by the Company. </w:t>
      </w:r>
      <w:r>
        <w:rPr>
          <w:rFonts w:ascii="Arial" w:cs="Arial" w:eastAsia="Arial" w:hAnsi="Arial"/>
          <w:sz w:val="17"/>
          <w:szCs w:val="17"/>
          <w:color w:val="auto"/>
        </w:rPr>
        <w:t>In the event that our employment agreement with Mr. Kirby terminates the end of the term and</w:t>
      </w:r>
      <w:r>
        <w:rPr>
          <w:rFonts w:ascii="Arial" w:cs="Arial" w:eastAsia="Arial" w:hAnsi="Arial"/>
          <w:sz w:val="17"/>
          <w:szCs w:val="17"/>
          <w:i w:val="1"/>
          <w:iCs w:val="1"/>
          <w:color w:val="auto"/>
        </w:rPr>
        <w:t xml:space="preserve"> </w:t>
      </w:r>
      <w:r>
        <w:rPr>
          <w:rFonts w:ascii="Arial" w:cs="Arial" w:eastAsia="Arial" w:hAnsi="Arial"/>
          <w:sz w:val="17"/>
          <w:szCs w:val="17"/>
          <w:color w:val="auto"/>
        </w:rPr>
        <w:t>is not renewed as a result of a decision by the Company not to renew, prior to a decision by Mr. Kirby not to renew, the Company will pay Mr. Kirby a severance payment in the amount of one (1) year base salary in a lump sum within 30 days after the termination date.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employment agreement for Mr. Shafer does not contain similar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ind w:firstLine="495"/>
        <w:spacing w:after="0" w:line="279" w:lineRule="auto"/>
        <w:rPr>
          <w:sz w:val="20"/>
          <w:szCs w:val="20"/>
          <w:color w:val="auto"/>
        </w:rPr>
      </w:pPr>
      <w:r>
        <w:rPr>
          <w:rFonts w:ascii="Arial" w:cs="Arial" w:eastAsia="Arial" w:hAnsi="Arial"/>
          <w:sz w:val="17"/>
          <w:szCs w:val="17"/>
          <w:i w:val="1"/>
          <w:iCs w:val="1"/>
          <w:color w:val="auto"/>
        </w:rPr>
        <w:t xml:space="preserve">Qualifying retirement. </w:t>
      </w:r>
      <w:r>
        <w:rPr>
          <w:rFonts w:ascii="Arial" w:cs="Arial" w:eastAsia="Arial" w:hAnsi="Arial"/>
          <w:sz w:val="17"/>
          <w:szCs w:val="17"/>
          <w:color w:val="auto"/>
        </w:rPr>
        <w:t>Under our restricted stock agreements with the named executive officers, upon a Qualifying Retirement 50% of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June 23, 2020 by (a) each person known by us to be the beneficial owner of more than 5% of the outstanding shares of Common Stock, (b) each executive officer (c) each director, and (d) all executive officers and directors as a group.</w:t>
      </w:r>
    </w:p>
    <w:p>
      <w:pPr>
        <w:spacing w:after="0" w:line="184"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The Percentage of Common Stock outstanding is based on 17,120,565 shares of our Common Stock outstanding as of June 23, 2020. For purposes of the table below, and in accordance with the rules of the SEC, we deem shares of Common Stock subject to options that are currently exercisable or exercisable within sixty days of June 23, 2020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Number of Shares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Percentage of Shares</w:t>
            </w:r>
          </w:p>
        </w:tc>
        <w:tc>
          <w:tcPr>
            <w:tcW w:w="0" w:type="dxa"/>
            <w:vAlign w:val="bottom"/>
          </w:tcPr>
          <w:p>
            <w:pPr>
              <w:spacing w:after="0"/>
              <w:rPr>
                <w:sz w:val="1"/>
                <w:szCs w:val="1"/>
                <w:color w:val="auto"/>
              </w:rPr>
            </w:pPr>
          </w:p>
        </w:tc>
      </w:tr>
      <w:tr>
        <w:trPr>
          <w:trHeight w:val="237"/>
        </w:trPr>
        <w:tc>
          <w:tcPr>
            <w:tcW w:w="5920" w:type="dxa"/>
            <w:vAlign w:val="bottom"/>
            <w:gridSpan w:val="3"/>
          </w:tcPr>
          <w:p>
            <w:pPr>
              <w:spacing w:after="0"/>
              <w:rPr>
                <w:sz w:val="20"/>
                <w:szCs w:val="20"/>
                <w:color w:val="auto"/>
              </w:rPr>
            </w:pPr>
            <w:r>
              <w:rPr>
                <w:rFonts w:ascii="Arial" w:cs="Arial" w:eastAsia="Arial" w:hAnsi="Arial"/>
                <w:sz w:val="18"/>
                <w:szCs w:val="18"/>
                <w:color w:val="auto"/>
              </w:rPr>
              <w:t>Name of Beneficial Owner</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Beneficially Owned</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Beneficially Owned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 (1)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George H. Kirby III (2)</w:t>
            </w:r>
          </w:p>
        </w:tc>
        <w:tc>
          <w:tcPr>
            <w:tcW w:w="1620" w:type="dxa"/>
            <w:vAlign w:val="bottom"/>
          </w:tcPr>
          <w:p>
            <w:pPr>
              <w:jc w:val="right"/>
              <w:spacing w:after="0"/>
              <w:rPr>
                <w:sz w:val="20"/>
                <w:szCs w:val="20"/>
                <w:color w:val="auto"/>
              </w:rPr>
            </w:pPr>
            <w:r>
              <w:rPr>
                <w:rFonts w:ascii="Arial" w:cs="Arial" w:eastAsia="Arial" w:hAnsi="Arial"/>
                <w:sz w:val="18"/>
                <w:szCs w:val="18"/>
                <w:color w:val="auto"/>
              </w:rPr>
              <w:t>16,936</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T. Shafer (3)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Steven M. Fludder (4)</w:t>
            </w:r>
          </w:p>
        </w:tc>
        <w:tc>
          <w:tcPr>
            <w:tcW w:w="1620" w:type="dxa"/>
            <w:vAlign w:val="bottom"/>
          </w:tcPr>
          <w:p>
            <w:pPr>
              <w:jc w:val="right"/>
              <w:spacing w:after="0"/>
              <w:rPr>
                <w:sz w:val="20"/>
                <w:szCs w:val="20"/>
                <w:color w:val="auto"/>
              </w:rPr>
            </w:pPr>
            <w:r>
              <w:rPr>
                <w:rFonts w:ascii="Arial" w:cs="Arial" w:eastAsia="Arial" w:hAnsi="Arial"/>
                <w:sz w:val="18"/>
                <w:szCs w:val="18"/>
                <w:color w:val="auto"/>
              </w:rPr>
              <w:t>6,673</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 (5)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Kristine S. Moore (6)</w:t>
            </w:r>
          </w:p>
        </w:tc>
        <w:tc>
          <w:tcPr>
            <w:tcW w:w="162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 (7)</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(7 individuals)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58,053</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Represents a beneficial ownership of less the one percent of our outstanding common stock</w:t>
      </w:r>
    </w:p>
    <w:p>
      <w:pPr>
        <w:spacing w:after="0" w:line="225" w:lineRule="exact"/>
        <w:rPr>
          <w:sz w:val="20"/>
          <w:szCs w:val="20"/>
          <w:color w:val="auto"/>
        </w:rPr>
      </w:pPr>
    </w:p>
    <w:p>
      <w:pPr>
        <w:ind w:left="820" w:right="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361 shares of our common stock and 6,851 shares issuable upon the exercise of options that are currently exercisable or exercisable within sixty days of June 23, 2020.</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6,936 shares of our common stock and 10,000 shares issuable upon the exercise of options that are currently exercisable or exercisable within sixty days of June 23, 2020.</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1,122 shares of our common stock and 5,750 shares issuable upon the exercise of options that are currently exercisable or exercisable within sixty days of June 23, 2020.</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600 shares of our common stock and 6,073 shares issuable upon the exercise of options that are currently exercisable or exercisable within sixty days of June 23, 2020.</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5,248 shares of our common stock and 6,539 shares issuable upon the exercise of options that are currently exercisable or exercisable within sixty days of June 23, 2020.</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2,500 shares issuable upon the exercise of options that are currently exercisable or exercisable within sixty days of June 23, 2020.</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includes 6,073 shares issuable upon the exercise of options that are currently exercisable or exercisable within sixty days of June 23,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indicated information as of April 30, 2020 with respect to our equity compensation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to be Issued Upon</w:t>
            </w: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of Outstanding</w:t>
            </w:r>
          </w:p>
        </w:tc>
        <w:tc>
          <w:tcPr>
            <w:tcW w:w="140" w:type="dxa"/>
            <w:vAlign w:val="bottom"/>
          </w:tcPr>
          <w:p>
            <w:pPr>
              <w:spacing w:after="0"/>
              <w:rPr>
                <w:sz w:val="18"/>
                <w:szCs w:val="18"/>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Weighted-Average</w:t>
            </w: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Equity Compensation</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Options and Restricted</w:t>
            </w:r>
          </w:p>
        </w:tc>
        <w:tc>
          <w:tcPr>
            <w:tcW w:w="140" w:type="dxa"/>
            <w:vAlign w:val="bottom"/>
          </w:tcPr>
          <w:p>
            <w:pPr>
              <w:spacing w:after="0"/>
              <w:rPr>
                <w:sz w:val="18"/>
                <w:szCs w:val="18"/>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Exercise Price of</w:t>
            </w: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Plans (Excluding Shares</w:t>
            </w: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20"/>
                <w:szCs w:val="20"/>
                <w:color w:val="auto"/>
              </w:rPr>
            </w:pP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Outstanding Options</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Reflected in First Column</w:t>
            </w:r>
          </w:p>
        </w:tc>
      </w:tr>
      <w:tr>
        <w:trPr>
          <w:trHeight w:val="216"/>
        </w:trPr>
        <w:tc>
          <w:tcPr>
            <w:tcW w:w="4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555,475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3.19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168,808(1)</w:t>
            </w: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13,513</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N/A</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11,487(2)</w:t>
            </w:r>
          </w:p>
        </w:tc>
      </w:tr>
    </w:tbl>
    <w:p>
      <w:pPr>
        <w:spacing w:after="0" w:line="2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2015 Omnibus Incentive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2018 Employee Inducement Incentive Award Plan.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Our equity compensation plans consist of 2006 Stock Incentive Plan and 2015 Omnibus Incentive Plan which were approved by our stockholders. Once the 2015 Omnibus Incentive Plan was approved by the stockholders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The equity compensation plan that has not been approved by our shareholders is our 2018 Employee Inducement Incentive Award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229"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Under applicable Nasdaq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84"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Our Board has determined that all of our current directors are “independent directors” within the meaning of the applicable listing standards of the Nasdaq, except for George H. Kirby III who is our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 and Related Person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Related Person Transactions</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229"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The following table summarizes the fees of KPMG LLP, our independent registered public accounting firm, billed to us for each of the last two fiscal years.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Fiscal Year 2020</w:t>
            </w:r>
          </w:p>
        </w:tc>
        <w:tc>
          <w:tcPr>
            <w:tcW w:w="14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Fiscal Year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Audit- Related Fees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 (3)</w:t>
            </w:r>
          </w:p>
        </w:tc>
        <w:tc>
          <w:tcPr>
            <w:tcW w:w="2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Fees</w:t>
            </w:r>
          </w:p>
        </w:tc>
        <w:tc>
          <w:tcPr>
            <w:tcW w:w="2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317,062</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392,963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320"/>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Fees consist of fees for the audit and quarterly reviews of our consolidated financial statements and other professional services provided in connection with the statutory and regulatory filings or engagements. Fiscal year 2020 and 2019 audit fees include fees for comfort letters and consents of $57,500 and $128,500, respectively, related to several equity offerings. Fiscal 2020 and 2019 include $3,147 and $6,245 for out of pocket fees, respectively.</w:t>
      </w:r>
    </w:p>
    <w:p>
      <w:pPr>
        <w:spacing w:after="0" w:line="186"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Fees include fees for tax consulting and tax return preparation assistance and review.</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Fees for fiscal 2020 and 2019 includes subscription fee for KPMG’s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495"/>
        <w:spacing w:after="0" w:line="311" w:lineRule="auto"/>
        <w:rPr>
          <w:sz w:val="20"/>
          <w:szCs w:val="20"/>
          <w:color w:val="auto"/>
        </w:rPr>
      </w:pPr>
      <w:r>
        <w:rPr>
          <w:rFonts w:ascii="Arial" w:cs="Arial" w:eastAsia="Arial" w:hAnsi="Arial"/>
          <w:sz w:val="16"/>
          <w:szCs w:val="16"/>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49"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All audit services and all non-audit services in fiscal years 2020 and 2019 were pre-approved by the Audit Committee. The Audit Committee has determined that the provision of the non-audit services for which these fees were rendered is compatible with maintaining the independent auditor’s independence.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59" w:name="page60"/>
    <w:bookmarkEnd w:id="59"/>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500" w:hanging="254"/>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248"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(3) Exhibits: See Exhibit Index on pages 58 to 59.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34" w:right="1440" w:bottom="1440" w:gutter="0" w:footer="0" w:header="0"/>
        </w:sectPr>
      </w:pPr>
    </w:p>
    <w:bookmarkStart w:id="60" w:name="page61"/>
    <w:bookmarkEnd w:id="6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2020</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 George H. Kirby III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SIGNATURE</w:t>
            </w:r>
          </w:p>
        </w:tc>
        <w:tc>
          <w:tcPr>
            <w:tcW w:w="220" w:type="dxa"/>
            <w:vAlign w:val="bottom"/>
          </w:tcPr>
          <w:p>
            <w:pPr>
              <w:spacing w:after="0"/>
              <w:rPr>
                <w:sz w:val="22"/>
                <w:szCs w:val="22"/>
                <w:color w:val="auto"/>
              </w:rPr>
            </w:pPr>
          </w:p>
        </w:tc>
        <w:tc>
          <w:tcPr>
            <w:tcW w:w="506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45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George H. Kirby III</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President, Chief Executive Officer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6"/>
              </w:rPr>
              <w:t>George H. Kirby III</w:t>
            </w:r>
          </w:p>
        </w:tc>
        <w:tc>
          <w:tcPr>
            <w:tcW w:w="220" w:type="dxa"/>
            <w:vAlign w:val="bottom"/>
          </w:tcPr>
          <w:p>
            <w:pPr>
              <w:spacing w:after="0"/>
              <w:rPr>
                <w:sz w:val="20"/>
                <w:szCs w:val="20"/>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and Director (Principal Executive Officer)</w:t>
            </w:r>
          </w:p>
        </w:tc>
        <w:tc>
          <w:tcPr>
            <w:tcW w:w="13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s/ Matthew T. Shafer</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1"/>
              </w:rPr>
              <w:t>Matthew T. Shafer</w:t>
            </w:r>
          </w:p>
        </w:tc>
        <w:tc>
          <w:tcPr>
            <w:tcW w:w="220" w:type="dxa"/>
            <w:vAlign w:val="bottom"/>
          </w:tcPr>
          <w:p>
            <w:pPr>
              <w:spacing w:after="0"/>
              <w:rPr>
                <w:sz w:val="20"/>
                <w:szCs w:val="20"/>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3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w:t>
            </w:r>
            <w:r>
              <w:rPr>
                <w:rFonts w:ascii="Arial" w:cs="Arial" w:eastAsia="Arial" w:hAnsi="Arial"/>
                <w:sz w:val="18"/>
                <w:szCs w:val="18"/>
                <w:i w:val="1"/>
                <w:iCs w:val="1"/>
                <w:color w:val="auto"/>
                <w:w w:val="88"/>
              </w:rPr>
              <w:t>/ Terence J. Cryan</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86"/>
              </w:rPr>
              <w:t>Terence J. Cryan</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Dean J. Glover</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Vice Chairman of the Board and 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89"/>
              </w:rPr>
              <w:t>Dean J. Glover</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Steven M. Fludder</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2"/>
              </w:rPr>
              <w:t>Steven M. Fludder</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Robert K. Winters</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2"/>
              </w:rPr>
              <w:t>Robert K. Winters</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Kristine S. Moore</w:t>
            </w:r>
          </w:p>
        </w:tc>
        <w:tc>
          <w:tcPr>
            <w:tcW w:w="2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29, 2020</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92"/>
              </w:rPr>
              <w:t>Kristine S. Moore</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5"/>
        </w:trPr>
        <w:tc>
          <w:tcPr>
            <w:tcW w:w="4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387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8"/>
          </w:tcPr>
          <w:p>
            <w:pPr>
              <w:jc w:val="center"/>
              <w:ind w:right="4560"/>
              <w:spacing w:after="0"/>
              <w:rPr>
                <w:sz w:val="20"/>
                <w:szCs w:val="20"/>
                <w:color w:val="auto"/>
              </w:rPr>
            </w:pPr>
            <w:r>
              <w:rPr>
                <w:rFonts w:ascii="Arial" w:cs="Arial" w:eastAsia="Arial" w:hAnsi="Arial"/>
                <w:sz w:val="18"/>
                <w:szCs w:val="18"/>
                <w:b w:val="1"/>
                <w:bCs w:val="1"/>
                <w:color w:val="auto"/>
                <w:w w:val="91"/>
              </w:rPr>
              <w:t>Exhibits Index</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860" w:type="dxa"/>
            <w:vAlign w:val="bottom"/>
            <w:tcBorders>
              <w:bottom w:val="single" w:sz="8" w:color="auto"/>
            </w:tcBorders>
            <w:gridSpan w:val="7"/>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Restated Certificate of Incorporation of the registrant (incorporated by reference from Exhibit 3.1 to our Quarterly Report on Form 10-Q</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filed September 14, 2007).</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Certificate of Amendment of Certificate of Incorporation of Ocean Power Technologies, Inc. dated October 27, 2015 (incorporated by</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reference from Exhibit 3.1 to Current Report on Form 8-K filed on October 28, 2015).</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Amended and Restated Bylaws of the registrant (incorporated by reference from Exhibit 3.2 to the Current Report on Form 8-K filed June</w:t>
              </w:r>
            </w:hyperlink>
          </w:p>
        </w:tc>
      </w:tr>
      <w:tr>
        <w:trPr>
          <w:trHeight w:val="196"/>
        </w:trPr>
        <w:tc>
          <w:tcPr>
            <w:tcW w:w="980" w:type="dxa"/>
            <w:vAlign w:val="bottom"/>
          </w:tcPr>
          <w:p>
            <w:pPr>
              <w:spacing w:after="0"/>
              <w:rPr>
                <w:sz w:val="17"/>
                <w:szCs w:val="17"/>
                <w:color w:val="auto"/>
              </w:rPr>
            </w:pPr>
          </w:p>
        </w:tc>
        <w:tc>
          <w:tcPr>
            <w:tcW w:w="1000" w:type="dxa"/>
            <w:vAlign w:val="bottom"/>
            <w:gridSpan w:val="3"/>
          </w:tcPr>
          <w:p>
            <w:pPr>
              <w:ind w:left="260"/>
              <w:spacing w:after="0" w:line="19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23, 2016).</w:t>
              </w:r>
            </w:hyperlink>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72">
              <w:r>
                <w:rPr>
                  <w:rFonts w:ascii="Arial" w:cs="Arial" w:eastAsia="Arial" w:hAnsi="Arial"/>
                  <w:sz w:val="18"/>
                  <w:szCs w:val="18"/>
                  <w:color w:val="0000EE"/>
                  <w:w w:val="94"/>
                </w:rPr>
                <w:t>Certificate of Amendment to Certificate of Incorporation of the Company, filed with the Secretary of State of the State of Delaware on</w:t>
              </w:r>
            </w:hyperlink>
          </w:p>
        </w:tc>
      </w:tr>
      <w:tr>
        <w:trPr>
          <w:trHeight w:val="222"/>
        </w:trPr>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0" w:type="dxa"/>
            <w:vAlign w:val="bottom"/>
            <w:gridSpan w:val="17"/>
          </w:tcPr>
          <w:p>
            <w:pPr>
              <w:spacing w:after="0"/>
              <w:rPr>
                <w:rFonts w:ascii="Arial" w:cs="Arial" w:eastAsia="Arial" w:hAnsi="Arial"/>
                <w:sz w:val="18"/>
                <w:szCs w:val="18"/>
                <w:u w:val="single" w:color="auto"/>
                <w:color w:val="0000EE"/>
                <w:w w:val="94"/>
              </w:rPr>
            </w:pPr>
            <w:hyperlink r:id="rId72">
              <w:r>
                <w:rPr>
                  <w:rFonts w:ascii="Arial" w:cs="Arial" w:eastAsia="Arial" w:hAnsi="Arial"/>
                  <w:sz w:val="18"/>
                  <w:szCs w:val="18"/>
                  <w:u w:val="single" w:color="auto"/>
                  <w:color w:val="0000EE"/>
                  <w:w w:val="94"/>
                </w:rPr>
                <w:t>October 21, 2016 (incorporated by reference to Exhibit 3.1 to the Company’s Current Report on Form 8-K filed on October 21, 2016).</w:t>
              </w:r>
            </w:hyperlink>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3.5</w:t>
            </w:r>
          </w:p>
        </w:tc>
        <w:tc>
          <w:tcPr>
            <w:tcW w:w="260" w:type="dxa"/>
            <w:vAlign w:val="bottom"/>
          </w:tcPr>
          <w:p>
            <w:pPr>
              <w:spacing w:after="0"/>
              <w:rPr>
                <w:sz w:val="16"/>
                <w:szCs w:val="16"/>
                <w:color w:val="auto"/>
              </w:rPr>
            </w:pPr>
          </w:p>
        </w:tc>
        <w:tc>
          <w:tcPr>
            <w:tcW w:w="10000" w:type="dxa"/>
            <w:vAlign w:val="bottom"/>
            <w:tcBorders>
              <w:bottom w:val="single" w:sz="8" w:color="0000EE"/>
            </w:tcBorders>
            <w:gridSpan w:val="17"/>
          </w:tcPr>
          <w:p>
            <w:pPr>
              <w:spacing w:after="0" w:line="190"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Certificate of Amendment to Certificate of Incorporation of the Company, filed with the Secretary of State of the State of Delaware on</w:t>
              </w:r>
            </w:hyperlink>
          </w:p>
        </w:tc>
      </w:tr>
      <w:tr>
        <w:trPr>
          <w:trHeight w:val="222"/>
        </w:trPr>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0" w:type="dxa"/>
            <w:vAlign w:val="bottom"/>
            <w:gridSpan w:val="17"/>
          </w:tcPr>
          <w:p>
            <w:pPr>
              <w:spacing w:after="0"/>
              <w:rPr>
                <w:rFonts w:ascii="Arial" w:cs="Arial" w:eastAsia="Arial" w:hAnsi="Arial"/>
                <w:sz w:val="18"/>
                <w:szCs w:val="18"/>
                <w:u w:val="single" w:color="auto"/>
                <w:color w:val="0000EE"/>
                <w:w w:val="98"/>
              </w:rPr>
            </w:pPr>
            <w:hyperlink r:id="rId73">
              <w:r>
                <w:rPr>
                  <w:rFonts w:ascii="Arial" w:cs="Arial" w:eastAsia="Arial" w:hAnsi="Arial"/>
                  <w:sz w:val="18"/>
                  <w:szCs w:val="18"/>
                  <w:u w:val="single" w:color="auto"/>
                  <w:color w:val="0000EE"/>
                  <w:w w:val="98"/>
                </w:rPr>
                <w:t>March 8, 2019 (incorporated by reference to Exhibit 3.1 to the Company’s Current Report on Form 8-K filed on March 8, 2019).</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0000" w:type="dxa"/>
            <w:vAlign w:val="bottom"/>
            <w:gridSpan w:val="17"/>
          </w:tcPr>
          <w:p>
            <w:pPr>
              <w:spacing w:after="0"/>
              <w:rPr>
                <w:rFonts w:ascii="Arial" w:cs="Arial" w:eastAsia="Arial" w:hAnsi="Arial"/>
                <w:sz w:val="18"/>
                <w:szCs w:val="18"/>
                <w:color w:val="0000EE"/>
              </w:rPr>
            </w:pPr>
            <w:hyperlink r:id="rId74">
              <w:r>
                <w:rPr>
                  <w:rFonts w:ascii="Arial" w:cs="Arial" w:eastAsia="Arial" w:hAnsi="Arial"/>
                  <w:sz w:val="18"/>
                  <w:szCs w:val="18"/>
                  <w:u w:val="single" w:color="auto"/>
                  <w:color w:val="0000EE"/>
                </w:rPr>
                <w:t>Specimen certificate of Common Stock (incorporated by reference from Exhibit 4.1 to Form S-1/A filed March 19, 2007)</w:t>
              </w:r>
              <w:r>
                <w:rPr>
                  <w:rFonts w:ascii="Arial" w:cs="Arial" w:eastAsia="Arial" w:hAnsi="Arial"/>
                  <w:sz w:val="18"/>
                  <w:szCs w:val="18"/>
                  <w:color w:val="0000EE"/>
                </w:rPr>
                <w:t>.</w:t>
              </w:r>
            </w:hyperlink>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6"/>
                <w:szCs w:val="16"/>
                <w:color w:val="auto"/>
              </w:rPr>
            </w:pPr>
          </w:p>
        </w:tc>
        <w:tc>
          <w:tcPr>
            <w:tcW w:w="10000" w:type="dxa"/>
            <w:vAlign w:val="bottom"/>
            <w:tcBorders>
              <w:bottom w:val="single" w:sz="8" w:color="0000EE"/>
            </w:tcBorders>
            <w:gridSpan w:val="17"/>
          </w:tcPr>
          <w:p>
            <w:pPr>
              <w:spacing w:after="0" w:line="190"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Form of Warrant to Purchase Common Stock (incorporated by reference from Exhibit 4.1 to Current Report on Form 8-K/A filed on June</w:t>
              </w:r>
            </w:hyperlink>
          </w:p>
        </w:tc>
      </w:tr>
      <w:tr>
        <w:trPr>
          <w:trHeight w:val="196"/>
        </w:trPr>
        <w:tc>
          <w:tcPr>
            <w:tcW w:w="980" w:type="dxa"/>
            <w:vAlign w:val="bottom"/>
          </w:tcPr>
          <w:p>
            <w:pPr>
              <w:spacing w:after="0"/>
              <w:rPr>
                <w:sz w:val="17"/>
                <w:szCs w:val="17"/>
                <w:color w:val="auto"/>
              </w:rPr>
            </w:pPr>
          </w:p>
        </w:tc>
        <w:tc>
          <w:tcPr>
            <w:tcW w:w="900" w:type="dxa"/>
            <w:vAlign w:val="bottom"/>
            <w:gridSpan w:val="2"/>
          </w:tcPr>
          <w:p>
            <w:pPr>
              <w:ind w:left="260"/>
              <w:spacing w:after="0" w:line="196" w:lineRule="exact"/>
              <w:rPr>
                <w:rFonts w:ascii="Arial" w:cs="Arial" w:eastAsia="Arial" w:hAnsi="Arial"/>
                <w:sz w:val="18"/>
                <w:szCs w:val="18"/>
                <w:color w:val="0000EE"/>
                <w:w w:val="87"/>
              </w:rPr>
            </w:pPr>
            <w:hyperlink r:id="rId75">
              <w:r>
                <w:rPr>
                  <w:rFonts w:ascii="Arial" w:cs="Arial" w:eastAsia="Arial" w:hAnsi="Arial"/>
                  <w:sz w:val="18"/>
                  <w:szCs w:val="18"/>
                  <w:color w:val="0000EE"/>
                  <w:w w:val="87"/>
                </w:rPr>
                <w:t>7, 2016).</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Form of Warrant to Purchase Common Stock (incorporated by reference from Exhibit 4.1 to Current Report on Form 8-K/A filed on July</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00" w:type="dxa"/>
            <w:vAlign w:val="bottom"/>
            <w:gridSpan w:val="3"/>
          </w:tcPr>
          <w:p>
            <w:pPr>
              <w:ind w:left="260"/>
              <w:spacing w:after="0" w:line="196" w:lineRule="exact"/>
              <w:rPr>
                <w:rFonts w:ascii="Arial" w:cs="Arial" w:eastAsia="Arial" w:hAnsi="Arial"/>
                <w:sz w:val="18"/>
                <w:szCs w:val="18"/>
                <w:color w:val="0000EE"/>
                <w:w w:val="88"/>
              </w:rPr>
            </w:pPr>
            <w:hyperlink r:id="rId76">
              <w:r>
                <w:rPr>
                  <w:rFonts w:ascii="Arial" w:cs="Arial" w:eastAsia="Arial" w:hAnsi="Arial"/>
                  <w:sz w:val="18"/>
                  <w:szCs w:val="18"/>
                  <w:color w:val="0000EE"/>
                  <w:w w:val="88"/>
                </w:rPr>
                <w:t>22, 2016).</w:t>
              </w:r>
            </w:hyperlink>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Registration Rights Agreement, dated August 13, 2018, between Ocean Power Technologies, Inc. and Aspire Capital Fund, LLC</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(incorporated by reference from Exhibit 4.1 to Current Report on Form 8-K filed on August 13, 2018).</w:t>
              </w:r>
            </w:hyperlink>
          </w:p>
        </w:tc>
        <w:tc>
          <w:tcPr>
            <w:tcW w:w="2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Form of Warrant Agency Agreement by and between the Company and Computershare Trust Company, N.A. collectively as warrant agent</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78">
              <w:r>
                <w:rPr>
                  <w:rFonts w:ascii="Arial" w:cs="Arial" w:eastAsia="Arial" w:hAnsi="Arial"/>
                  <w:sz w:val="18"/>
                  <w:szCs w:val="18"/>
                  <w:color w:val="0000EE"/>
                  <w:w w:val="96"/>
                </w:rPr>
                <w:t>(incorporated by reference to Exhibit 4.7 to Amendment No.2 to the Company’s Registration Statement on Form S-1 (file No. 333-</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230199, filed with the SEC on April 3, 2019.</w:t>
              </w:r>
            </w:hyperlink>
          </w:p>
        </w:tc>
        <w:tc>
          <w:tcPr>
            <w:tcW w:w="6760" w:type="dxa"/>
            <w:vAlign w:val="bottom"/>
            <w:gridSpan w:val="9"/>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0000" w:type="dxa"/>
            <w:vAlign w:val="bottom"/>
            <w:gridSpan w:val="17"/>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Form of Common Warrant ((incorporated by reference to Exhibit 4.2 to Form 8-K filed with the SEC on April 5, 2019).</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0000" w:type="dxa"/>
            <w:vAlign w:val="bottom"/>
            <w:gridSpan w:val="17"/>
          </w:tcPr>
          <w:p>
            <w:pPr>
              <w:spacing w:after="0"/>
              <w:rPr>
                <w:rFonts w:ascii="Arial" w:cs="Arial" w:eastAsia="Arial" w:hAnsi="Arial"/>
                <w:sz w:val="18"/>
                <w:szCs w:val="18"/>
                <w:color w:val="0000EE"/>
              </w:rPr>
            </w:pPr>
            <w:hyperlink r:id="rId80">
              <w:r>
                <w:rPr>
                  <w:rFonts w:ascii="Arial" w:cs="Arial" w:eastAsia="Arial" w:hAnsi="Arial"/>
                  <w:sz w:val="18"/>
                  <w:szCs w:val="18"/>
                  <w:u w:val="single" w:color="auto"/>
                  <w:color w:val="0000EE"/>
                </w:rPr>
                <w:t>Form of Pre-Funded Warrant ((incorporated by reference to Exhibit 4.3 to Form 8-K filed with the SEC on April 5, 2019)</w:t>
              </w:r>
              <w:r>
                <w:rPr>
                  <w:rFonts w:ascii="Arial" w:cs="Arial" w:eastAsia="Arial" w:hAnsi="Arial"/>
                  <w:sz w:val="18"/>
                  <w:szCs w:val="18"/>
                  <w:color w:val="0000EE"/>
                </w:rPr>
                <w:t>.</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0000" w:type="dxa"/>
            <w:vAlign w:val="bottom"/>
            <w:gridSpan w:val="17"/>
          </w:tcPr>
          <w:p>
            <w:pPr>
              <w:spacing w:after="0"/>
              <w:rPr>
                <w:rFonts w:ascii="Arial" w:cs="Arial" w:eastAsia="Arial" w:hAnsi="Arial"/>
                <w:sz w:val="18"/>
                <w:szCs w:val="18"/>
                <w:u w:val="single" w:color="auto"/>
                <w:color w:val="0000EE"/>
                <w:w w:val="91"/>
              </w:rPr>
            </w:pPr>
            <w:hyperlink r:id="rId81">
              <w:r>
                <w:rPr>
                  <w:rFonts w:ascii="Arial" w:cs="Arial" w:eastAsia="Arial" w:hAnsi="Arial"/>
                  <w:sz w:val="18"/>
                  <w:szCs w:val="18"/>
                  <w:u w:val="single" w:color="auto"/>
                  <w:color w:val="0000EE"/>
                  <w:w w:val="91"/>
                </w:rPr>
                <w:t>Amended and Restated 2006 Stock Incentive Plan (incorporated by reference from Exhibit A to Proxy Statement filed August 28, 2013).*</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10000" w:type="dxa"/>
            <w:vAlign w:val="bottom"/>
            <w:gridSpan w:val="17"/>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Form of Restricted Stock Agreement (incorporated by reference from Exhibit 10.1 to Form 10-Q filed March 14, 2011).*</w:t>
              </w:r>
            </w:hyperlink>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6"/>
                <w:szCs w:val="16"/>
                <w:color w:val="auto"/>
              </w:rPr>
            </w:pPr>
          </w:p>
        </w:tc>
        <w:tc>
          <w:tcPr>
            <w:tcW w:w="10000" w:type="dxa"/>
            <w:vAlign w:val="bottom"/>
            <w:tcBorders>
              <w:bottom w:val="single" w:sz="8" w:color="0000EE"/>
            </w:tcBorders>
            <w:gridSpan w:val="17"/>
          </w:tcPr>
          <w:p>
            <w:pPr>
              <w:spacing w:after="0" w:line="190"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Employment Agreement, dated December 29, 2014, between George H. Kirby and Ocean Power Technologies, Inc. (incorporated by</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reference from Exhibit 10.1 to Form 10-Q filed March 11, 2015).*</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Stipulation and Agreement of Class Settlement dated as of May 5, 2016 (incorporated by reference to Exhibit 10.1 to Current Report on</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Form 8-K on May 11, 2016).</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Form of Securities Purchase Agreement dated June 2, 2016 (incorporated by reference to Exhibit 99.3 to Current Report on Form 8-K</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filed on June 2, 2016).</w:t>
              </w:r>
            </w:hyperlink>
          </w:p>
        </w:tc>
        <w:tc>
          <w:tcPr>
            <w:tcW w:w="838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Form of the Securities Purchase Agreement, dated June 2, 2016 (incorporated by reference to Exhibit 99.3 to the Current Report on Form</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8-K filed on June 2, 2016).</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r:id="rId86">
              <w:r>
                <w:rPr>
                  <w:rFonts w:ascii="Arial" w:cs="Arial" w:eastAsia="Arial" w:hAnsi="Arial"/>
                  <w:sz w:val="18"/>
                  <w:szCs w:val="18"/>
                  <w:color w:val="0000EE"/>
                  <w:w w:val="97"/>
                </w:rPr>
                <w:t>Agreement by and between Ocean Power Technologies, Inc. and Mitsui Engineering &amp; Shipbuilding Co., Ltd dated May 31, 2016</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(incorporated by reference from Exhibit 10.1 to Current Report on Form 8-K/A filed on June 6, 2016).</w:t>
              </w:r>
            </w:hyperlink>
          </w:p>
        </w:tc>
        <w:tc>
          <w:tcPr>
            <w:tcW w:w="262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Form of Amendment No. 1 to Securities Purchase Agreement, dated June 7, 2016 (incorporated by reference to Exhibit 99.4 to the Current</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Report on Form 8-K/A filed on June 7, 2016).</w:t>
              </w:r>
            </w:hyperlink>
          </w:p>
        </w:tc>
        <w:tc>
          <w:tcPr>
            <w:tcW w:w="668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Form of Amendment No. 2, dated as of July 21, 2016, to the Securities Purchase Agreement, dated as of June 2, 2016, by and among</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Ocean Power Technologies, Inc. and the investor’s signatory thereto, and (incorporated by reference from Exhibit 99.2 to the Current</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Report on Form 8-K filed July 21, 2016).</w:t>
              </w:r>
            </w:hyperlink>
          </w:p>
        </w:tc>
        <w:tc>
          <w:tcPr>
            <w:tcW w:w="702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Form of Subscription Agreement, dated July 22, 2016 between the Company and the Purchasers thereto (incorporated by reference from</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Exhibit 10.1 to the Current Report on Form 8-K filed July 22, 2016).</w:t>
              </w:r>
            </w:hyperlink>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10"/>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6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Employment Letter between the Company and Matthew Shafer dated August 23, 2016, (incorporated by reference from Exhibit 10.1 to</w:t>
              </w:r>
            </w:hyperlink>
          </w:p>
        </w:tc>
      </w:tr>
      <w:tr>
        <w:trPr>
          <w:trHeight w:val="196"/>
        </w:trPr>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the Current Report on Form 8-K filed August 29, 2016).*</w:t>
              </w:r>
            </w:hyperlink>
          </w:p>
        </w:tc>
        <w:tc>
          <w:tcPr>
            <w:tcW w:w="58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0"/>
                <w:szCs w:val="20"/>
                <w:color w:val="auto"/>
              </w:rPr>
            </w:pPr>
          </w:p>
        </w:tc>
        <w:tc>
          <w:tcPr>
            <w:tcW w:w="10000" w:type="dxa"/>
            <w:vAlign w:val="bottom"/>
            <w:gridSpan w:val="17"/>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2015 Omnibus Incentive Plan* (incorporated by reference to Annex A to Proxy Statement filed on September 3, 2015).</w:t>
              </w:r>
            </w:hyperlink>
          </w:p>
        </w:tc>
      </w:tr>
      <w:tr>
        <w:trPr>
          <w:trHeight w:val="439"/>
        </w:trPr>
        <w:tc>
          <w:tcPr>
            <w:tcW w:w="9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12"/>
          </w:tcPr>
          <w:p>
            <w:pPr>
              <w:jc w:val="right"/>
              <w:ind w:right="210"/>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10.13</w:t>
            </w:r>
          </w:p>
        </w:tc>
        <w:tc>
          <w:tcPr>
            <w:tcW w:w="10000" w:type="dxa"/>
            <w:vAlign w:val="bottom"/>
            <w:tcBorders>
              <w:bottom w:val="single" w:sz="8" w:color="0000EE"/>
            </w:tcBorders>
            <w:gridSpan w:val="15"/>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Agreement by and between the Company and the U.S. Office of Naval Research dated September 13, 2016 (incorporated by reference to</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Exhibit 10.1 to the Company’s Current Report on Form 8-K filed on September 14, 2016).</w:t>
              </w:r>
            </w:hyperlink>
          </w:p>
        </w:tc>
      </w:tr>
      <w:tr>
        <w:trPr>
          <w:trHeight w:val="20"/>
        </w:trPr>
        <w:tc>
          <w:tcPr>
            <w:tcW w:w="1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Ocean Power Technologies, Inc. Employment Inducement Incentive Award Plan (incorporated by reference to Exhibit 10.1 to Form 8-K</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filed with the SEC on January 19, 2018).*</w:t>
              </w:r>
            </w:hyperlink>
          </w:p>
        </w:tc>
      </w:tr>
      <w:tr>
        <w:trPr>
          <w:trHeight w:val="20"/>
        </w:trPr>
        <w:tc>
          <w:tcPr>
            <w:tcW w:w="1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Form of Restricted Stock Agreement for Employment Inducement Incentive Award Plan (incorporated by reference to Exhibit 10.2 to</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8-K filed with the SEC on January 19, 2018).*</w:t>
              </w:r>
            </w:hyperlink>
          </w:p>
        </w:tc>
      </w:tr>
      <w:tr>
        <w:trPr>
          <w:trHeight w:val="20"/>
        </w:trPr>
        <w:tc>
          <w:tcPr>
            <w:tcW w:w="1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Contract between Eni S.p.A. and the Company dated March 14, 2018 (incorporated by reference to Exhibit 10.1 to Form 8-K filed with</w:t>
              </w:r>
            </w:hyperlink>
          </w:p>
        </w:tc>
      </w:tr>
      <w:tr>
        <w:trPr>
          <w:trHeight w:val="196"/>
        </w:trPr>
        <w:tc>
          <w:tcPr>
            <w:tcW w:w="1240" w:type="dxa"/>
            <w:vAlign w:val="bottom"/>
          </w:tcPr>
          <w:p>
            <w:pPr>
              <w:spacing w:after="0"/>
              <w:rPr>
                <w:sz w:val="17"/>
                <w:szCs w:val="17"/>
                <w:color w:val="auto"/>
              </w:rPr>
            </w:pPr>
          </w:p>
        </w:tc>
        <w:tc>
          <w:tcPr>
            <w:tcW w:w="22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the SEC on March 19, 2018). +</w:t>
              </w:r>
            </w:hyperlink>
          </w:p>
        </w:tc>
        <w:tc>
          <w:tcPr>
            <w:tcW w:w="7740" w:type="dxa"/>
            <w:vAlign w:val="bottom"/>
            <w:gridSpan w:val="1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Contract between Premier Oil UK Limited and the Company dated June 27, 2018 (incorporated by reference to Exhibit 10.27 to Form 10-</w:t>
              </w:r>
            </w:hyperlink>
          </w:p>
        </w:tc>
      </w:tr>
      <w:tr>
        <w:trPr>
          <w:trHeight w:val="196"/>
        </w:trPr>
        <w:tc>
          <w:tcPr>
            <w:tcW w:w="124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K filed with the SEC on July 17, 2018).+</w:t>
              </w:r>
            </w:hyperlink>
          </w:p>
        </w:tc>
        <w:tc>
          <w:tcPr>
            <w:tcW w:w="6980" w:type="dxa"/>
            <w:vAlign w:val="bottom"/>
            <w:gridSpan w:val="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Amendment to the Employment Agreement of George H. Kirby III (incorporated by reference to Exhibit 10.2 to Form 8-K filed with the</w:t>
              </w:r>
            </w:hyperlink>
          </w:p>
        </w:tc>
      </w:tr>
      <w:tr>
        <w:trPr>
          <w:trHeight w:val="196"/>
        </w:trPr>
        <w:tc>
          <w:tcPr>
            <w:tcW w:w="124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SEC on July 18, 2018). *</w:t>
              </w:r>
            </w:hyperlink>
          </w:p>
        </w:tc>
        <w:tc>
          <w:tcPr>
            <w:tcW w:w="8180" w:type="dxa"/>
            <w:vAlign w:val="bottom"/>
            <w:gridSpan w:val="1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Common Stock Purchase Agreement with Aspire Capital Fund, LLC (incorporated by reference to Exhibit 10.1 to Form 8-K filed with the</w:t>
              </w:r>
            </w:hyperlink>
          </w:p>
        </w:tc>
      </w:tr>
      <w:tr>
        <w:trPr>
          <w:trHeight w:val="196"/>
        </w:trPr>
        <w:tc>
          <w:tcPr>
            <w:tcW w:w="124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SEC on August 13, 2018).</w:t>
              </w:r>
            </w:hyperlink>
          </w:p>
        </w:tc>
        <w:tc>
          <w:tcPr>
            <w:tcW w:w="8100" w:type="dxa"/>
            <w:vAlign w:val="bottom"/>
            <w:gridSpan w:val="12"/>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Registration Rights Agreement with Aspire Capital Fund, LLC (incorporated by reference to Exhibit 4.1 to Form 8-K filed with the SEC</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on August 13, 2018).</w:t>
              </w:r>
            </w:hyperlink>
          </w:p>
        </w:tc>
      </w:tr>
      <w:tr>
        <w:trPr>
          <w:trHeight w:val="20"/>
        </w:trPr>
        <w:tc>
          <w:tcPr>
            <w:tcW w:w="1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000" w:type="dxa"/>
            <w:vAlign w:val="bottom"/>
            <w:gridSpan w:val="15"/>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Sales Agreement between the Company and A.G.P./Alliance Global Partners (incorporated by reference to Exhibit 10.1 to Form 8-K filed</w:t>
              </w:r>
            </w:hyperlink>
          </w:p>
        </w:tc>
      </w:tr>
      <w:tr>
        <w:trPr>
          <w:trHeight w:val="196"/>
        </w:trPr>
        <w:tc>
          <w:tcPr>
            <w:tcW w:w="12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with the SEC on January 7, 2019).</w:t>
              </w:r>
            </w:hyperlink>
          </w:p>
        </w:tc>
        <w:tc>
          <w:tcPr>
            <w:tcW w:w="750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Contract between U.S. Navy and the Company dated February 11, 2019 (incorporated by reference to Exhibit 10.2 to Form 10-Q filed</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with the SEC on March 11, 2019).</w:t>
              </w:r>
            </w:hyperlink>
          </w:p>
        </w:tc>
      </w:tr>
      <w:tr>
        <w:trPr>
          <w:trHeight w:val="20"/>
        </w:trPr>
        <w:tc>
          <w:tcPr>
            <w:tcW w:w="1240" w:type="dxa"/>
            <w:vAlign w:val="bottom"/>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Warrant Agency Agreement between Ocean Power Technologies, Inc. and Computershare Trust Company, N.A. dated April 8, 2019</w:t>
              </w:r>
            </w:hyperlink>
          </w:p>
        </w:tc>
      </w:tr>
      <w:tr>
        <w:trPr>
          <w:trHeight w:val="196"/>
        </w:trPr>
        <w:tc>
          <w:tcPr>
            <w:tcW w:w="1240" w:type="dxa"/>
            <w:vAlign w:val="bottom"/>
          </w:tcPr>
          <w:p>
            <w:pPr>
              <w:spacing w:after="0"/>
              <w:rPr>
                <w:sz w:val="17"/>
                <w:szCs w:val="17"/>
                <w:color w:val="auto"/>
              </w:rPr>
            </w:pPr>
          </w:p>
        </w:tc>
        <w:tc>
          <w:tcPr>
            <w:tcW w:w="65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to Exhibit 4.1 to Form 8-K filed with the SEC on April 8, 2019.</w:t>
              </w:r>
            </w:hyperlink>
          </w:p>
        </w:tc>
        <w:tc>
          <w:tcPr>
            <w:tcW w:w="3460" w:type="dxa"/>
            <w:vAlign w:val="bottom"/>
            <w:gridSpan w:val="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0000" w:type="dxa"/>
            <w:vAlign w:val="bottom"/>
            <w:gridSpan w:val="15"/>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Contract amendment between Premier Oil UK Limited and the Company dated June 24, 2019 (incorporated by reference to Exhibit 10.1</w:t>
              </w:r>
            </w:hyperlink>
          </w:p>
        </w:tc>
      </w:tr>
      <w:tr>
        <w:trPr>
          <w:trHeight w:val="196"/>
        </w:trPr>
        <w:tc>
          <w:tcPr>
            <w:tcW w:w="12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to Form 8-K filed with the SEC on June 25, 2019).+</w:t>
              </w:r>
            </w:hyperlink>
          </w:p>
        </w:tc>
        <w:tc>
          <w:tcPr>
            <w:tcW w:w="62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Lease Agreement dated March 31, 2017 between Ocean Power Technologies, Inc. and PPH Industrial 28 Engelhard, LLC (incorporated by</w:t>
              </w:r>
            </w:hyperlink>
          </w:p>
        </w:tc>
      </w:tr>
      <w:tr>
        <w:trPr>
          <w:trHeight w:val="222"/>
        </w:trPr>
        <w:tc>
          <w:tcPr>
            <w:tcW w:w="1240" w:type="dxa"/>
            <w:vAlign w:val="bottom"/>
          </w:tcPr>
          <w:p>
            <w:pPr>
              <w:spacing w:after="0"/>
              <w:rPr>
                <w:sz w:val="19"/>
                <w:szCs w:val="19"/>
                <w:color w:val="auto"/>
              </w:rPr>
            </w:pPr>
          </w:p>
        </w:tc>
        <w:tc>
          <w:tcPr>
            <w:tcW w:w="10000" w:type="dxa"/>
            <w:vAlign w:val="bottom"/>
            <w:gridSpan w:val="15"/>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reference from Exhibit 10.37 to the Company’s Annual Report on Form 10-K filed with the SEC on July 22, 2019).</w:t>
              </w:r>
            </w:hyperlink>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10.26+</w:t>
            </w:r>
          </w:p>
        </w:tc>
        <w:tc>
          <w:tcPr>
            <w:tcW w:w="10000" w:type="dxa"/>
            <w:vAlign w:val="bottom"/>
            <w:tcBorders>
              <w:bottom w:val="single" w:sz="8" w:color="0000EE"/>
            </w:tcBorders>
            <w:gridSpan w:val="15"/>
          </w:tcPr>
          <w:p>
            <w:pPr>
              <w:spacing w:after="0" w:line="190"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Supply and Service Contract between the Company and Empresa Electrica Panguipulli S.A. dated September 19, 2019 (incorporated by</w:t>
              </w:r>
            </w:hyperlink>
          </w:p>
        </w:tc>
      </w:tr>
      <w:tr>
        <w:trPr>
          <w:trHeight w:val="196"/>
        </w:trPr>
        <w:tc>
          <w:tcPr>
            <w:tcW w:w="1240" w:type="dxa"/>
            <w:vAlign w:val="bottom"/>
          </w:tcPr>
          <w:p>
            <w:pPr>
              <w:spacing w:after="0"/>
              <w:rPr>
                <w:sz w:val="17"/>
                <w:szCs w:val="17"/>
                <w:color w:val="auto"/>
              </w:rPr>
            </w:pPr>
          </w:p>
        </w:tc>
        <w:tc>
          <w:tcPr>
            <w:tcW w:w="66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reference from Exhibit 10.1 to Current Report on Form 8-K filed on September 23, 2019). +</w:t>
              </w:r>
            </w:hyperlink>
          </w:p>
        </w:tc>
        <w:tc>
          <w:tcPr>
            <w:tcW w:w="3360" w:type="dxa"/>
            <w:vAlign w:val="bottom"/>
            <w:gridSpan w:val="2"/>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10000" w:type="dxa"/>
            <w:vAlign w:val="bottom"/>
            <w:gridSpan w:val="15"/>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Supply and Service Contract between the Company and Enel Green Power Chile LTDA dated September 19, 2019 (incorporated by</w:t>
              </w:r>
            </w:hyperlink>
          </w:p>
        </w:tc>
      </w:tr>
      <w:tr>
        <w:trPr>
          <w:trHeight w:val="196"/>
        </w:trPr>
        <w:tc>
          <w:tcPr>
            <w:tcW w:w="124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reference from Exhibit 10.2 to Current Report on Form 8-K filed on September 23, 2019). +</w:t>
              </w:r>
            </w:hyperlink>
          </w:p>
        </w:tc>
        <w:tc>
          <w:tcPr>
            <w:tcW w:w="3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100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Contract amendment between Eni s.P.a. and the Company dated February 28, 2020 (incorporated by reference from Exhibit 10.1 to the</w:t>
              </w:r>
            </w:hyperlink>
          </w:p>
        </w:tc>
      </w:tr>
      <w:tr>
        <w:trPr>
          <w:trHeight w:val="196"/>
        </w:trPr>
        <w:tc>
          <w:tcPr>
            <w:tcW w:w="12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Company’s Quarterly Report on Form 10-Q filed on March 9, 2020).</w:t>
              </w:r>
            </w:hyperlink>
          </w:p>
        </w:tc>
      </w:tr>
      <w:tr>
        <w:trPr>
          <w:trHeight w:val="20"/>
        </w:trPr>
        <w:tc>
          <w:tcPr>
            <w:tcW w:w="1240" w:type="dxa"/>
            <w:vAlign w:val="bottom"/>
          </w:tcPr>
          <w:p>
            <w:pPr>
              <w:spacing w:after="0" w:line="20" w:lineRule="exact"/>
              <w:rPr>
                <w:sz w:val="1"/>
                <w:szCs w:val="1"/>
                <w:color w:val="auto"/>
              </w:rPr>
            </w:pPr>
          </w:p>
        </w:tc>
        <w:tc>
          <w:tcPr>
            <w:tcW w:w="4960" w:type="dxa"/>
            <w:vAlign w:val="bottom"/>
            <w:gridSpan w:val="9"/>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10000" w:type="dxa"/>
            <w:vAlign w:val="bottom"/>
            <w:gridSpan w:val="15"/>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U.S. Small Business Administration Note dated May 3, 2020 of Ocean Power Technologies, Inc. in favor of Santander Bank, N.A. as the</w:t>
              </w:r>
            </w:hyperlink>
          </w:p>
        </w:tc>
      </w:tr>
      <w:tr>
        <w:trPr>
          <w:trHeight w:val="222"/>
        </w:trPr>
        <w:tc>
          <w:tcPr>
            <w:tcW w:w="1240" w:type="dxa"/>
            <w:vAlign w:val="bottom"/>
          </w:tcPr>
          <w:p>
            <w:pPr>
              <w:spacing w:after="0"/>
              <w:rPr>
                <w:sz w:val="19"/>
                <w:szCs w:val="19"/>
                <w:color w:val="auto"/>
              </w:rPr>
            </w:pPr>
          </w:p>
        </w:tc>
        <w:tc>
          <w:tcPr>
            <w:tcW w:w="998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Lender (incorporated by reference to Exhibit 10.1 to the Company’s Current Report on Form 8-K filed on May 7, 2020).</w:t>
              </w:r>
            </w:hyperlink>
          </w:p>
        </w:tc>
        <w:tc>
          <w:tcPr>
            <w:tcW w:w="20" w:type="dxa"/>
            <w:vAlign w:val="bottom"/>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10.30</w:t>
            </w:r>
          </w:p>
        </w:tc>
        <w:tc>
          <w:tcPr>
            <w:tcW w:w="10000" w:type="dxa"/>
            <w:vAlign w:val="bottom"/>
            <w:tcBorders>
              <w:bottom w:val="single" w:sz="8" w:color="0000EE"/>
            </w:tcBorders>
            <w:gridSpan w:val="15"/>
          </w:tcPr>
          <w:p>
            <w:pPr>
              <w:spacing w:after="0" w:line="190"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Loan Agreement dated May 3, 2020 between Santander Bank, N.A. and Ocean Power Technologies, Inc. (incorporated by reference to</w:t>
              </w:r>
            </w:hyperlink>
          </w:p>
        </w:tc>
      </w:tr>
      <w:tr>
        <w:trPr>
          <w:trHeight w:val="196"/>
        </w:trPr>
        <w:tc>
          <w:tcPr>
            <w:tcW w:w="1240" w:type="dxa"/>
            <w:vAlign w:val="bottom"/>
          </w:tcPr>
          <w:p>
            <w:pPr>
              <w:spacing w:after="0"/>
              <w:rPr>
                <w:sz w:val="17"/>
                <w:szCs w:val="17"/>
                <w:color w:val="auto"/>
              </w:rPr>
            </w:pPr>
          </w:p>
        </w:tc>
        <w:tc>
          <w:tcPr>
            <w:tcW w:w="59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Exhibit 10.2 to the Company’s Current Report on Form 8-K filed on May 7, 2020).</w:t>
              </w:r>
            </w:hyperlink>
          </w:p>
        </w:tc>
        <w:tc>
          <w:tcPr>
            <w:tcW w:w="4020" w:type="dxa"/>
            <w:vAlign w:val="bottom"/>
            <w:gridSpan w:val="5"/>
          </w:tcPr>
          <w:p>
            <w:pPr>
              <w:spacing w:after="0"/>
              <w:rPr>
                <w:sz w:val="17"/>
                <w:szCs w:val="17"/>
                <w:color w:val="auto"/>
              </w:rPr>
            </w:pP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10000" w:type="dxa"/>
            <w:vAlign w:val="bottom"/>
            <w:gridSpan w:val="15"/>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Subsidiaries of the registrant</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gridSpan w:val="15"/>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Consent of KPMG LLP</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15"/>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Certification of Chief Executive Officer</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15"/>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Certification of Chief Financial Officer</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15"/>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Certification of Chief Executive Officer pursuant to Section 906 of Sarbanes-Oxley Act of 2002**</w:t>
              </w:r>
            </w:hyperlink>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15"/>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Certification of Chief Financial Officer pursuant to Section 906 of Sarbanes-Oxley Act of 2002**</w:t>
              </w:r>
            </w:hyperlink>
          </w:p>
        </w:tc>
      </w:tr>
    </w:tbl>
    <w:p>
      <w:pPr>
        <w:jc w:val="both"/>
        <w:ind w:left="1240" w:hanging="1232"/>
        <w:spacing w:after="0" w:line="252"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financial information from Ocean Power Technologies, Inc.’s Annual Report on Form 10-K for the annual period ended April 30, 2020, formatted in eXtensible Business Reporting Language (XBRL): (i) Consolidated Balance Sheets - as of April 30, 2020 and 2019, (ii) Consolidated Statements of Operations - for the years ended April 30, 2020 and 2019, (iii) Consolidated Statements of Comprehensive Loss - for the years ended April 30, 2020 and 2019, (iv) Consolidated Statements of Stockholders’ Equity - for the years ended April 30, 2020 and 2019 (v) Consolidated Statements of Cash Flows - for the years ended April 30, 2020 and 2019, (vi) Notes to Consolidated Financial Statements.***</w:t>
      </w:r>
    </w:p>
    <w:p>
      <w:pPr>
        <w:spacing w:after="0" w:line="194" w:lineRule="exact"/>
        <w:rPr>
          <w:sz w:val="20"/>
          <w:szCs w:val="20"/>
          <w:color w:val="auto"/>
        </w:rPr>
      </w:pPr>
    </w:p>
    <w:p>
      <w:pPr>
        <w:ind w:left="500" w:right="5440" w:firstLine="3"/>
        <w:spacing w:after="0" w:line="308" w:lineRule="auto"/>
        <w:tabs>
          <w:tab w:leader="none" w:pos="647"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Indicates that confidential treatment has been requested for this exhibit. * Management contract or compensatory plan or arrangement.</w:t>
      </w:r>
    </w:p>
    <w:p>
      <w:pPr>
        <w:spacing w:after="0" w:line="146" w:lineRule="exact"/>
        <w:rPr>
          <w:sz w:val="20"/>
          <w:szCs w:val="20"/>
          <w:color w:val="auto"/>
        </w:rPr>
      </w:pPr>
    </w:p>
    <w:p>
      <w:pPr>
        <w:jc w:val="both"/>
        <w:ind w:left="500" w:firstLine="3"/>
        <w:spacing w:after="0" w:line="263" w:lineRule="auto"/>
        <w:tabs>
          <w:tab w:leader="none" w:pos="7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3" w:lineRule="exact"/>
        <w:rPr>
          <w:rFonts w:ascii="Arial" w:cs="Arial" w:eastAsia="Arial" w:hAnsi="Arial"/>
          <w:sz w:val="18"/>
          <w:szCs w:val="18"/>
          <w:color w:val="auto"/>
        </w:rPr>
      </w:pPr>
    </w:p>
    <w:p>
      <w:pPr>
        <w:jc w:val="both"/>
        <w:ind w:left="500" w:firstLine="3"/>
        <w:spacing w:after="0" w:line="263" w:lineRule="auto"/>
        <w:tabs>
          <w:tab w:leader="none" w:pos="8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060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OCEAN POWER TECHNOLOGIES, INC. AND SUBSIDIARIES</w:t>
            </w:r>
          </w:p>
        </w:tc>
        <w:tc>
          <w:tcPr>
            <w:tcW w:w="640" w:type="dxa"/>
            <w:vAlign w:val="bottom"/>
          </w:tcPr>
          <w:p>
            <w:pPr>
              <w:spacing w:after="0"/>
              <w:rPr>
                <w:sz w:val="20"/>
                <w:szCs w:val="20"/>
                <w:color w:val="auto"/>
              </w:rPr>
            </w:pPr>
          </w:p>
        </w:tc>
      </w:tr>
      <w:tr>
        <w:trPr>
          <w:trHeight w:val="418"/>
        </w:trPr>
        <w:tc>
          <w:tcPr>
            <w:tcW w:w="1060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640" w:type="dxa"/>
            <w:vAlign w:val="bottom"/>
          </w:tcPr>
          <w:p>
            <w:pPr>
              <w:spacing w:after="0"/>
              <w:rPr>
                <w:sz w:val="24"/>
                <w:szCs w:val="24"/>
                <w:color w:val="auto"/>
              </w:rPr>
            </w:pPr>
          </w:p>
        </w:tc>
      </w:tr>
      <w:tr>
        <w:trPr>
          <w:trHeight w:val="439"/>
        </w:trPr>
        <w:tc>
          <w:tcPr>
            <w:tcW w:w="106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Reports of Management</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Reports of Independent Registered Public Accounting Firm</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Balance Sheets, April 30, 2020 and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Operations, twelve months ended April 30, 2020 and 2019</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Comprehensive Loss, twelve months ended April 30, 2020 and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Stockholders’ Equity, twelve months ended April 30, 2020 and 2019</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216"/>
        </w:trPr>
        <w:tc>
          <w:tcPr>
            <w:tcW w:w="10600" w:type="dxa"/>
            <w:vAlign w:val="bottom"/>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Cash Flows, twelve months ended April 30, 2020 and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F-8</w:t>
            </w:r>
          </w:p>
        </w:tc>
      </w:tr>
      <w:tr>
        <w:trPr>
          <w:trHeight w:val="230"/>
        </w:trPr>
        <w:tc>
          <w:tcPr>
            <w:tcW w:w="1060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Notes to Consolidated Financial Statements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425"/>
        </w:trPr>
        <w:tc>
          <w:tcPr>
            <w:tcW w:w="106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8"/>
              </w:rPr>
              <w:t>F-1</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Reports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92"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187" w:lineRule="exact"/>
        <w:rPr>
          <w:sz w:val="20"/>
          <w:szCs w:val="20"/>
          <w:color w:val="auto"/>
        </w:rPr>
      </w:pPr>
    </w:p>
    <w:p>
      <w:pPr>
        <w:ind w:left="660" w:hanging="652"/>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April 30,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April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Ocean Power Technologies, Inc. and subsidiaries (the Company) as of April 30, 2020 and 2019, the related consolidated statements of operations,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April 30, 2020 and 2019, and the results of its operations and its cash flows for the years then ended,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2(n) to the consolidated financial statements, the Company has changed its method of accounting for leases as of May 1, 2019 due to the adoption of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the related amendments.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1(b) to the consolidated financial statements, the Company has suffered recurring losses from operations and has an accumulated deficit that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640"/>
              <w:spacing w:after="0"/>
              <w:rPr>
                <w:sz w:val="20"/>
                <w:szCs w:val="20"/>
                <w:color w:val="auto"/>
              </w:rPr>
            </w:pPr>
            <w:r>
              <w:rPr>
                <w:rFonts w:ascii="Arial" w:cs="Arial" w:eastAsia="Arial" w:hAnsi="Arial"/>
                <w:sz w:val="18"/>
                <w:szCs w:val="18"/>
                <w:color w:val="auto"/>
              </w:rPr>
              <w:t>April 30, 2020</w:t>
            </w:r>
          </w:p>
        </w:tc>
        <w:tc>
          <w:tcPr>
            <w:tcW w:w="2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April 30, 2019</w:t>
            </w:r>
          </w:p>
        </w:tc>
      </w:tr>
      <w:tr>
        <w:trPr>
          <w:trHeight w:val="216"/>
        </w:trPr>
        <w:tc>
          <w:tcPr>
            <w:tcW w:w="7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11,653</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17,619</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asset, net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long-term</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57"/>
        </w:trPr>
        <w:tc>
          <w:tcPr>
            <w:tcW w:w="74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13,538</w:t>
            </w:r>
          </w:p>
        </w:tc>
        <w:tc>
          <w:tcPr>
            <w:tcW w:w="3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ind w:left="2020"/>
              <w:spacing w:after="0" w:line="19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contract liabilities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1,902</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2,444</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liability</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Long term portion of contract liabilities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3,045</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$0.001 par value; authorized 5,000,000 shares, none</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issued or outstanding</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$0.001 par value; authorized 100,000,000 shares, issued 12,939,420 and</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5,425,517 shares, respectively</w:t>
            </w: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Treasury stock, at cost; 4,251 and 3,770 shares, respectively</w:t>
            </w:r>
          </w:p>
        </w:tc>
        <w:tc>
          <w:tcPr>
            <w:tcW w:w="20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231,101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226,026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(220,136)</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(209,784)</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10,493</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15,775</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7"/>
              </w:rPr>
              <w:t>Twelve months ended April 30,</w:t>
            </w:r>
          </w:p>
        </w:tc>
      </w:tr>
      <w:tr>
        <w:trPr>
          <w:trHeight w:val="236"/>
        </w:trPr>
        <w:tc>
          <w:tcPr>
            <w:tcW w:w="6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1,682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r>
      <w:tr>
        <w:trPr>
          <w:trHeight w:val="236"/>
        </w:trPr>
        <w:tc>
          <w:tcPr>
            <w:tcW w:w="670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1,787</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20"/>
                <w:szCs w:val="20"/>
                <w:color w:val="auto"/>
              </w:rPr>
            </w:pPr>
          </w:p>
        </w:tc>
      </w:tr>
      <w:tr>
        <w:trPr>
          <w:trHeight w:val="223"/>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4,344</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4,984</w:t>
            </w:r>
          </w:p>
        </w:tc>
        <w:tc>
          <w:tcPr>
            <w:tcW w:w="80" w:type="dxa"/>
            <w:vAlign w:val="bottom"/>
          </w:tcPr>
          <w:p>
            <w:pPr>
              <w:spacing w:after="0"/>
              <w:rPr>
                <w:sz w:val="18"/>
                <w:szCs w:val="18"/>
                <w:color w:val="auto"/>
              </w:rPr>
            </w:pPr>
          </w:p>
        </w:tc>
      </w:tr>
      <w:tr>
        <w:trPr>
          <w:trHeight w:val="24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6,916</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80" w:type="dxa"/>
            <w:vAlign w:val="bottom"/>
            <w:shd w:val="clear" w:color="auto" w:fill="CCEEFF"/>
          </w:tcPr>
          <w:p>
            <w:pPr>
              <w:spacing w:after="0"/>
              <w:rPr>
                <w:sz w:val="21"/>
                <w:szCs w:val="21"/>
                <w:color w:val="auto"/>
              </w:rPr>
            </w:pPr>
          </w:p>
        </w:tc>
      </w:tr>
      <w:tr>
        <w:trPr>
          <w:trHeight w:val="210"/>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11,260</w:t>
            </w:r>
          </w:p>
        </w:tc>
        <w:tc>
          <w:tcPr>
            <w:tcW w:w="3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12,600</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gridSpan w:val="2"/>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r>
      <w:tr>
        <w:trPr>
          <w:trHeight w:val="24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03"/>
        </w:trPr>
        <w:tc>
          <w:tcPr>
            <w:tcW w:w="6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9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(11,247)</w:t>
            </w:r>
          </w:p>
        </w:tc>
        <w:tc>
          <w:tcPr>
            <w:tcW w:w="3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(13,096)</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895</w:t>
            </w:r>
          </w:p>
        </w:tc>
        <w:tc>
          <w:tcPr>
            <w:tcW w:w="36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57"/>
        </w:trPr>
        <w:tc>
          <w:tcPr>
            <w:tcW w:w="67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6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9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7,209,732</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6"/>
          </w:tcPr>
          <w:p>
            <w:pPr>
              <w:jc w:val="right"/>
              <w:ind w:right="581"/>
              <w:spacing w:after="0"/>
              <w:rPr>
                <w:sz w:val="20"/>
                <w:szCs w:val="20"/>
                <w:color w:val="auto"/>
              </w:rPr>
            </w:pPr>
            <w:r>
              <w:rPr>
                <w:rFonts w:ascii="Arial" w:cs="Arial" w:eastAsia="Arial" w:hAnsi="Arial"/>
                <w:sz w:val="18"/>
                <w:szCs w:val="18"/>
                <w:b w:val="1"/>
                <w:bCs w:val="1"/>
                <w:color w:val="auto"/>
              </w:rPr>
              <w:t>Twelve months ended April 30,</w:t>
            </w:r>
          </w:p>
        </w:tc>
      </w:tr>
      <w:tr>
        <w:trPr>
          <w:trHeight w:val="236"/>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(10,352)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(12,246)</w:t>
            </w: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(10,364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7"/>
          <w:szCs w:val="17"/>
          <w:b w:val="1"/>
          <w:bCs w:val="1"/>
          <w:color w:val="auto"/>
        </w:rPr>
        <w:t>OCEAN POWER TECHNOLOGIES,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31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98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Shares</w:t>
            </w:r>
          </w:p>
        </w:tc>
        <w:tc>
          <w:tcPr>
            <w:tcW w:w="19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Treasury Shares</w:t>
            </w: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80" w:type="dxa"/>
            <w:vAlign w:val="bottom"/>
            <w:gridSpan w:val="4"/>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left="28"/>
              <w:spacing w:after="0" w:line="158" w:lineRule="exact"/>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780" w:type="dxa"/>
            <w:vAlign w:val="bottom"/>
            <w:tcBorders>
              <w:top w:val="single" w:sz="8" w:color="auto"/>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color w:val="auto"/>
              </w:rPr>
              <w:t>Balance at May 1, 2018</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921,247</w:t>
            </w:r>
          </w:p>
        </w:tc>
        <w:tc>
          <w:tcPr>
            <w:tcW w:w="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(3,701)</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19"/>
              <w:spacing w:after="0"/>
              <w:rPr>
                <w:sz w:val="20"/>
                <w:szCs w:val="20"/>
                <w:color w:val="auto"/>
              </w:rPr>
            </w:pPr>
            <w:r>
              <w:rPr>
                <w:rFonts w:ascii="Arial" w:cs="Arial" w:eastAsia="Arial" w:hAnsi="Arial"/>
                <w:sz w:val="14"/>
                <w:szCs w:val="14"/>
                <w:color w:val="auto"/>
              </w:rPr>
              <w:t>(300)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208,233</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(197,538)</w:t>
            </w: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(12,246)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(forfeiture) of restricted stock, net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Exercise of prefunded warrants, net of issuance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2,632,120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Common stock issued for commitment fee- Aspire</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21,429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of common stock- Aspire financing,</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net of issuance 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162,162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of common stock- AGP At The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Market offering, net of issuance 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151,561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of common stock, common and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pre-funded warants, net of issuance 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1,542,000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line="155" w:lineRule="exact"/>
              <w:rPr>
                <w:sz w:val="20"/>
                <w:szCs w:val="20"/>
                <w:color w:val="auto"/>
              </w:rPr>
            </w:pPr>
            <w:r>
              <w:rPr>
                <w:rFonts w:ascii="Arial" w:cs="Arial" w:eastAsia="Arial" w:hAnsi="Arial"/>
                <w:sz w:val="14"/>
                <w:szCs w:val="14"/>
                <w:color w:val="auto"/>
              </w:rPr>
              <w:t>Balance, April 30,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5,425,517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(3,770</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(209,784</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line="151"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1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Arial" w:cs="Arial" w:eastAsia="Arial" w:hAnsi="Arial"/>
                <w:sz w:val="12"/>
                <w:szCs w:val="12"/>
                <w:color w:val="auto"/>
              </w:rPr>
              <w:t>(10,352)</w:t>
            </w:r>
          </w:p>
        </w:tc>
        <w:tc>
          <w:tcPr>
            <w:tcW w:w="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(forfeiture) of restricted stock, net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64,928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Exercise of prefunded warrants, net of issuance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753,560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Common stock issued for commitment fee- Aspire</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194,805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of common stock- Aspire financing,</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net of issuance 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1,399,205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Issuance of common stock- AGP At The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40"/>
              <w:spacing w:after="0" w:line="149" w:lineRule="exact"/>
              <w:rPr>
                <w:sz w:val="20"/>
                <w:szCs w:val="20"/>
                <w:color w:val="auto"/>
              </w:rPr>
            </w:pPr>
            <w:r>
              <w:rPr>
                <w:rFonts w:ascii="Arial" w:cs="Arial" w:eastAsia="Arial" w:hAnsi="Arial"/>
                <w:sz w:val="14"/>
                <w:szCs w:val="14"/>
                <w:color w:val="auto"/>
              </w:rPr>
              <w:t>Market offering, net of issuance costs</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5,101,405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Acquisition of treasury stock</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(481)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19"/>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-2506980</wp:posOffset>
            </wp:positionV>
            <wp:extent cx="713232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-2318385</wp:posOffset>
            </wp:positionV>
            <wp:extent cx="71323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-2035175</wp:posOffset>
            </wp:positionV>
            <wp:extent cx="7132320" cy="93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-1846580</wp:posOffset>
            </wp:positionV>
            <wp:extent cx="7132320"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-1657985</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-1469390</wp:posOffset>
            </wp:positionV>
            <wp:extent cx="7132320" cy="93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-843915</wp:posOffset>
            </wp:positionV>
            <wp:extent cx="71323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-1049655</wp:posOffset>
            </wp:positionV>
            <wp:extent cx="7132320"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-1280795</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10,236</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(12,246)</w:t>
      </w:r>
    </w:p>
    <w:p>
      <w:pPr>
        <w:jc w:val="right"/>
        <w:ind w:right="100"/>
        <w:spacing w:after="0" w:line="227" w:lineRule="auto"/>
        <w:rPr>
          <w:sz w:val="20"/>
          <w:szCs w:val="20"/>
          <w:color w:val="auto"/>
        </w:rPr>
      </w:pPr>
      <w:r>
        <w:rPr>
          <w:rFonts w:ascii="Arial" w:cs="Arial" w:eastAsia="Arial" w:hAnsi="Arial"/>
          <w:sz w:val="14"/>
          <w:szCs w:val="14"/>
          <w:color w:val="auto"/>
        </w:rPr>
        <w:t>295</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t>
      </w:r>
    </w:p>
    <w:p>
      <w:pPr>
        <w:spacing w:after="0" w:line="124"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20</w:t>
      </w:r>
    </w:p>
    <w:p>
      <w:pPr>
        <w:ind w:left="240"/>
        <w:spacing w:after="0"/>
        <w:rPr>
          <w:sz w:val="20"/>
          <w:szCs w:val="20"/>
          <w:color w:val="auto"/>
        </w:rPr>
      </w:pPr>
      <w:r>
        <w:rPr>
          <w:rFonts w:ascii="Arial" w:cs="Arial" w:eastAsia="Arial" w:hAnsi="Arial"/>
          <w:sz w:val="14"/>
          <w:szCs w:val="14"/>
          <w:color w:val="auto"/>
        </w:rPr>
        <w:t>295</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593</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882</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15,712</w:t>
      </w:r>
    </w:p>
    <w:p>
      <w:pPr>
        <w:jc w:val="right"/>
        <w:ind w:right="60"/>
        <w:spacing w:after="0" w:line="221" w:lineRule="auto"/>
        <w:rPr>
          <w:sz w:val="20"/>
          <w:szCs w:val="20"/>
          <w:color w:val="auto"/>
        </w:rPr>
      </w:pPr>
      <w:r>
        <w:rPr>
          <w:rFonts w:ascii="Arial" w:cs="Arial" w:eastAsia="Arial" w:hAnsi="Arial"/>
          <w:sz w:val="14"/>
          <w:szCs w:val="14"/>
          <w:color w:val="auto"/>
        </w:rPr>
        <w:t>(1)</w:t>
      </w:r>
    </w:p>
    <w:p>
      <w:pPr>
        <w:jc w:val="right"/>
        <w:ind w:right="60"/>
        <w:spacing w:after="0"/>
        <w:rPr>
          <w:sz w:val="20"/>
          <w:szCs w:val="20"/>
          <w:color w:val="auto"/>
        </w:rPr>
      </w:pPr>
      <w:r>
        <w:rPr>
          <w:rFonts w:ascii="Arial" w:cs="Arial" w:eastAsia="Arial" w:hAnsi="Arial"/>
          <w:sz w:val="14"/>
          <w:szCs w:val="14"/>
          <w:color w:val="auto"/>
        </w:rPr>
        <w:t>(11)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3810</wp:posOffset>
            </wp:positionV>
            <wp:extent cx="539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(10,352)</w:t>
      </w:r>
    </w:p>
    <w:p>
      <w:pPr>
        <w:jc w:val="right"/>
        <w:ind w:right="100"/>
        <w:spacing w:after="0" w:line="237" w:lineRule="auto"/>
        <w:rPr>
          <w:sz w:val="20"/>
          <w:szCs w:val="20"/>
          <w:color w:val="auto"/>
        </w:rPr>
      </w:pPr>
      <w:r>
        <w:rPr>
          <w:rFonts w:ascii="Arial" w:cs="Arial" w:eastAsia="Arial" w:hAnsi="Arial"/>
          <w:sz w:val="14"/>
          <w:szCs w:val="14"/>
          <w:color w:val="auto"/>
        </w:rPr>
        <w:t>340</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t>
      </w:r>
    </w:p>
    <w:p>
      <w:pPr>
        <w:spacing w:after="0" w:line="1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(16)</w:t>
      </w:r>
    </w:p>
    <w:p>
      <w:pPr>
        <w:ind w:left="240"/>
        <w:spacing w:after="0"/>
        <w:rPr>
          <w:sz w:val="20"/>
          <w:szCs w:val="20"/>
          <w:color w:val="auto"/>
        </w:rPr>
      </w:pPr>
      <w:r>
        <w:rPr>
          <w:rFonts w:ascii="Arial" w:cs="Arial" w:eastAsia="Arial" w:hAnsi="Arial"/>
          <w:sz w:val="14"/>
          <w:szCs w:val="14"/>
          <w:color w:val="auto"/>
        </w:rPr>
        <w:t>295</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1,021</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3,443</w:t>
      </w:r>
    </w:p>
    <w:p>
      <w:pPr>
        <w:jc w:val="right"/>
        <w:ind w:right="60"/>
        <w:spacing w:after="0" w:line="221" w:lineRule="auto"/>
        <w:rPr>
          <w:sz w:val="20"/>
          <w:szCs w:val="20"/>
          <w:color w:val="auto"/>
        </w:rPr>
      </w:pPr>
      <w:r>
        <w:rPr>
          <w:rFonts w:ascii="Arial" w:cs="Arial" w:eastAsia="Arial" w:hAnsi="Arial"/>
          <w:sz w:val="14"/>
          <w:szCs w:val="14"/>
          <w:color w:val="auto"/>
        </w:rPr>
        <w:t>(1)</w:t>
      </w:r>
    </w:p>
    <w:p>
      <w:pPr>
        <w:spacing w:after="0" w:line="1" w:lineRule="exact"/>
        <w:rPr>
          <w:sz w:val="20"/>
          <w:szCs w:val="20"/>
          <w:color w:val="auto"/>
        </w:rPr>
      </w:pPr>
    </w:p>
    <w:p>
      <w:pPr>
        <w:sectPr>
          <w:pgSz w:w="11900" w:h="16838" w:orient="portrait"/>
          <w:cols w:equalWidth="0" w:num="2">
            <w:col w:w="10120" w:space="560"/>
            <w:col w:w="56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r>
      <w:tr>
        <w:trPr>
          <w:trHeight w:val="27"/>
        </w:trPr>
        <w:tc>
          <w:tcPr>
            <w:tcW w:w="31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4"/>
                <w:szCs w:val="14"/>
                <w:color w:val="auto"/>
              </w:rPr>
              <w:t>Balance, April 30, 2020</w:t>
            </w:r>
          </w:p>
        </w:tc>
        <w:tc>
          <w:tcPr>
            <w:tcW w:w="780" w:type="dxa"/>
            <w:vAlign w:val="bottom"/>
          </w:tcPr>
          <w:p>
            <w:pPr>
              <w:jc w:val="right"/>
              <w:spacing w:after="0"/>
              <w:rPr>
                <w:sz w:val="20"/>
                <w:szCs w:val="20"/>
                <w:color w:val="auto"/>
              </w:rPr>
            </w:pPr>
            <w:r>
              <w:rPr>
                <w:rFonts w:ascii="Arial" w:cs="Arial" w:eastAsia="Arial" w:hAnsi="Arial"/>
                <w:sz w:val="14"/>
                <w:szCs w:val="14"/>
                <w:color w:val="auto"/>
              </w:rPr>
              <w:t>12,939,420</w:t>
            </w:r>
          </w:p>
        </w:tc>
        <w:tc>
          <w:tcPr>
            <w:tcW w:w="10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13</w:t>
            </w:r>
          </w:p>
        </w:tc>
        <w:tc>
          <w:tcPr>
            <w:tcW w:w="1280" w:type="dxa"/>
            <w:vAlign w:val="bottom"/>
            <w:gridSpan w:val="3"/>
          </w:tcPr>
          <w:p>
            <w:pPr>
              <w:jc w:val="right"/>
              <w:ind w:right="220"/>
              <w:spacing w:after="0" w:line="230" w:lineRule="exact"/>
              <w:rPr>
                <w:sz w:val="20"/>
                <w:szCs w:val="20"/>
                <w:color w:val="auto"/>
              </w:rPr>
            </w:pPr>
            <w:r>
              <w:rPr>
                <w:rFonts w:ascii="Arial" w:cs="Arial" w:eastAsia="Arial" w:hAnsi="Arial"/>
                <w:sz w:val="14"/>
                <w:szCs w:val="14"/>
                <w:color w:val="auto"/>
              </w:rPr>
              <w:t>(4,251</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p>
        </w:tc>
        <w:tc>
          <w:tcPr>
            <w:tcW w:w="880" w:type="dxa"/>
            <w:vAlign w:val="bottom"/>
            <w:gridSpan w:val="3"/>
          </w:tcPr>
          <w:p>
            <w:pPr>
              <w:jc w:val="right"/>
              <w:ind w:right="120"/>
              <w:spacing w:after="0" w:line="230" w:lineRule="exact"/>
              <w:rPr>
                <w:sz w:val="20"/>
                <w:szCs w:val="20"/>
                <w:color w:val="auto"/>
              </w:rPr>
            </w:pPr>
            <w:r>
              <w:rPr>
                <w:rFonts w:ascii="Arial" w:cs="Arial" w:eastAsia="Arial" w:hAnsi="Arial"/>
                <w:sz w:val="14"/>
                <w:szCs w:val="14"/>
                <w:color w:val="auto"/>
              </w:rPr>
              <w:t>(302</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231,101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300"/>
              <w:spacing w:after="0" w:line="230" w:lineRule="exact"/>
              <w:rPr>
                <w:sz w:val="20"/>
                <w:szCs w:val="20"/>
                <w:color w:val="auto"/>
              </w:rPr>
            </w:pPr>
            <w:r>
              <w:rPr>
                <w:rFonts w:ascii="Arial" w:cs="Arial" w:eastAsia="Arial" w:hAnsi="Arial"/>
                <w:sz w:val="14"/>
                <w:szCs w:val="14"/>
                <w:color w:val="auto"/>
              </w:rPr>
              <w:t>(220,136</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p>
        </w:tc>
        <w:tc>
          <w:tcPr>
            <w:tcW w:w="780" w:type="dxa"/>
            <w:vAlign w:val="bottom"/>
            <w:gridSpan w:val="2"/>
          </w:tcPr>
          <w:p>
            <w:pPr>
              <w:jc w:val="right"/>
              <w:ind w:right="160"/>
              <w:spacing w:after="0" w:line="230" w:lineRule="exact"/>
              <w:rPr>
                <w:sz w:val="20"/>
                <w:szCs w:val="20"/>
                <w:color w:val="auto"/>
              </w:rPr>
            </w:pPr>
            <w:r>
              <w:rPr>
                <w:rFonts w:ascii="Arial" w:cs="Arial" w:eastAsia="Arial" w:hAnsi="Arial"/>
                <w:sz w:val="14"/>
                <w:szCs w:val="14"/>
                <w:color w:val="auto"/>
              </w:rPr>
              <w:t>(183</w:t>
            </w:r>
            <w:r>
              <w:rPr>
                <w:rFonts w:ascii="Arial" w:cs="Arial" w:eastAsia="Arial" w:hAnsi="Arial"/>
                <w:sz w:val="26"/>
                <w:szCs w:val="26"/>
                <w:color w:val="auto"/>
                <w:vertAlign w:val="superscript"/>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10,493</w:t>
            </w:r>
          </w:p>
        </w:tc>
        <w:tc>
          <w:tcPr>
            <w:tcW w:w="10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6"/>
          </w:tcPr>
          <w:p>
            <w:pPr>
              <w:jc w:val="right"/>
              <w:ind w:right="581"/>
              <w:spacing w:after="0"/>
              <w:rPr>
                <w:sz w:val="20"/>
                <w:szCs w:val="20"/>
                <w:color w:val="auto"/>
              </w:rPr>
            </w:pPr>
            <w:r>
              <w:rPr>
                <w:rFonts w:ascii="Arial" w:cs="Arial" w:eastAsia="Arial" w:hAnsi="Arial"/>
                <w:sz w:val="18"/>
                <w:szCs w:val="18"/>
                <w:b w:val="1"/>
                <w:bCs w:val="1"/>
                <w:color w:val="auto"/>
              </w:rPr>
              <w:t>Twelve months ended April 30,</w:t>
            </w:r>
          </w:p>
        </w:tc>
      </w:tr>
      <w:tr>
        <w:trPr>
          <w:trHeight w:val="236"/>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w w:val="92"/>
              </w:rPr>
              <w:t>(10,352)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(12,246)</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55</w:t>
            </w: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180</w:t>
            </w: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Amortization of right of use asset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295</w:t>
            </w: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Gain due to the change in fair value of warrant 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108</w:t>
            </w:r>
          </w:p>
        </w:tc>
      </w:tr>
      <w:tr>
        <w:trPr>
          <w:trHeight w:val="216"/>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Unbilled receivables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w:t>
            </w: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325</w:t>
            </w: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23</w:t>
            </w:r>
          </w:p>
        </w:tc>
      </w:tr>
      <w:tr>
        <w:trPr>
          <w:trHeight w:val="216"/>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(585)</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credit payable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 in lease liability</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54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188</w:t>
            </w:r>
          </w:p>
        </w:tc>
      </w:tr>
      <w:tr>
        <w:trPr>
          <w:trHeight w:val="236"/>
        </w:trPr>
        <w:tc>
          <w:tcPr>
            <w:tcW w:w="74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(10,579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6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50</w:t>
            </w:r>
          </w:p>
        </w:tc>
      </w:tr>
      <w:tr>
        <w:trPr>
          <w:trHeight w:val="25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computers, equipment and furniture</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746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w w:val="91"/>
              </w:rPr>
              <w:t>Proceeds from issuance of common stock, common and pre-funded warrants, net of issuance costs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15,712</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1,021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593</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w w:val="97"/>
              </w:rPr>
              <w:t>Proceeds from issuance of common stock- AGP At The Market offering, net of issuance costs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3,443</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882</w:t>
            </w: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(costs) associated with exercise of pre-funded warrants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Payment of capital lease obligations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49"/>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46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4,447</w:t>
            </w:r>
          </w:p>
        </w:tc>
        <w:tc>
          <w:tcPr>
            <w:tcW w:w="3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17,183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460" w:type="dxa"/>
            <w:vAlign w:val="bottom"/>
          </w:tcPr>
          <w:p>
            <w:pPr>
              <w:ind w:left="720"/>
              <w:spacing w:after="0" w:line="203" w:lineRule="exact"/>
              <w:rPr>
                <w:sz w:val="20"/>
                <w:szCs w:val="20"/>
                <w:color w:val="auto"/>
              </w:rPr>
            </w:pPr>
            <w:r>
              <w:rPr>
                <w:rFonts w:ascii="Arial" w:cs="Arial" w:eastAsia="Arial" w:hAnsi="Arial"/>
                <w:sz w:val="18"/>
                <w:szCs w:val="18"/>
                <w:color w:val="auto"/>
              </w:rPr>
              <w:t>Net decrease in cash, cash equivalents and restricted cash</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98"/>
              </w:rPr>
              <w:t>(6,229)</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4,934</w:t>
            </w:r>
          </w:p>
        </w:tc>
        <w:tc>
          <w:tcPr>
            <w:tcW w:w="100" w:type="dxa"/>
            <w:vAlign w:val="bottom"/>
          </w:tcPr>
          <w:p>
            <w:pPr>
              <w:spacing w:after="0"/>
              <w:rPr>
                <w:sz w:val="17"/>
                <w:szCs w:val="17"/>
                <w:color w:val="auto"/>
              </w:rPr>
            </w:pPr>
          </w:p>
        </w:tc>
      </w:tr>
      <w:tr>
        <w:trPr>
          <w:trHeight w:val="25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17,159</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12,225</w:t>
            </w:r>
          </w:p>
        </w:tc>
      </w:tr>
      <w:tr>
        <w:trPr>
          <w:trHeight w:val="256"/>
        </w:trPr>
        <w:tc>
          <w:tcPr>
            <w:tcW w:w="74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32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2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r>
      <w:tr>
        <w:trPr>
          <w:trHeight w:val="216"/>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2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computers, equipment and furniture through accounts payable</w:t>
            </w:r>
          </w:p>
        </w:tc>
        <w:tc>
          <w:tcPr>
            <w:tcW w:w="12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r>
      <w:tr>
        <w:trPr>
          <w:trHeight w:val="216"/>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rPr>
              <w:t>Common stock issued for payment of commitment fee</w:t>
            </w:r>
          </w:p>
        </w:tc>
        <w:tc>
          <w:tcPr>
            <w:tcW w:w="12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295</w:t>
            </w:r>
          </w:p>
        </w:tc>
      </w:tr>
    </w:tbl>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492"/>
        <w:spacing w:after="0" w:line="269" w:lineRule="auto"/>
        <w:rPr>
          <w:sz w:val="20"/>
          <w:szCs w:val="20"/>
          <w:color w:val="auto"/>
        </w:rPr>
      </w:pPr>
      <w:r>
        <w:rPr>
          <w:rFonts w:ascii="Arial" w:cs="Arial" w:eastAsia="Arial" w:hAnsi="Arial"/>
          <w:sz w:val="17"/>
          <w:szCs w:val="17"/>
          <w:color w:val="auto"/>
        </w:rPr>
        <w:t>Ocean Power Technologies, Inc. (the “Company”) was founded in 1984 in New Jersey, commenced business operations in 1994 and re-incorporated in Delaware in 2007. We are a complete solutions provider, controlling the design, manufacturing, sales, installation, operations and maintenance of our products while working closely with partners that provide payloads, integration services, and marine installation capabilities. Our solutions provide distributed offshore power which is persistent, reliable, and economical along with power and communications for remote surface and subsea applications. Our mission and purpose is to utilize our proprietary, state-of-the-art technologies to reduce the global carbon footprint by providing renewable energy solutions for reliable electrical power and, in so doing, drive demand for our products and services, thus realizing positive stockholder returns. Since fiscal 2002, government agencies have accounted for a significant portion of the Company’s revenues. These revenues were largely for the support of product development efforts relating to our technology. Today our goal is to generate the majority of our revenue from the sale or lease of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solutions, products and services.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Liquidity/Going Concern</w:t>
      </w:r>
    </w:p>
    <w:p>
      <w:pPr>
        <w:spacing w:after="0" w:line="225"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Our consolidated financial statements have been prepared assuming the Company will continue as a going concern. The Company has experienced substantial and recurring losses from operations, which have contributed to an accumulated deficit of $220.1 million at April 30, 2020. At April 30, 2020, the Company had approximately $10.9 million in cash, cash equivalents and restricted cash on hand. On May 5, 2020 the Company received $0.9 million proceeds from the PPP Loan (see Note 17 to these Consolidated Financial Statements for more information). The Company generated revenues of only $1.7 million and $0.6 million during the years ended April 30, 2020 and 2019, respectively. Based on the Company’s cash, cash equivalents and restricted cash balances as of April 30, 2020 plus the subsequent proceeds from the PPP Loan, the Company believes that it will be able to finance its capital requirements and operations into the quarter ending April 30, 2021.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6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and /or new investors, officers and directors; borrowings of debt; a public offering of the Company’s equity or debt securities; partnerships and/or collaborations. There can be no assurance that any of these future-funding efforts will be successful.</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fiscal 2020 and 2019,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the impact of COVID-19 on its business, performance of its products, its inability to market and commercialize its products and new products that it may develop,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currently has committed sources of equity financing through its At the Market Offering Agreement with A.G.P/Alliance Global Partners (“AGP”) and the Aspire Capital financing (each discussed further below), but the Company cannot be 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both"/>
        <w:ind w:firstLine="486"/>
        <w:spacing w:after="0" w:line="271" w:lineRule="auto"/>
        <w:rPr>
          <w:sz w:val="20"/>
          <w:szCs w:val="20"/>
          <w:color w:val="auto"/>
        </w:rPr>
      </w:pPr>
      <w:r>
        <w:rPr>
          <w:rFonts w:ascii="Arial" w:cs="Arial" w:eastAsia="Arial" w:hAnsi="Arial"/>
          <w:sz w:val="17"/>
          <w:szCs w:val="17"/>
          <w:color w:val="auto"/>
        </w:rPr>
        <w:t>On August 13, 2018, the Company entered into a common stock purchase agreement with Aspire Capital Fund, LLC (“Aspire Capital”) which provided that, subject to certain terms, conditions and limitations, Aspire Capital was committed to purchase up to an aggregate of $10.0 million of shares of the Company’s common stock over a 30-month period that did not exceed 19.99% of the outstanding common stock on the date of the agreement. The number of shares the Company could issue within the 19.99% is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our common stock as a commitment fee. The agreement was cancelled on October 24, 2019, and as of that date, the Company had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including shares issued as a commitment fee. At the 2019 annual meeting of stockholders, held on December 20, 2019, the Company’s stockholders approved an additional 5,400,000 shares to be issued pursuant to the common stock purchase agreement in excess of the 19.99% limit. In consideration for entering into the agreement, the Company issued to Aspire Capital 194,805 shares of our common stock as a commitment fee. As of April 30, 2020, the Company has sold 1,399,205 shares of common stock with an aggregate market value of approximately $1.1 million at an average price of $0.82 per share pursuant to this common stock purchase agreement.</w:t>
      </w:r>
    </w:p>
    <w:p>
      <w:pPr>
        <w:spacing w:after="0" w:line="16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As part of the public offering, the Company also sold prefunded warrants to purchase up to 3,385,680 shares of common stock and common warrants to purchase up to 4,927,680 shares of our common stock. The net proceeds to the Company from the offering were approximately $15.7 million, after deducting underwriter fees and offering expenses payable by the Company.</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7, 2019, the Company entered into an At the Market Offering Agreement (“2019 ATM Facility”) with A.G.P./Alliance Global Partners, under which the Company may issue and sell to or through AGP, acting as agent and/or principal, shares of the Company’s common stock having an aggregate offering price of up to $25 million. Through April 30, 2020, under the 2019 ATM Facility, the Company has issued 5,101,405 shares of its common stock with an aggregate market value of approximately $3.8 million at an average price of $0.74 per share and paid AGP a sales commission of $122,530 related to those shares.</w:t>
      </w:r>
    </w:p>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9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our common stock is delisted from Nasdaq (see Note 15 – Commitments and Contingencies for more), our ability to raise capital through public offerings of our securities and to finance our operations could be adversely affected. See additional risk factors under “Part I, Item 1A – Risk Factors”.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57"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500" w:hanging="254"/>
        <w:spacing w:after="0"/>
        <w:tabs>
          <w:tab w:leader="none" w:pos="500" w:val="left"/>
        </w:tabs>
        <w:numPr>
          <w:ilvl w:val="1"/>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left="240"/>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ASU 2016-10 provides a practical expedient in ASC 606-10-25-18B that permits presentation of shipping and handling costs, that occur after control of the promised goods or services transfer to the customer, as fulfillment costs rather than evaluating whether the shipping and handling activities are promised services to the customer. The Company adopted this practical expedient.</w:t>
      </w:r>
    </w:p>
    <w:p>
      <w:pPr>
        <w:spacing w:after="0" w:line="16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twelve-month periods ended April 30, 2020 and 2019, all of the Company’s contracts were classified as firm fixed price.</w:t>
      </w:r>
    </w:p>
    <w:p>
      <w:pPr>
        <w:spacing w:after="0" w:line="17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April 30, 2020, the Company’s total remaining performance obligations, also referred to as backlog, totaled $1.0 million. The Company expects to recognize approximately 79%, or $0.8 million, of the remaining performance obligations as revenue over the next twelve months.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jc w:val="both"/>
        <w:ind w:left="40" w:right="100" w:firstLine="450"/>
        <w:spacing w:after="0" w:line="275" w:lineRule="auto"/>
        <w:rPr>
          <w:sz w:val="20"/>
          <w:szCs w:val="20"/>
          <w:color w:val="auto"/>
        </w:rPr>
      </w:pPr>
      <w:r>
        <w:rPr>
          <w:rFonts w:ascii="Arial" w:cs="Arial" w:eastAsia="Arial" w:hAnsi="Arial"/>
          <w:sz w:val="17"/>
          <w:szCs w:val="17"/>
          <w:color w:val="auto"/>
        </w:rPr>
        <w:t>The Company also enters into lease arrangements for its PB3 with certain customers. As of April 30, 2020, the Company has one lease arrangement with 18 months remaining on its term.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lease classification criteria within ASC Topic 842. If the direct financing or sales-type classification criteria are met, then the lease is accounted for as a finance lease. All others are treated as an operating lease.</w:t>
      </w:r>
    </w:p>
    <w:p>
      <w:pPr>
        <w:spacing w:after="0" w:line="2" w:lineRule="exact"/>
        <w:rPr>
          <w:sz w:val="20"/>
          <w:szCs w:val="20"/>
          <w:color w:val="auto"/>
        </w:rPr>
      </w:pPr>
    </w:p>
    <w:p>
      <w:pPr>
        <w:ind w:left="40" w:right="100" w:firstLine="450"/>
        <w:spacing w:after="0" w:line="290"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twelve months ended April 30, 2020 and 2019 was immaterial.</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Cash and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 money market account. The following table summarizes cash and cash equivalents for the years ended April 30, 2020 and 2019:</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April 30,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account</w:t>
            </w:r>
          </w:p>
        </w:tc>
        <w:tc>
          <w:tcPr>
            <w:tcW w:w="1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portion of the Company’s cash is restricted under the terms of various security agreements.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April 30, 2020, there were no letters of credit outstanding under this agreement.</w:t>
      </w:r>
    </w:p>
    <w:p>
      <w:pPr>
        <w:spacing w:after="0" w:line="176"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The other agreements are between the Company and Santander Bank. Cash is on deposit at Santander Bank and serves as security for a letter of credit issued by Santander Bank for the lease of warehouse/office space in Monroe Township, New Jersey. This agreement cannot be extended beyond January 31, 2025 and is cancelable at the discretion of the bank. Santander Bank also issued two letters of credit to subsidiaries of EGP pursuant to the Company’s contracts with EGP. The first letter of credit was issued in the amount of $125,690 that expires in February 2021. The second letter of credit was issued in the amount of $645,467. This second letter of credit will be reduced to $322,734 after achieving certain milestones and to $64,547 after certain additional milestones are achieved. The remaining amount expires in September 2021. The following table summarizes restricted cash for the years ended April 30, 2020 and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April 30, 2020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gridSpan w:val="4"/>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for the years ended April 30, 2020 and 2019:</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gridSpan w:val="5"/>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Property and Equipment</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1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Estimated useful life</w:t>
            </w:r>
          </w:p>
        </w:tc>
        <w:tc>
          <w:tcPr>
            <w:tcW w:w="5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Equipment</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5 - 7 years</w:t>
            </w: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3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Office furniture &amp; fixtures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3 - 7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Equipment under capitalized lease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Over the life of the lease</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Shorter of the estimated useful life or lease term</w:t>
            </w:r>
          </w:p>
        </w:tc>
        <w:tc>
          <w:tcPr>
            <w:tcW w:w="56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color w:val="auto"/>
              </w:rPr>
              <w:t>F-13</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6" w:name="page77"/>
    <w:bookmarkEnd w:id="76"/>
    <w:p>
      <w:pPr>
        <w:ind w:left="240"/>
        <w:spacing w:after="0"/>
        <w:rPr>
          <w:sz w:val="20"/>
          <w:szCs w:val="20"/>
          <w:color w:val="auto"/>
        </w:rPr>
      </w:pPr>
      <w:r>
        <w:rPr>
          <w:rFonts w:ascii="Arial" w:cs="Arial" w:eastAsia="Arial" w:hAnsi="Arial"/>
          <w:sz w:val="18"/>
          <w:szCs w:val="18"/>
          <w:b w:val="1"/>
          <w:bCs w:val="1"/>
          <w:i w:val="1"/>
          <w:iCs w:val="1"/>
          <w:color w:val="auto"/>
        </w:rPr>
        <w:t>(f) Foreign Exchange Gains and Losses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cash accounts that are denominated in British pound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Financial instruments that potentially subject the Company to credit risk consist principally of trade accounts receivable and cash. The Company believes that its credit risk is limited because the Company’s current contracts are with companies with a reliable payment history. The Company invests its excess cash in a money market fund and does not believe that it is exposed to any significant risks related to its cash accounts and money market fund. Cash is also maintained at foreign financial institutions. Cash in foreign financial institutions as of April 30, 2020 was $0.3 million.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revenues for at least one of the periods indicated:</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5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Premier Oil UK Limited</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Warrant Accounting</w:t>
      </w:r>
    </w:p>
    <w:p>
      <w:pPr>
        <w:spacing w:after="0" w:line="225"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The Company accounts for warrants issued in connection with its public offerings in accordance with the guidance on “Accounting for Certain Financial Instruments with Characteristics of Both Liabilities and Equity” in Topic 480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 The warrants issued in connection with the Company’s public offerings in June and July 2016 met the criteria of a liability award and were classified in warrant liabilities. The pre-funded and common warrants issued in the Company’s April 8, 2019 public offering did not meet the criteria to be classified as a liability award and therefore were treated as an equity award.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Net Loss per Common Share</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unvested restricted stock issued to employees and non-employee directors, were excluded from the diluted loss per share calculation due to their anti-dilutive effect.</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computing diluted net loss per share on the Consolidated Statement of Operations, warrants on common stock, options to purchase shares of common stock and unvested restricted stock issued to employees and non-employee directors, totaling 5,564,438 and 5,013,981 for the years ended April 30, 2020 and 2019, respectively, were excluded from each of the computations as the effect would be anti-dilutive due to the Company’s losses.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ind w:left="240"/>
        <w:spacing w:after="0"/>
        <w:rPr>
          <w:sz w:val="20"/>
          <w:szCs w:val="20"/>
          <w:color w:val="auto"/>
        </w:rPr>
      </w:pPr>
      <w:r>
        <w:rPr>
          <w:rFonts w:ascii="Arial" w:cs="Arial" w:eastAsia="Arial" w:hAnsi="Arial"/>
          <w:sz w:val="18"/>
          <w:szCs w:val="18"/>
          <w:b w:val="1"/>
          <w:bCs w:val="1"/>
          <w:i w:val="1"/>
          <w:iCs w:val="1"/>
          <w:color w:val="auto"/>
        </w:rPr>
        <w:t>(j) Share-Based Compensation</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2020 and 2019 was approximately $0.3 million in each of these years. The following table summarizes share-based compensation related to the Company’s share-based plans by expense category for the years ended April 30, 2020 and 2019:</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Twelve months ended April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1400" w:type="dxa"/>
            <w:vAlign w:val="bottom"/>
            <w:gridSpan w:val="2"/>
          </w:tcPr>
          <w:p>
            <w:pPr>
              <w:jc w:val="right"/>
              <w:ind w:right="147"/>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420" w:type="dxa"/>
            <w:vAlign w:val="bottom"/>
            <w:gridSpan w:val="2"/>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0" w:type="dxa"/>
            <w:vAlign w:val="bottom"/>
            <w:gridSpan w:val="2"/>
            <w:shd w:val="clear" w:color="auto" w:fill="CCEEFF"/>
          </w:tcPr>
          <w:p>
            <w:pPr>
              <w:jc w:val="right"/>
              <w:ind w:right="9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Deferred Rent</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March 31, 2017, the Company signed a 7-year lease for approximately 56,000 square feet in Monroe Township, New Jersey that is being used as warehouse/production space, as well as the Company’s principal offices and corporate headquarters. The lease was classified as an operating lease. Rent payments relating to the Monroe premises are subject to annual increases. The minimum monthly payments will vary over the 7-year term of the lease. The Landlord has provided the Company a tenant improvement allowance in an amount up to, but not exceeding, $137,563 to be applied to the cost of tenant improvement work. The Company recorded lease incentive liability to deferred rent. With the Company’s adoption of Accounting Standards Update (“ASU”) No. 2016-02 on May 1, 2019, the balances in lease incentive liability and deferred rent have been included in the value of the right of use asset.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Income Taxes</w:t>
      </w:r>
    </w:p>
    <w:p>
      <w:pPr>
        <w:spacing w:after="0" w:line="225" w:lineRule="exact"/>
        <w:rPr>
          <w:sz w:val="20"/>
          <w:szCs w:val="20"/>
          <w:color w:val="auto"/>
        </w:rPr>
      </w:pPr>
    </w:p>
    <w:p>
      <w:pPr>
        <w:jc w:val="both"/>
        <w:ind w:firstLine="495"/>
        <w:spacing w:after="0" w:line="296"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The effect on deferred tax assets and liabilities of a change in tax rates is recognized in income in the period that includes the enactment date.</w:t>
      </w:r>
    </w:p>
    <w:p>
      <w:pPr>
        <w:spacing w:after="0" w:line="161"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Accumulated Other Comprehensive Loss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Recently Issued Accounting Standards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amends the existing guidance on accounting for leases. Topic 842 was further clarified and amended within ASU 2017-13, ASU 2018-01, ASU 2018-10, ASU 2018-11 and ASU 2018-20. The new standard establishes a right-of-use (ROU) model that requires a lessee to record a ROU asset and a lease liability on the balance sheet for all leases with terms longer than twelve months or leases that contain a purchase option that is reasonably certain to be exercised. Leases will be classified as either finance or operating, with classification affecting the pattern of expense recognition in the income statement. ASU 2016-02 was effective for annual periods beginning after December 15, 2018, including interim periods within those annual periods, with early adoption permitted. The guidance permits the Company to utilize the package of practical expedients that, upon adoption of Topic 842, allows entities to (1) not reassess whether any expired or existing contracts are or contain leases, (2) retain the classification of leases (e.g., operating or finance lease) existing as of the date of adoption and (3) not reassess initial direct costs for any existing leases. Additionally, the Company elected to exclude short-term leases having initial terms of 12 months or less and recognizes rent expense on a straight-line basis over the lease term. The Company adopted Topic 842 on May 1, 2019 using the modified retrospective approach. Under this approach, comparative periods presented in the financial statements in which the new lease standard is adopted will continue to be presented in accordance with prior GAAP. The adoption of this standard resulted in the Company recognizing a ROU asset and a lease liability of approximately $1.4 million and $1.5 million, respectively, and eliminating deferred rent of $39,000 and an unamortized lease incentive receivable of $108,000. Refer to Note 6 to the Consolidated Financial Statements for disclosure requirements related to the adoption of this standard.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both"/>
        <w:ind w:firstLine="492"/>
        <w:spacing w:after="0" w:line="296"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 </w:t>
      </w:r>
      <w:r>
        <w:rPr>
          <w:rFonts w:ascii="Arial" w:cs="Arial" w:eastAsia="Arial" w:hAnsi="Arial"/>
          <w:sz w:val="16"/>
          <w:szCs w:val="16"/>
          <w:i w:val="1"/>
          <w:iCs w:val="1"/>
          <w:color w:val="auto"/>
        </w:rPr>
        <w:t>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amendment in this update replaces the incurred loss impairment methodology in current GAAP with a methodology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on instruments within its scope, including trade receivables. This update is intended to provide financial statement users with more decision-useful information about the expected credit losses. This ASU is effective for annual periods and interim periods beginning after December 15, 2019. The Company is currently evaluating the impact the adoption of ASU 2016-13 will have on its consolidated financial statements.</w:t>
      </w:r>
    </w:p>
    <w:p>
      <w:pPr>
        <w:spacing w:after="0" w:line="161"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The ASU modifies, removes, and adds several disclosure requirements on fair value measurements in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ASU 2018-13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upon issuance of ASU 2018-</w:t>
      </w:r>
    </w:p>
    <w:p>
      <w:pPr>
        <w:spacing w:after="0" w:line="4" w:lineRule="exact"/>
        <w:rPr>
          <w:sz w:val="20"/>
          <w:szCs w:val="20"/>
          <w:color w:val="auto"/>
        </w:rPr>
      </w:pPr>
    </w:p>
    <w:p>
      <w:pPr>
        <w:jc w:val="both"/>
        <w:ind w:firstLine="8"/>
        <w:spacing w:after="0" w:line="255"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entity is permitted to early adopt any removed or modified disclosures upon issuance of ASU 2018-13 and delay adoption of the additional disclosures until their effective date. The Company is evaluating the effect ASU 2018-13 will have on its Consolidated Financial Statements and disclosures and has not yet determined the effect of the standard on its ongoing financial reporting at this time.</w:t>
      </w:r>
    </w:p>
    <w:p>
      <w:pPr>
        <w:spacing w:after="0" w:line="19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August 2018, the FASB issued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xml:space="preserve"> The ASU provides for the recognition of an intangible asset for the costs of internal-use software licenses included in a cloud computing arrangement. Costs of arrangements that do not include a software license should be accounted for as a service contract and expensed as incurred. This ASU is effective for fiscal years beginning after December 15, 2019, with early adoption permitted. The ASU permits two methods of adoption: prospectively to all implementation costs incurred after the date of adoption, or retrospectively to each prior reporting period presented. The Company is evaluating the effect ASU 2018-15 will have on its Consolidated Financial Statements and disclosures and has not yet determined the effect of the standard on its ongoing financial reporting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Contract Assets, and Contract Liabilities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provides further details on the balance sheet accounts of accounts receivable, contract assets, and 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grants credit to its customers, generally without collateral, under normal payment terms (typically 30 to 60 days after invoicing). Generally, invoicing occurs after the related services are performed or control of good has transferred to the customer. Accounts receivable represents an unconditional right to consideration arising from the Company’s performance under contracts with customers. The carrying value of such receivables represent their estimated realizable value. Accounts receivable consisted of the following at April 30, 2020 and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April 30, 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gridSpan w:val="5"/>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Amount invoiced to customers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Collections</w:t>
            </w:r>
          </w:p>
        </w:tc>
        <w:tc>
          <w:tcPr>
            <w:tcW w:w="1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7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 The increase in contract assets is primarily a result of services performed for EGP but unbilled during the twelve months ended April 30,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liabilities consist of amounts invoiced to customers in excess of revenue recognized. The decrease in contract liabilities is primarily a result of recognizing more revenue during the twelve months ended April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(4) Other Current Assets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color w:val="auto"/>
              </w:rPr>
              <w:t>Other current assets consist of the following at April 30, 2020 and 2019: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5"/>
          </w:tcPr>
          <w:p>
            <w:pPr>
              <w:jc w:val="right"/>
              <w:ind w:right="8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receivables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Prepaid offering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property and equipment as of April 30, 2020 and 2019 consisted of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April 30,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5"/>
          </w:tcPr>
          <w:p>
            <w:pPr>
              <w:jc w:val="right"/>
              <w:ind w:right="8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capitalized lease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17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approximately $0.2 million and $0.2 million for the years ended April 30, 2020 and 2019,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 xml:space="preserve">As of April 30, 2020, the Company has one lease which has been classified as an operating lease per accounting guidance contained within ASC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Company’s remaining operating lease term on this lease is 18 months. The maturity of lease payments remaining on this lease is immaterial. The accounting of the operating lease income according to ASC Topic 842, “Leases” is similar to the accounting in prior years.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ind w:left="40"/>
        <w:spacing w:after="0" w:line="273" w:lineRule="auto"/>
        <w:rPr>
          <w:sz w:val="20"/>
          <w:szCs w:val="20"/>
          <w:color w:val="auto"/>
        </w:rPr>
      </w:pPr>
      <w:r>
        <w:rPr>
          <w:rFonts w:ascii="Arial" w:cs="Arial" w:eastAsia="Arial" w:hAnsi="Arial"/>
          <w:sz w:val="17"/>
          <w:szCs w:val="17"/>
          <w:color w:val="auto"/>
        </w:rPr>
        <w:t>The Company has one lease for its facility located in Monroe Township, New Jersey that is used as warehouse/production space and the Company’s principal offices and corporate headquarters. The initial lease term is for 7 years with an option to extend the lease for another 5 years. The lease is classified as an operating lease. The operating lease is included in right-of-use assets, lease liabilities- current and lease liabilities- long-term on the Company’s Consolidated Balance Sheets. The Company has elected the package of practical expedients which applies to leases that commenced before the adoption date. By electing the package of practical expedients, the Company did not need to reassess whether any existing contracts are or contain leases, the lease classification for any existing leases and initial direct costs for any existing leases.</w:t>
      </w:r>
    </w:p>
    <w:p>
      <w:pPr>
        <w:spacing w:after="0" w:line="178" w:lineRule="exact"/>
        <w:rPr>
          <w:sz w:val="20"/>
          <w:szCs w:val="20"/>
          <w:color w:val="auto"/>
        </w:rPr>
      </w:pPr>
    </w:p>
    <w:p>
      <w:pPr>
        <w:jc w:val="both"/>
        <w:ind w:left="40"/>
        <w:spacing w:after="0" w:line="290"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the commencement date. When the implicit rate of the lease is not provided or cannot be determined, the Company used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 The operating lease expense in the Consolidated Statement of Operations for the twelve months ended April 30, 2020 was $317,000. The operating cash flows from operating leases cash payments for the twelve months ended April 30, 2020 was $322,000.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Information related to the Company’s right-of use assets and lease liabilities as of April 30, 2020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April 30, 2020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2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Operating right-of-use asset, net</w:t>
            </w:r>
          </w:p>
        </w:tc>
        <w:tc>
          <w:tcPr>
            <w:tcW w:w="31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Right-of-use liability- current</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Right-of-use liability- long term</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lease liability</w:t>
            </w:r>
          </w:p>
        </w:tc>
        <w:tc>
          <w:tcPr>
            <w:tcW w:w="2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80" w:type="dxa"/>
            <w:vAlign w:val="bottom"/>
            <w:tcBorders>
              <w:bottom w:val="single" w:sz="8" w:color="CCEEFF"/>
            </w:tcBorders>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89"/>
              </w:rPr>
              <w:t>Weighted average remaining lease term- operating leases</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4.49 years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2567"/>
              <w:spacing w:after="0"/>
              <w:rPr>
                <w:sz w:val="20"/>
                <w:szCs w:val="20"/>
                <w:color w:val="auto"/>
              </w:rPr>
            </w:pPr>
            <w:r>
              <w:rPr>
                <w:rFonts w:ascii="Arial" w:cs="Arial" w:eastAsia="Arial" w:hAnsi="Arial"/>
                <w:sz w:val="18"/>
                <w:szCs w:val="18"/>
                <w:color w:val="auto"/>
              </w:rPr>
              <w:t>F-18</w:t>
            </w: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April 30, 2020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200" w:type="dxa"/>
            <w:vAlign w:val="bottom"/>
          </w:tcPr>
          <w:p>
            <w:pPr>
              <w:spacing w:after="0" w:line="203" w:lineRule="exact"/>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1,570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840 Disclosure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elected the modified retrospective transition method and is required to present previously disclosed information under the prior accounting standard for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 as of April 30, 2019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 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52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7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320"/>
              <w:spacing w:after="0"/>
              <w:rPr>
                <w:sz w:val="20"/>
                <w:szCs w:val="20"/>
                <w:color w:val="auto"/>
              </w:rPr>
            </w:pPr>
            <w:r>
              <w:rPr>
                <w:rFonts w:ascii="Arial" w:cs="Arial" w:eastAsia="Arial" w:hAnsi="Arial"/>
                <w:sz w:val="18"/>
                <w:szCs w:val="18"/>
                <w:color w:val="auto"/>
              </w:rPr>
              <w:t>F-19</w:t>
            </w: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ind w:left="500"/>
              <w:spacing w:after="0"/>
              <w:rPr>
                <w:sz w:val="20"/>
                <w:szCs w:val="20"/>
                <w:color w:val="auto"/>
              </w:rPr>
            </w:pPr>
            <w:r>
              <w:rPr>
                <w:rFonts w:ascii="Arial" w:cs="Arial" w:eastAsia="Arial" w:hAnsi="Arial"/>
                <w:sz w:val="18"/>
                <w:szCs w:val="18"/>
                <w:color w:val="auto"/>
                <w:w w:val="99"/>
              </w:rPr>
              <w:t>Accrued expenses consisted of the following at April 30, 2020 and 2019:</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gridSpan w:val="5"/>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Contract loss reserve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taxes payable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five years following the Initial Exercise Date. As of April 30, 2020, none of the warrants have been exercised.</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date of issuance. As of April 30, 2020, none of the warrants have been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ind w:left="40" w:firstLine="447"/>
        <w:spacing w:after="0" w:line="255" w:lineRule="auto"/>
        <w:rPr>
          <w:sz w:val="20"/>
          <w:szCs w:val="20"/>
          <w:color w:val="auto"/>
        </w:rPr>
      </w:pPr>
      <w:r>
        <w:rPr>
          <w:rFonts w:ascii="Arial" w:cs="Arial" w:eastAsia="Arial" w:hAnsi="Arial"/>
          <w:sz w:val="18"/>
          <w:szCs w:val="18"/>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April 30, 2020, all of the pre-funded warrants have been exercised. The common stock warrants have an exercise price of $3.85 per share and expire five years from the issuance date. As of April 30, 2020, none of the common stock warrants have been exercised.</w:t>
      </w:r>
    </w:p>
    <w:p>
      <w:pPr>
        <w:spacing w:after="0" w:line="192" w:lineRule="exact"/>
        <w:rPr>
          <w:sz w:val="20"/>
          <w:szCs w:val="20"/>
          <w:color w:val="auto"/>
        </w:rPr>
      </w:pPr>
    </w:p>
    <w:p>
      <w:pPr>
        <w:jc w:val="both"/>
        <w:ind w:left="40" w:right="140" w:firstLine="450"/>
        <w:spacing w:after="0" w:line="271" w:lineRule="auto"/>
        <w:rPr>
          <w:sz w:val="20"/>
          <w:szCs w:val="20"/>
          <w:color w:val="auto"/>
        </w:rPr>
      </w:pPr>
      <w:r>
        <w:rPr>
          <w:rFonts w:ascii="Arial" w:cs="Arial" w:eastAsia="Arial" w:hAnsi="Arial"/>
          <w:sz w:val="17"/>
          <w:szCs w:val="17"/>
          <w:color w:val="auto"/>
        </w:rPr>
        <w:t>The Company accounts for warrants issued in connection with its June and July 2016 public offerings in accordance with the guidance on “</w:t>
      </w:r>
      <w:r>
        <w:rPr>
          <w:rFonts w:ascii="Arial" w:cs="Arial" w:eastAsia="Arial" w:hAnsi="Arial"/>
          <w:sz w:val="17"/>
          <w:szCs w:val="17"/>
          <w:i w:val="1"/>
          <w:iCs w:val="1"/>
          <w:color w:val="auto"/>
        </w:rPr>
        <w:t>Accounting for Certain Financial Instruments with Characteristics of Both Liabilities and Equity</w:t>
      </w:r>
      <w:r>
        <w:rPr>
          <w:rFonts w:ascii="Arial" w:cs="Arial" w:eastAsia="Arial" w:hAnsi="Arial"/>
          <w:sz w:val="17"/>
          <w:szCs w:val="17"/>
          <w:color w:val="auto"/>
        </w:rPr>
        <w:t>”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warrants have a value of zero at April 30, 2020 and $6,000 at April 30, 2019 and are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ind w:left="40" w:right="140" w:firstLine="450"/>
        <w:spacing w:after="0" w:line="263" w:lineRule="auto"/>
        <w:rPr>
          <w:sz w:val="20"/>
          <w:szCs w:val="20"/>
          <w:color w:val="auto"/>
        </w:rPr>
      </w:pPr>
      <w:r>
        <w:rPr>
          <w:rFonts w:ascii="Arial" w:cs="Arial" w:eastAsia="Arial" w:hAnsi="Arial"/>
          <w:sz w:val="18"/>
          <w:szCs w:val="18"/>
          <w:color w:val="auto"/>
        </w:rPr>
        <w:t>An unrealized gain of $6,000 and $0.2 million, were included within “Gain due to change in fair value of warrant liabilities” in the Consolidated Statements of Operations for the year ended April 30, 2020 and 2019, respectively. The Company determined the fair value using the Black-Scholes option pricing model with the following assumptions for the period ended April 30, 2020 and 2019:</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April 30, 2020</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April 30,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Risk-free rate</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0.17% - 0.19%</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1.2 - 1.6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Expected volatility</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81.8% - 112.7%</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110.0% - 153.4%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229"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2020, and 2019,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April 30, 2020, the Company has 100,000,000 shares authorized with a par value of $0.001 per share and 12,939,420 shares issued.</w:t>
      </w:r>
    </w:p>
    <w:p>
      <w:pPr>
        <w:spacing w:after="0" w:line="23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August 13, 2018, the Company entered into a common stock purchase agreement with Aspire Capital which provided that, subject to certain terms, conditions and limitations, Aspire Capital was committed to purchase up to an aggregate of $10.0 million of shares of the Company’s common stock over a 30-month period that did not exceed 19.99% of the outstanding common stock on the date of the agreement. The number of shares the Company could issue within the 19.99% was 183,591 shares. Shareholder approval was not needed since the number of common stock offered for sale in the common stock purchase agreement did not exceed 19.99% of the outstanding common stock on the date of the agreement. In consideration for entering into the agreement, the Company issued to Aspire Capital 21,429 shares of common stock as a commitment fee. The agreement was cancelled on October 24, 2019, and as of that date, the Company had sold 162,162 shares of common stock with an aggregate market value of $949,259 at an average price of $5.85 per share pursuant to this common stock purchase agreement.</w:t>
      </w:r>
    </w:p>
    <w:p>
      <w:pPr>
        <w:spacing w:after="0" w:line="17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October 24, 2019, the Company entered into a new common stock purchase agreement with Aspire Capital which provides that, subject to certain terms, conditions and limitations, Aspire Capital is committed to purchase up to an aggregate of $10.0 million of shares of the Company’s common stock over a 30-month period that does not exceed 19.99% of the outstanding common stock on the date of the agreement. The number of shares the Company can issue within the 19.99% limit is 1,219,010 shares. At the 2019 annual meeting of stockholders, held on December 20, 2019, the Company’s stockholders approved an additional 5,400,000 shares to be issued pursuant to the common stock purchase agreement in excess of the 19.99% limit. In consideration for entering into the agreement, the Company issued to Aspire Capital 194,805 shares of common stock as a commitment fee. As of April 30, 2020, the Company has sold 1,399,205 shares of common stock with an aggregate market value of approximately $1.1 million at an average price of $0.82 per share pursuant to this common stock purchase agreement.</w:t>
      </w:r>
    </w:p>
    <w:p>
      <w:pPr>
        <w:spacing w:after="0" w:line="17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January 7, 2019, the Company entered into the 2019 ATM Facility with A.G.P/Alliance Global Partners, under which the Company may issue and sell to or through A.G.P., acting as agent and/or principal, shares of the Company’s common stock having an aggregate offering price of up to $25 million. As of April 30, 2020, under the 2019 ATM Facility the Company has issued 5,101,405 shares of its common stock with an aggregate market value of approximately $3.8 million at an average price of $0.74 per share and paid AGP a sales commission of approximately $122,530 related to those shares.</w:t>
      </w:r>
    </w:p>
    <w:p>
      <w:pPr>
        <w:spacing w:after="0" w:line="1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8, 2019, the Company sold 1,542,000 shares of common stock, which includes the sale of 642,000 shares of the Company’s common stock sold by the Company pursuant to the exercise, in full, of the over-allotment option by the underwriters in a public offering, prefunded warrants to purchase up to 3,385,680 shares of common stock and common warrants to purchase up to 4,927,680 shares of common stock in an underwritten public offering. The net proceeds to the Company from the offering were approximately $15.7 million, after deducting underwriter’s fees and offering expenses payable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Shares</w:t>
      </w:r>
    </w:p>
    <w:p>
      <w:pPr>
        <w:spacing w:after="0" w:line="229"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During the years ended April 30, 2020 and 2019, 481 and 89 shares of Common Stock, respectively, were purchased by the Company from employees to pay taxes related to the vesting of restricted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(12) Share-Based Compensation Plans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2015, upon approval by the Company’s stockholders, the Company’s 2015 Omnibus Incentive Plan (the “2015 Plan”) became effective. A total of 12,036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32,036. On December 7, 2018, upon approval by the Company’s stockholders, the Company increased the number of shares authorized for issuance to 132,036. On December 20, 2019, upon approval by the Company’s stockholders, the Company increased the number of shares authorized for issuance to 732,036.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April 30, 2020, the Company has 168,808 shares available for future issuance under the 2015 Plan.</w:t>
      </w:r>
    </w:p>
    <w:p>
      <w:pPr>
        <w:spacing w:after="0" w:line="18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5635(c)(4) 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April 30, 2020, there were 11,487 shares available for grant under the 2018 Inducement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There were 411,666 and 49,750 shares granted for the periods ended April 30, 2020 and 2019, respectively.</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5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5.5- 5.7</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127.6% - 128.2%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$0.92 and $7.15 for stock options granted during the years ended April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January of 2020, the Company issued 81,334 performance-based stock options to two of its executives. The awards vest over 2 years if there is positive total shareholder return (e.g. share price increase) as measured to the 5-day (January 11-15, 2021) and (January 10-14, 2022) share price volume weighted average price (“VWAP”). There were 81,334 shares unvested and outstanding for the year ended April 30, 2020. The Company determined these awards contain a market- based condition and estimated the fair value using the Monte Carlo simulation model with the following assumptions: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5" w:name="page86"/>
    <w:bookmarkEnd w:id="85"/>
    <w:tbl>
      <w:tblPr>
        <w:tblLayout w:type="fixed"/>
        <w:tblInd w:w="226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tcPr>
          <w:p>
            <w:pPr>
              <w:jc w:val="right"/>
              <w:spacing w:after="0"/>
              <w:rPr>
                <w:sz w:val="20"/>
                <w:szCs w:val="20"/>
                <w:color w:val="auto"/>
              </w:rPr>
            </w:pPr>
            <w:r>
              <w:rPr>
                <w:rFonts w:ascii="Arial" w:cs="Arial" w:eastAsia="Arial" w:hAnsi="Arial"/>
                <w:sz w:val="18"/>
                <w:szCs w:val="18"/>
                <w:color w:val="auto"/>
              </w:rPr>
              <w:t>115.0%</w:t>
            </w:r>
          </w:p>
        </w:tc>
      </w:tr>
    </w:tbl>
    <w:p>
      <w:pPr>
        <w:spacing w:after="0" w:line="187"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$0.82 for stock options granted during the year ended April 30, 2020.</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Weighted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Average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Underlying</w:t>
            </w: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86"/>
              </w:rPr>
              <w:t>Exercise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542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Options</w:t>
            </w: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2019</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65,572</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21.08</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493,000</w:t>
            </w:r>
          </w:p>
        </w:tc>
        <w:tc>
          <w:tcPr>
            <w:tcW w:w="320" w:type="dxa"/>
            <w:vAlign w:val="bottom"/>
          </w:tcPr>
          <w:p>
            <w:pPr>
              <w:spacing w:after="0"/>
              <w:rPr>
                <w:sz w:val="18"/>
                <w:szCs w:val="18"/>
                <w:color w:val="auto"/>
              </w:rPr>
            </w:pP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Cancelled/forfeited</w:t>
            </w:r>
          </w:p>
        </w:tc>
        <w:tc>
          <w:tcPr>
            <w:tcW w:w="2040" w:type="dxa"/>
            <w:vAlign w:val="bottom"/>
            <w:gridSpan w:val="3"/>
          </w:tcPr>
          <w:p>
            <w:pPr>
              <w:jc w:val="right"/>
              <w:ind w:right="280"/>
              <w:spacing w:after="0"/>
              <w:rPr>
                <w:sz w:val="20"/>
                <w:szCs w:val="20"/>
                <w:color w:val="auto"/>
              </w:rPr>
            </w:pPr>
            <w:r>
              <w:rPr>
                <w:rFonts w:ascii="Arial" w:cs="Arial" w:eastAsia="Arial" w:hAnsi="Arial"/>
                <w:sz w:val="18"/>
                <w:szCs w:val="18"/>
                <w:color w:val="auto"/>
              </w:rPr>
              <w:t>(3,097)</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44.32</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2020</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Exercisable as of April 30, 2020</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vMerge w:val="restart"/>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3"/>
              </w:rPr>
              <w:t>20.09</w:t>
            </w:r>
          </w:p>
        </w:tc>
        <w:tc>
          <w:tcPr>
            <w:tcW w:w="1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62,475</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April 30, 2020, the total intrinsic value of both outstanding and exercisable options was zero. As of April 30, 2020, approximately 493,000 options were unvested, which had no intrinsic value and a weighted average remaining contractual term of 9.7 years. There was approximately $0.3 million and $0.2 million of total recognized compensation cost related to stock options during each of the years ended April 30, 2020 and 2019, respectively. As of April 30, 2020, there was approximately $0.3 million of total unrecognized compensation cost related to unvested stock options granted under the plans. This cost is expected to be recognized over a weighted-average period of 1.0 years. The Company typically issues newly authorized but unissued shares to satisfy option exercises under these plans.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Compensation expense for unvested restricted stock is generally recorded based on its market value on the date of grant and recognized ratably over the associated service and performance period. During the year ended April 30, 2020, the Company granted 13,513 shares subject to service-based vesting requirements.</w:t>
      </w:r>
    </w:p>
    <w:p>
      <w:pPr>
        <w:sectPr>
          <w:pgSz w:w="11900" w:h="16838" w:orient="portrait"/>
          <w:cols w:equalWidth="0" w:num="1">
            <w:col w:w="11240"/>
          </w:cols>
          <w:pgMar w:left="320" w:top="680" w:right="339" w:bottom="1440" w:gutter="0" w:footer="0" w:header="0"/>
        </w:sectPr>
      </w:pP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unvested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30"/>
        </w:trPr>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w w:val="96"/>
              </w:rPr>
              <w:t>Number</w:t>
            </w:r>
          </w:p>
        </w:tc>
        <w:tc>
          <w:tcPr>
            <w:tcW w:w="120" w:type="dxa"/>
            <w:vAlign w:val="bottom"/>
          </w:tcPr>
          <w:p>
            <w:pPr>
              <w:spacing w:after="0"/>
              <w:rPr>
                <w:sz w:val="19"/>
                <w:szCs w:val="19"/>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 Price per</w:t>
            </w:r>
          </w:p>
        </w:tc>
      </w:tr>
      <w:tr>
        <w:trPr>
          <w:trHeight w:val="241"/>
        </w:trPr>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418"/>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4,506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16"/>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13,513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1400" w:type="dxa"/>
            <w:vAlign w:val="bottom"/>
          </w:tcPr>
          <w:p>
            <w:pPr>
              <w:jc w:val="right"/>
              <w:ind w:right="110"/>
              <w:spacing w:after="0"/>
              <w:rPr>
                <w:sz w:val="20"/>
                <w:szCs w:val="20"/>
                <w:color w:val="auto"/>
              </w:rPr>
            </w:pPr>
            <w:r>
              <w:rPr>
                <w:rFonts w:ascii="Arial" w:cs="Arial" w:eastAsia="Arial" w:hAnsi="Arial"/>
                <w:sz w:val="18"/>
                <w:szCs w:val="18"/>
                <w:color w:val="auto"/>
              </w:rPr>
              <w:t>(4,380)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30.14</w:t>
            </w:r>
          </w:p>
        </w:tc>
      </w:tr>
      <w:tr>
        <w:trPr>
          <w:trHeight w:val="251"/>
        </w:trPr>
        <w:tc>
          <w:tcPr>
            <w:tcW w:w="140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r>
      <w:tr>
        <w:trPr>
          <w:trHeight w:val="230"/>
        </w:trPr>
        <w:tc>
          <w:tcPr>
            <w:tcW w:w="1400" w:type="dxa"/>
            <w:vAlign w:val="bottom"/>
          </w:tcPr>
          <w:p>
            <w:pPr>
              <w:jc w:val="right"/>
              <w:ind w:right="170"/>
              <w:spacing w:after="0"/>
              <w:rPr>
                <w:sz w:val="20"/>
                <w:szCs w:val="20"/>
                <w:color w:val="auto"/>
              </w:rPr>
            </w:pPr>
            <w:r>
              <w:rPr>
                <w:rFonts w:ascii="Arial" w:cs="Arial" w:eastAsia="Arial" w:hAnsi="Arial"/>
                <w:sz w:val="18"/>
                <w:szCs w:val="18"/>
                <w:color w:val="auto"/>
              </w:rPr>
              <w:t>13,513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-7620</wp:posOffset>
            </wp:positionV>
            <wp:extent cx="9772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-899795</wp:posOffset>
            </wp:positionV>
            <wp:extent cx="9772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977265" cy="17145"/>
                    </a:xfrm>
                    <a:prstGeom prst="rect">
                      <a:avLst/>
                    </a:prstGeom>
                    <a:noFill/>
                  </pic:spPr>
                </pic:pic>
              </a:graphicData>
            </a:graphic>
          </wp:anchor>
        </w:drawing>
      </w:r>
    </w:p>
    <w:p>
      <w:pPr>
        <w:sectPr>
          <w:pgSz w:w="11900" w:h="16838" w:orient="portrait"/>
          <w:cols w:equalWidth="0" w:num="2">
            <w:col w:w="6640" w:space="300"/>
            <w:col w:w="4300"/>
          </w:cols>
          <w:pgMar w:left="320" w:top="680" w:right="339" w:bottom="1440" w:gutter="0" w:footer="0" w:header="0"/>
          <w:type w:val="continuous"/>
        </w:sectPr>
      </w:pPr>
    </w:p>
    <w:bookmarkStart w:id="86" w:name="page87"/>
    <w:bookmarkEnd w:id="86"/>
    <w:p>
      <w:pPr>
        <w:jc w:val="both"/>
        <w:ind w:firstLine="495"/>
        <w:spacing w:after="0" w:line="263" w:lineRule="auto"/>
        <w:rPr>
          <w:sz w:val="20"/>
          <w:szCs w:val="20"/>
          <w:color w:val="auto"/>
        </w:rPr>
      </w:pPr>
      <w:r>
        <w:rPr>
          <w:rFonts w:ascii="Arial" w:cs="Arial" w:eastAsia="Arial" w:hAnsi="Arial"/>
          <w:sz w:val="18"/>
          <w:szCs w:val="18"/>
          <w:color w:val="auto"/>
        </w:rPr>
        <w:t>There was approximately $15,000 and $0.1 million of total recognized compensation cost related to restricted stock for the years ended April 30, 2020 and 2019, respectively. As of April 30, 2020, there is $10,000 of unrecognized compensation cost remaining related to unvested restricted stock granted under our plans. This cost is expected to be recognized over a weighted-average period of 0.6 years.</w:t>
      </w:r>
    </w:p>
    <w:p>
      <w:pPr>
        <w:spacing w:after="0" w:line="184"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During the year ended April 30, 2020, the Company granted 51,547 shares, subject to service-based vesting requirements, to an employee that were granted outside the Company stock incentive plans. There was approximately $20,000 of total recognized compensation cost, and $30,000 of unrecognized compensation cost, related to this award for the year ended April 30, 2020. This unrecognized cost is expected to be recognized over a weighted-average period of 0.6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92" w:lineRule="exact"/>
        <w:rPr>
          <w:sz w:val="20"/>
          <w:szCs w:val="20"/>
          <w:color w:val="auto"/>
        </w:rPr>
      </w:pPr>
    </w:p>
    <w:p>
      <w:pPr>
        <w:jc w:val="both"/>
        <w:ind w:left="780" w:right="20" w:hanging="768"/>
        <w:spacing w:after="0" w:line="263" w:lineRule="auto"/>
        <w:tabs>
          <w:tab w:leader="none" w:pos="76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4" w:lineRule="exact"/>
        <w:rPr>
          <w:sz w:val="20"/>
          <w:szCs w:val="20"/>
          <w:color w:val="auto"/>
        </w:rPr>
      </w:pPr>
    </w:p>
    <w:p>
      <w:pPr>
        <w:jc w:val="both"/>
        <w:ind w:left="780" w:hanging="768"/>
        <w:spacing w:after="0" w:line="263" w:lineRule="auto"/>
        <w:tabs>
          <w:tab w:leader="none" w:pos="760" w:val="left"/>
        </w:tabs>
        <w:rPr>
          <w:sz w:val="20"/>
          <w:szCs w:val="20"/>
          <w:color w:val="auto"/>
        </w:rPr>
      </w:pPr>
      <w:r>
        <w:rPr>
          <w:rFonts w:ascii="Arial" w:cs="Arial" w:eastAsia="Arial" w:hAnsi="Arial"/>
          <w:sz w:val="18"/>
          <w:szCs w:val="18"/>
          <w:color w:val="auto"/>
        </w:rPr>
        <w:t>Level 2</w:t>
        <w:tab/>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4" w:lineRule="exact"/>
        <w:rPr>
          <w:sz w:val="20"/>
          <w:szCs w:val="20"/>
          <w:color w:val="auto"/>
        </w:rPr>
      </w:pPr>
    </w:p>
    <w:p>
      <w:pPr>
        <w:jc w:val="both"/>
        <w:ind w:left="780" w:hanging="768"/>
        <w:spacing w:after="0" w:line="263" w:lineRule="auto"/>
        <w:tabs>
          <w:tab w:leader="none" w:pos="760" w:val="left"/>
        </w:tabs>
        <w:rPr>
          <w:sz w:val="20"/>
          <w:szCs w:val="20"/>
          <w:color w:val="auto"/>
        </w:rPr>
      </w:pPr>
      <w:r>
        <w:rPr>
          <w:rFonts w:ascii="Arial" w:cs="Arial" w:eastAsia="Arial" w:hAnsi="Arial"/>
          <w:sz w:val="18"/>
          <w:szCs w:val="18"/>
          <w:color w:val="auto"/>
        </w:rPr>
        <w:t>Level 3</w:t>
        <w:tab/>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4"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year ended April 30, 2020 and 2018.</w:t>
      </w:r>
    </w:p>
    <w:p>
      <w:pPr>
        <w:spacing w:after="0" w:line="170"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4"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fair value of the Company’s warrant liabilities (refer to Note 8)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Quoted prices in</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Total Carrying</w:t>
            </w:r>
          </w:p>
        </w:tc>
        <w:tc>
          <w:tcPr>
            <w:tcW w:w="1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0"/>
              </w:rPr>
              <w:t>active markets for</w:t>
            </w: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62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Value in</w:t>
            </w:r>
          </w:p>
        </w:tc>
        <w:tc>
          <w:tcPr>
            <w:tcW w:w="1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6"/>
              </w:rPr>
              <w:t>identical assets or</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Significant other</w:t>
            </w:r>
          </w:p>
        </w:tc>
        <w:tc>
          <w:tcPr>
            <w:tcW w:w="4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unobservable</w:t>
            </w:r>
          </w:p>
        </w:tc>
      </w:tr>
      <w:tr>
        <w:trPr>
          <w:trHeight w:val="216"/>
        </w:trPr>
        <w:tc>
          <w:tcPr>
            <w:tcW w:w="462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Consolidated</w:t>
            </w:r>
          </w:p>
        </w:tc>
        <w:tc>
          <w:tcPr>
            <w:tcW w:w="46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liabilities</w:t>
            </w:r>
          </w:p>
        </w:tc>
        <w:tc>
          <w:tcPr>
            <w:tcW w:w="19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observable inputs</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inputs</w:t>
            </w:r>
          </w:p>
        </w:tc>
      </w:tr>
      <w:tr>
        <w:trPr>
          <w:trHeight w:val="241"/>
        </w:trPr>
        <w:tc>
          <w:tcPr>
            <w:tcW w:w="4620" w:type="dxa"/>
            <w:vAlign w:val="bottom"/>
          </w:tcPr>
          <w:p>
            <w:pPr>
              <w:spacing w:after="0"/>
              <w:rPr>
                <w:sz w:val="20"/>
                <w:szCs w:val="20"/>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Balance Sheet</w:t>
            </w:r>
          </w:p>
        </w:tc>
        <w:tc>
          <w:tcPr>
            <w:tcW w:w="460" w:type="dxa"/>
            <w:vAlign w:val="bottom"/>
          </w:tcPr>
          <w:p>
            <w:pPr>
              <w:spacing w:after="0"/>
              <w:rPr>
                <w:sz w:val="20"/>
                <w:szCs w:val="20"/>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(Level 2)</w:t>
            </w:r>
          </w:p>
        </w:tc>
        <w:tc>
          <w:tcPr>
            <w:tcW w:w="4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3)</w:t>
            </w:r>
          </w:p>
        </w:tc>
      </w:tr>
      <w:tr>
        <w:trPr>
          <w:trHeight w:val="230"/>
        </w:trPr>
        <w:tc>
          <w:tcPr>
            <w:tcW w:w="46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(in thousands)</w:t>
            </w:r>
          </w:p>
        </w:tc>
        <w:tc>
          <w:tcPr>
            <w:tcW w:w="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Quoted prices in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Total Carrying</w:t>
            </w:r>
          </w:p>
        </w:tc>
        <w:tc>
          <w:tcPr>
            <w:tcW w:w="2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active markets for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Value in</w:t>
            </w:r>
          </w:p>
        </w:tc>
        <w:tc>
          <w:tcPr>
            <w:tcW w:w="24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identical assets or</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Significant other</w:t>
            </w:r>
          </w:p>
        </w:tc>
        <w:tc>
          <w:tcPr>
            <w:tcW w:w="134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7"/>
              </w:rPr>
              <w:t>unobservable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Consolidated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liabilities</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observable inputs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Balance Sheet</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50"/>
              <w:spacing w:after="0"/>
              <w:rPr>
                <w:sz w:val="20"/>
                <w:szCs w:val="20"/>
                <w:color w:val="auto"/>
              </w:rPr>
            </w:pPr>
            <w:r>
              <w:rPr>
                <w:rFonts w:ascii="Arial" w:cs="Arial" w:eastAsia="Arial" w:hAnsi="Arial"/>
                <w:sz w:val="18"/>
                <w:szCs w:val="18"/>
                <w:b w:val="1"/>
                <w:bCs w:val="1"/>
                <w:color w:val="auto"/>
                <w:w w:val="90"/>
              </w:rPr>
              <w:t>(Level 2)</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0"/>
              </w:rPr>
              <w:t>(Level 3)</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640" w:type="dxa"/>
            <w:vAlign w:val="bottom"/>
            <w:gridSpan w:val="9"/>
          </w:tcPr>
          <w:p>
            <w:pPr>
              <w:spacing w:after="0"/>
              <w:rPr>
                <w:sz w:val="20"/>
                <w:szCs w:val="20"/>
                <w:color w:val="auto"/>
              </w:rPr>
            </w:pPr>
            <w:r>
              <w:rPr>
                <w:rFonts w:ascii="Arial" w:cs="Arial" w:eastAsia="Arial" w:hAnsi="Arial"/>
                <w:sz w:val="18"/>
                <w:szCs w:val="18"/>
                <w:color w:val="auto"/>
                <w:w w:val="93"/>
              </w:rPr>
              <w:t>The following table provides a summary of changes in the fair value of the warrant liabilities during the year ended April 30, 2020;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jc w:val="center"/>
              <w:ind w:right="870"/>
              <w:spacing w:after="0"/>
              <w:rPr>
                <w:sz w:val="20"/>
                <w:szCs w:val="20"/>
                <w:color w:val="auto"/>
              </w:rPr>
            </w:pPr>
            <w:r>
              <w:rPr>
                <w:rFonts w:ascii="Arial" w:cs="Arial" w:eastAsia="Arial" w:hAnsi="Arial"/>
                <w:sz w:val="18"/>
                <w:szCs w:val="18"/>
                <w:color w:val="auto"/>
                <w:w w:val="89"/>
              </w:rPr>
              <w:t>Total Warrant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rPr>
              <w:t>Liability</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9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2018</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Change in fair value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2019</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Fair value – April 30, 2020</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 for the years ended April 30, 2020 and 2019 consisted of the following components: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6"/>
              </w:rPr>
              <w:t>April 30, 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8"/>
              </w:rPr>
              <w:t>April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gridSpan w:val="5"/>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Foreign</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6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 before income taxes</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73"/>
        <w:spacing w:after="0" w:line="277" w:lineRule="auto"/>
        <w:rPr>
          <w:sz w:val="20"/>
          <w:szCs w:val="20"/>
          <w:color w:val="auto"/>
        </w:rPr>
      </w:pPr>
      <w:r>
        <w:rPr>
          <w:rFonts w:ascii="Arial" w:cs="Arial" w:eastAsia="Arial" w:hAnsi="Arial"/>
          <w:sz w:val="18"/>
          <w:szCs w:val="18"/>
          <w:color w:val="auto"/>
        </w:rPr>
        <w:t>The income tax benefit for the years ended April 30, 2020 and 2019 consist of state income tax benefits of $0.9 million in each year from the sale of New Jersey net operating losses and research and development credits.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Tax Rate Reconciliation</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rate for the periods ended April 30, 2020 and 2019 to loss before income taxes as a result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w w:val="93"/>
              </w:rPr>
              <w:t>April 30, 2020</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April 30, 2019</w:t>
            </w:r>
          </w:p>
        </w:tc>
      </w:tr>
      <w:tr>
        <w:trPr>
          <w:trHeight w:val="216"/>
        </w:trPr>
        <w:tc>
          <w:tcPr>
            <w:tcW w:w="68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8"/>
              </w:rPr>
              <w:t>(21.0)%</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Increase(reduction) in income taxes resulting from:</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(benefit)</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Federal research and development tax credits</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rate differential</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non-deductible expenses</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0.0%</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of sale of New Jersey tax (benefits)</w:t>
            </w: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5.2%</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r>
      <w:tr>
        <w:trPr>
          <w:trHeight w:val="249"/>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in valuation allowance</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2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r>
      <w:tr>
        <w:trPr>
          <w:trHeight w:val="217"/>
        </w:trPr>
        <w:tc>
          <w:tcPr>
            <w:tcW w:w="68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1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1"/>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68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Components of Deferred Taxes</w:t>
      </w:r>
    </w:p>
    <w:p>
      <w:pPr>
        <w:spacing w:after="0" w:line="225"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the Company’s deferred tax assets and deferred tax liabilities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April 30, 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April 30, 2019</w:t>
            </w:r>
          </w:p>
        </w:tc>
      </w:tr>
      <w:tr>
        <w:trPr>
          <w:trHeight w:val="230"/>
        </w:trPr>
        <w:tc>
          <w:tcPr>
            <w:tcW w:w="5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Federal net operating loss carryforwards</w:t>
            </w:r>
          </w:p>
        </w:tc>
        <w:tc>
          <w:tcPr>
            <w:tcW w:w="2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33,740</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32,025</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State operating loss carryforwards</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Federal and New Jersey research and development tax credits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36"/>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 before valuation allowance</w:t>
            </w:r>
          </w:p>
        </w:tc>
        <w:tc>
          <w:tcPr>
            <w:tcW w:w="1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(42,431)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(41,708)</w:t>
            </w:r>
          </w:p>
        </w:tc>
      </w:tr>
      <w:tr>
        <w:trPr>
          <w:trHeight w:val="216"/>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350"/>
              <w:spacing w:after="0"/>
              <w:rPr>
                <w:sz w:val="20"/>
                <w:szCs w:val="20"/>
                <w:color w:val="auto"/>
              </w:rPr>
            </w:pPr>
            <w:r>
              <w:rPr>
                <w:rFonts w:ascii="Arial" w:cs="Arial" w:eastAsia="Arial" w:hAnsi="Arial"/>
                <w:sz w:val="18"/>
                <w:szCs w:val="18"/>
                <w:color w:val="auto"/>
              </w:rPr>
              <w:t>F-26</w:t>
            </w:r>
          </w:p>
        </w:tc>
        <w:tc>
          <w:tcPr>
            <w:tcW w:w="1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89" w:name="page90"/>
    <w:bookmarkEnd w:id="89"/>
    <w:p>
      <w:pPr>
        <w:jc w:val="both"/>
        <w:ind w:firstLine="518"/>
        <w:spacing w:after="0" w:line="296"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forwards become deductible or are utilized. As of April 30, 2020 and 2019, based upon the level of historical taxable losses, valuation allowances of $42.4 million and $41.7 million, respectively, were recorded to fully offset deferred tax assets. The valuation allowance increased $0.7 million during the year ended April 30, 2020 and decreased $2.5 million during the year ended 2019 respectively.</w:t>
      </w:r>
    </w:p>
    <w:p>
      <w:pPr>
        <w:spacing w:after="0" w:line="16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As of April 30, 2020, the Company had net operating loss carry forwards for federal income tax purposes of approximately $160.7 million, which begin to expire in fiscal 2021; $22.6 million of the federal carryforward has no expiration, but the deductibility of such federal net operating losses may be limited to 80% of our taxable income in future years. The Company also had federal research and development tax credit carry forwards of approximately $3.0 million as of April 30, 2020, which begins to expire in 2021. The Tax Reform Act of 1986 contains provisions that limit the utilization of net operating loss and tax credit carry 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 million. The Section 382 limitation is cumulative from year to year, and thus, to the extent net operating loss or other credit carry forwards are not utilized up to the amount of the available annual limitation, the limitation is carried forward and added to the following year’s available limitation. Such limitation only applies to net operating losses incurred in periods prior to the ownership change. The Company has not performed additional analysis on ownership changes that may have occurred subsequently to further limit the ability to utilize net tax attributes. As of April 30, 2020, the Company had state net operating loss carry forwards of approximately $22.5 million which begin to expire in 2039, which also may be limited to utilization limitations. As of April 30, 2020, the Company had foreign net operating loss carry forwards of approximately $16.3 million. The ability to utilize these carry forwards may also be limited in the event of a significant change to ownership.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Net Operating Loss</w:t>
      </w:r>
    </w:p>
    <w:p>
      <w:pPr>
        <w:spacing w:after="0" w:line="225"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During the years ended April 30, 2020 and 2019, the Company sold New Jersey State net operating losses and research and development credits in the amount of $10.0 million and $9.1 million, respectively, resulting in the recognition of income tax benefits of $0.9 million and $0.9 million, respectively, recorded in the Company’s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the Company’s Spanish branch was closed (see Note 15 to the Consolidated Financial Statements). At April 30, 2020 and 2019,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does not have any interest or penalties accrued related to uncertain tax positions as it does not have any unrecognized tax benefits.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entered into a tolling agreement with respect to his alleged employment claims pending resolution of a securities class action and shareholder derivative litigation. The securities class action was resolved in November 2017 and the derivatives litigation was resolved in June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jc w:val="both"/>
        <w:spacing w:after="0" w:line="287" w:lineRule="auto"/>
        <w:rPr>
          <w:sz w:val="20"/>
          <w:szCs w:val="20"/>
          <w:color w:val="auto"/>
        </w:rPr>
      </w:pPr>
      <w:r>
        <w:rPr>
          <w:rFonts w:ascii="Arial" w:cs="Arial" w:eastAsia="Arial" w:hAnsi="Arial"/>
          <w:sz w:val="16"/>
          <w:szCs w:val="16"/>
          <w:color w:val="auto"/>
        </w:rPr>
        <w:t xml:space="preserve">On August 28, 2018, counsel for Mr. Dunleavy filed a demand for arbitration, captioned </w:t>
      </w:r>
      <w:r>
        <w:rPr>
          <w:rFonts w:ascii="Arial" w:cs="Arial" w:eastAsia="Arial" w:hAnsi="Arial"/>
          <w:sz w:val="16"/>
          <w:szCs w:val="16"/>
          <w:i w:val="1"/>
          <w:iCs w:val="1"/>
          <w:color w:val="auto"/>
        </w:rPr>
        <w:t>Charles F. Dunleavy v. Ocean Power Technologies, Inc.,</w:t>
      </w:r>
      <w:r>
        <w:rPr>
          <w:rFonts w:ascii="Arial" w:cs="Arial" w:eastAsia="Arial" w:hAnsi="Arial"/>
          <w:sz w:val="16"/>
          <w:szCs w:val="16"/>
          <w:color w:val="auto"/>
        </w:rPr>
        <w:t xml:space="preserve"> Case No. 01-18-0003-2374, before the American Arbitration Association in New Jersey. The demand names Ocean Power Technologies, Inc. as the respondent and alleges various claims and seeks declaratory relief and permanent injunction. The demand seeks damages in the amount of $5 million for compensatory and punitive damages, plus interest and attorneys’ fees as well as certain equitable relief. On November 8, 2018, the Company through counsel responded to the demand for arbitration, denied all allegations, and asserted various affirmative defenses. On April 5, 2019, a three-person arbitration panel scheduled the discovery process to run from April 12, 2019 until November 9, 2019, set a pre-hearing case management conference for October 14, 2019, and set the hearing for December 9-13, 2019. On September 30, 2019, the parties completed the factual discovery process and the Company identified its expert witnesses. On October 14, 2019, the parties participated in a pre-hearing case management conference with arbitration panel and altered slightly the dates for the hearing. The hearing was conducted between December 9-11, 2019, and between December 16-18, 2019, and on December 18, 2019 the panel decided to continue the hearing for at least another day of testimony. The final day of hearing has now been scheduled for July 15, 2020, and the hearing will be conducted in Princeton, New Jersey. As of April 30, 2020, the Company has not accrued any provision related to this matter since it is not probable and cannot reasonably estimate the loss contingency.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Notification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 2020, the Company received a notification from the NASDAQ Stock Market (the “NASDAQ”) indicating that the minimum bid price of the Company’s common stock has been below $1.00 per share for 30 consecutive business days and as a result, the Company is not in compliance with the minimum bid price requirement for continued listing. The NASDAQ notice has no immediate effect on the listing or trading of the Company’s common stock. Under the NASDAQ Listing Rules, the Company has a grace period of 180 calendar days, or until August 31, 2020, in which to regain compliance with the minimum bid price rule. To regain compliance, the closing bid price of the Company’s common stock must meet or exceed $1.00 per share for a minimum of ten consecutive business days during this grace period. On April 20, 2020, the Company received a written notice from NASDAQ indicating that, as a result of the tolling of the bid price requirements due to COVID-19, the period within which the Company has to regain compliance was extended from August 31, 2020 to November 13,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ind w:firstLine="518"/>
        <w:spacing w:after="0" w:line="301" w:lineRule="auto"/>
        <w:rPr>
          <w:sz w:val="20"/>
          <w:szCs w:val="20"/>
          <w:color w:val="auto"/>
        </w:rPr>
      </w:pPr>
      <w:r>
        <w:rPr>
          <w:rFonts w:ascii="Arial" w:cs="Arial" w:eastAsia="Arial" w:hAnsi="Arial"/>
          <w:sz w:val="16"/>
          <w:szCs w:val="16"/>
          <w:color w:val="auto"/>
        </w:rPr>
        <w:t>The Company is currently undergoing an income tax audit in Spain for the period from 2011 to 2014, the Spanish tax inspector has raised questions with respect to the Company’s recognition of funds received during this time period from a governmental grant from the European Commission in connection with the Waveport project. It is anticipated that the Company will be assessed a penalty relating to these tax years. The Company has estimated this penalty to be $177,000 and as of April 30, 2020 and 2019 has recorded the penalty in Accrued expenses in the Consolidated Balance Sheet.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Operating Segments and Geographic Information</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Geographic information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1"/>
              </w:rPr>
              <w:t>Year Ended April 30, 2020</w:t>
            </w: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North America</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Europe</w:t>
            </w:r>
          </w:p>
        </w:tc>
        <w:tc>
          <w:tcPr>
            <w:tcW w:w="17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Asia and Australia</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(11,110)</w:t>
            </w:r>
          </w:p>
        </w:tc>
        <w:tc>
          <w:tcPr>
            <w:tcW w:w="4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11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(11,365)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499</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13,251</w:t>
            </w:r>
          </w:p>
        </w:tc>
        <w:tc>
          <w:tcPr>
            <w:tcW w:w="44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110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251</w:t>
            </w:r>
          </w:p>
        </w:tc>
        <w:tc>
          <w:tcPr>
            <w:tcW w:w="4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13,538</w:t>
            </w:r>
          </w:p>
        </w:tc>
      </w:tr>
      <w:tr>
        <w:trPr>
          <w:trHeight w:val="425"/>
        </w:trPr>
        <w:tc>
          <w:tcPr>
            <w:tcW w:w="3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F-28</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1"/>
              </w:rPr>
              <w:t>Year Ended April 30, 2019</w:t>
            </w: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North America</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Europe</w:t>
            </w:r>
          </w:p>
        </w:tc>
        <w:tc>
          <w:tcPr>
            <w:tcW w:w="17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Asia and Australia</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(in thousands)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(13,045)</w:t>
            </w:r>
          </w:p>
        </w:tc>
        <w:tc>
          <w:tcPr>
            <w:tcW w:w="44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11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(13,271)</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592</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18,028</w:t>
            </w:r>
          </w:p>
        </w:tc>
        <w:tc>
          <w:tcPr>
            <w:tcW w:w="44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10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18,366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the COVID-19 pandemic, the U.S. Government passed the CARES Act. On May 3, 2020, the Company signed a PPP loan with Santander as the lender for $890,347 in support through the Small Business Association (“SBA”) under the PPP Loan. The PPP Loan will be unsecured and evidenced by a note in favor of Santander as the lender (the “Note”) and governed by a Loan Agreement with Santander (the “Loan Agreement”). The Company received the proceeds on May 5, 2020. The SBA allows loan forgiveness for costs incurred and paid for a) payroll costs, b) interest on any real or personal property mortgage incurred prior to February 15, 2020, c) rent on any lease in force prior to February 15, 2020, and d) utility payments for which service began before February 15,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Pr>
          <w:p>
            <w:pPr>
              <w:ind w:left="2240"/>
              <w:spacing w:after="0"/>
              <w:rPr>
                <w:sz w:val="20"/>
                <w:szCs w:val="20"/>
                <w:color w:val="auto"/>
              </w:rPr>
            </w:pPr>
            <w:r>
              <w:rPr>
                <w:rFonts w:ascii="Arial" w:cs="Arial" w:eastAsia="Arial" w:hAnsi="Arial"/>
                <w:sz w:val="18"/>
                <w:szCs w:val="18"/>
                <w:b w:val="1"/>
                <w:bCs w:val="1"/>
                <w:color w:val="auto"/>
                <w:w w:val="99"/>
              </w:rPr>
              <w:t>EXHIBIT 21.1</w:t>
            </w:r>
          </w:p>
        </w:tc>
      </w:tr>
      <w:tr>
        <w:trPr>
          <w:trHeight w:val="452"/>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24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18"/>
        </w:trPr>
        <w:tc>
          <w:tcPr>
            <w:tcW w:w="7880" w:type="dxa"/>
            <w:vAlign w:val="bottom"/>
            <w:gridSpan w:val="2"/>
          </w:tcPr>
          <w:p>
            <w:pPr>
              <w:spacing w:after="0"/>
              <w:rPr>
                <w:sz w:val="20"/>
                <w:szCs w:val="20"/>
                <w:color w:val="auto"/>
              </w:rPr>
            </w:pPr>
            <w:r>
              <w:rPr>
                <w:rFonts w:ascii="Arial" w:cs="Arial" w:eastAsia="Arial" w:hAnsi="Arial"/>
                <w:sz w:val="18"/>
                <w:szCs w:val="18"/>
                <w:color w:val="auto"/>
              </w:rPr>
              <w:t>Ocean Power Technologies Ltd</w:t>
            </w: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Ocean Power Technologies (Australasia) Pty Ltd</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Reedsport OPT Wave Park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Oregon Wave Energy Partners I, LLC</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Victorian Wave Partners Pty Ltd</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39"/>
        </w:trPr>
        <w:tc>
          <w:tcPr>
            <w:tcW w:w="7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3" w:name="page94"/>
    <w:bookmarkEnd w:id="93"/>
    <w:p>
      <w:pPr>
        <w:ind w:left="1012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 333-217209, No. 333-213519, No. 333-226820, No. 333-230199, No. 333-234320, No. 333-235995 and No. 333-239130) on Form S-1, registration statements (No. 333-208522, No. 333-214316, No. 333-224436 and No. 333-232755) on Form S-8, and the registration statement (No. 333-221867) on Form S-3 of Ocean Power Technologies, Inc. of our report dated June 29, 2020, with respect to the consolidated balance sheets of Ocean Power Technologies, Inc. and subsidiaries as of April 30, 2020 and 2019, the related consolidated statements of operations, comprehensive loss, stockholders’ equity, and cash flows for the years then ended, and the related notes, which report appears in the April 30, 2020 annual report on Form 10-K of Ocean Power Technologies, Inc.</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report on the consolidated financial statements also refers to the Company’s adoption of Accounting Standards Update (ASU)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 and the related amendments.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report dated June 29, 2020 contains an explanatory paragraph that states that the Company has suffered recurring losses from operations and has an accumulated deficit that raise substantial doubt about its ability to continue as a going concern, as discussed in Note 1(b) to the consolidated financial statements. The consolidated financial statements do not include any adjustments that might result from the outcome of that uncertainty.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2020 as filed with the Securities and Exchange Commission on the date hereof (the “Report”), the undersigned, George H. Kirby III, Chief Executive Officer of the Company, hereby certifies, pursuant to 18 U.S.C. Section 1350, that:</w:t>
      </w:r>
    </w:p>
    <w:p>
      <w:pPr>
        <w:spacing w:after="0" w:line="18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2020</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95"/>
        <w:spacing w:after="0" w:line="263"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2020 as filed with the Securities and Exchange Commission on the date hereof (the “Report”), the undersigned, Matthew T. Shafer, Chief Financial Officer of the Company, hereby certifies, pursuant to 18 U.S.C. Section 1350, that:</w:t>
      </w:r>
    </w:p>
    <w:p>
      <w:pPr>
        <w:spacing w:after="0" w:line="18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2020</w:t>
      </w:r>
    </w:p>
    <w:p>
      <w:pPr>
        <w:spacing w:after="0" w:line="225"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3"/>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decimal"/>
      <w:start w:val="10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lvl w:ilvl="1">
      <w:lvlJc w:val="left"/>
      <w:lvlText w:val="(%2)"/>
      <w:numFmt w:val="lowerLetter"/>
      <w:start w:val="1"/>
    </w:lvl>
  </w:abstractNum>
  <w:abstractNum w:abstractNumId="40">
    <w:nsid w:val="542289EC"/>
    <w:multiLevelType w:val="hybridMultilevel"/>
    <w:lvl w:ilvl="0">
      <w:lvlJc w:val="left"/>
      <w:lvlText w:val="(%1)"/>
      <w:numFmt w:val="decimal"/>
      <w:start w:val="2"/>
    </w:lvl>
    <w:lvl w:ilvl="1">
      <w:lvlJc w:val="left"/>
      <w:lvlText w:val="(%2)"/>
      <w:numFmt w:val="lowerLetter"/>
      <w:start w:val="1"/>
    </w:lvl>
  </w:abstractNum>
  <w:abstractNum w:abstractNumId="41">
    <w:nsid w:val="6DE91B18"/>
    <w:multiLevelType w:val="hybridMultilevel"/>
    <w:lvl w:ilvl="0">
      <w:lvlJc w:val="left"/>
      <w:lvlText w:val="%1."/>
      <w:numFmt w:val="decimal"/>
      <w:start w:val="13"/>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69" Type="http://schemas.openxmlformats.org/officeDocument/2006/relationships/hyperlink" Target="https://www.sec.gov/Archives/edgar/data/1378140/000095012307012637/y39497exv3w1.txt" TargetMode="External"/><Relationship Id="rId70" Type="http://schemas.openxmlformats.org/officeDocument/2006/relationships/hyperlink" Target="https://www.sec.gov/Archives/edgar/data/1378140/000143774915018957/ex3-1.htm" TargetMode="External"/><Relationship Id="rId71" Type="http://schemas.openxmlformats.org/officeDocument/2006/relationships/hyperlink" Target="https://www.sec.gov/Archives/edgar/data/1378140/000143774916034324/ex3-2.htm" TargetMode="External"/><Relationship Id="rId72" Type="http://schemas.openxmlformats.org/officeDocument/2006/relationships/hyperlink" Target="https://www.sec.gov/Archives/edgar/data/1378140/000143774916040048/ex3-1.htm" TargetMode="External"/><Relationship Id="rId73" Type="http://schemas.openxmlformats.org/officeDocument/2006/relationships/hyperlink" Target="http://www.sec.gov/Archives/edgar/data/1378140/000149315219003045/ex3-1.htm" TargetMode="External"/><Relationship Id="rId74" Type="http://schemas.openxmlformats.org/officeDocument/2006/relationships/hyperlink" Target="https://www.sec.gov/Archives/edgar/data/1378140/000095012307004036/y25790a2exv4w1.htm" TargetMode="External"/><Relationship Id="rId75" Type="http://schemas.openxmlformats.org/officeDocument/2006/relationships/hyperlink" Target="https://www.sec.gov/Archives/edgar/data/1378140/000143774916033412/ex4-1.htm" TargetMode="External"/><Relationship Id="rId76" Type="http://schemas.openxmlformats.org/officeDocument/2006/relationships/hyperlink" Target="http://www.sec.gov/Archives/edgar/data/1378140/000143774916035549/ex4-1.htm" TargetMode="External"/><Relationship Id="rId77" Type="http://schemas.openxmlformats.org/officeDocument/2006/relationships/hyperlink" Target="https://www.sec.gov/Archives/edgar/data/1378140/000149315218011541/ex4-1.htm" TargetMode="External"/><Relationship Id="rId78" Type="http://schemas.openxmlformats.org/officeDocument/2006/relationships/hyperlink" Target="https://www.sec.gov/Archives/edgar/data/1378140/000149315219004836/ex4-7.htm" TargetMode="External"/><Relationship Id="rId79" Type="http://schemas.openxmlformats.org/officeDocument/2006/relationships/hyperlink" Target="https://www.sec.gov/Archives/edgar/data/1378140/000149315219004956/ex4-2.htm" TargetMode="External"/><Relationship Id="rId80" Type="http://schemas.openxmlformats.org/officeDocument/2006/relationships/hyperlink" Target="https://www.sec.gov/Archives/edgar/data/1378140/000149315219004956/ex4-3.htm" TargetMode="External"/><Relationship Id="rId81" Type="http://schemas.openxmlformats.org/officeDocument/2006/relationships/hyperlink" Target="https://www.sec.gov/Archives/edgar/data/1378140/000143774913011400/optt20130826_def14a.htm" TargetMode="External"/><Relationship Id="rId82" Type="http://schemas.openxmlformats.org/officeDocument/2006/relationships/hyperlink" Target="https://www.sec.gov/Archives/edgar/data/1378140/000095012311025230/c14079exv10w1.htm" TargetMode="External"/><Relationship Id="rId83" Type="http://schemas.openxmlformats.org/officeDocument/2006/relationships/hyperlink" Target="https://www.sec.gov/Archives/edgar/data/1378140/000143774915004705/ex10-1.htm" TargetMode="External"/><Relationship Id="rId84" Type="http://schemas.openxmlformats.org/officeDocument/2006/relationships/hyperlink" Target="https://www.sec.gov/Archives/edgar/data/1378140/000143774916031489/ex10-1.htm" TargetMode="External"/><Relationship Id="rId85" Type="http://schemas.openxmlformats.org/officeDocument/2006/relationships/hyperlink" Target="https://www.sec.gov/Archives/edgar/data/1378140/000143774916033194/ex99-3.htm" TargetMode="External"/><Relationship Id="rId86" Type="http://schemas.openxmlformats.org/officeDocument/2006/relationships/hyperlink" Target="http://www.sec.gov/Archives/edgar/data/1378140/000143774916033355/ex10-1.htm" TargetMode="External"/><Relationship Id="rId87" Type="http://schemas.openxmlformats.org/officeDocument/2006/relationships/hyperlink" Target="https://www.sec.gov/Archives/edgar/data/1378140/000143774916033412/ex99-4.htm" TargetMode="External"/><Relationship Id="rId88" Type="http://schemas.openxmlformats.org/officeDocument/2006/relationships/hyperlink" Target="http://www.sec.gov/Archives/edgar/data/1378140/000143774916035442/ex99-2.htm" TargetMode="External"/><Relationship Id="rId89" Type="http://schemas.openxmlformats.org/officeDocument/2006/relationships/hyperlink" Target="http://www.sec.gov/Archives/edgar/data/1378140/000143774916035503/ex10-1.htm" TargetMode="External"/><Relationship Id="rId90" Type="http://schemas.openxmlformats.org/officeDocument/2006/relationships/hyperlink" Target="http://www.sec.gov/Archives/edgar/data/1378140/000143774916038184/ex10-1.htm" TargetMode="External"/><Relationship Id="rId91" Type="http://schemas.openxmlformats.org/officeDocument/2006/relationships/hyperlink" Target="https://www.sec.gov/Archives/edgar/data/1378140/000143774915016806/optt20150901_def14a.htm" TargetMode="External"/><Relationship Id="rId92" Type="http://schemas.openxmlformats.org/officeDocument/2006/relationships/hyperlink" Target="https://www.sec.gov/Archives/edgar/data/1378140/000143774916038671/ex10-1.htm" TargetMode="External"/><Relationship Id="rId93" Type="http://schemas.openxmlformats.org/officeDocument/2006/relationships/hyperlink" Target="https://www.sec.gov/Archives/edgar/data/1378140/000149315218000778/ex10-1.htm" TargetMode="External"/><Relationship Id="rId94" Type="http://schemas.openxmlformats.org/officeDocument/2006/relationships/hyperlink" Target="https://www.sec.gov/Archives/edgar/data/1378140/000149315218000778/ex10-2.htm" TargetMode="External"/><Relationship Id="rId95" Type="http://schemas.openxmlformats.org/officeDocument/2006/relationships/hyperlink" Target="https://www.sec.gov/Archives/edgar/data/1378140/000149315218003541/ex10-1.htm" TargetMode="External"/><Relationship Id="rId96" Type="http://schemas.openxmlformats.org/officeDocument/2006/relationships/hyperlink" Target="https://www.sec.gov/Archives/edgar/data/1378140/000149315218010086/ex10-27.htm" TargetMode="External"/><Relationship Id="rId97" Type="http://schemas.openxmlformats.org/officeDocument/2006/relationships/hyperlink" Target="https://www.sec.gov/Archives/edgar/data/1378140/000149315218010119/ex10-2.htm" TargetMode="External"/><Relationship Id="rId98" Type="http://schemas.openxmlformats.org/officeDocument/2006/relationships/hyperlink" Target="https://www.sec.gov/Archives/edgar/data/1378140/000149315218011541/ex10-1.htm" TargetMode="External"/><Relationship Id="rId99" Type="http://schemas.openxmlformats.org/officeDocument/2006/relationships/hyperlink" Target="https://www.sec.gov/Archives/edgar/data/1378140/000149315219000240/ex10-1.htm" TargetMode="External"/><Relationship Id="rId100" Type="http://schemas.openxmlformats.org/officeDocument/2006/relationships/hyperlink" Target="https://www.sec.gov/Archives/edgar/data/1378140/000149315219003082/ex10-2.htm" TargetMode="External"/><Relationship Id="rId101" Type="http://schemas.openxmlformats.org/officeDocument/2006/relationships/hyperlink" Target="https://www.sec.gov/Archives/edgar/data/1378140/000149315219005032/ex4-1.htm" TargetMode="External"/><Relationship Id="rId102" Type="http://schemas.openxmlformats.org/officeDocument/2006/relationships/hyperlink" Target="https://www.sec.gov/Archives/edgar/data/1378140/000149315219009701/ex10-1.htm" TargetMode="External"/><Relationship Id="rId103" Type="http://schemas.openxmlformats.org/officeDocument/2006/relationships/hyperlink" Target="https://www.sec.gov/Archives/edgar/data/1378140/000149315219010930/ex10-37.htm" TargetMode="External"/><Relationship Id="rId104" Type="http://schemas.openxmlformats.org/officeDocument/2006/relationships/hyperlink" Target="https://www.sec.gov/Archives/edgar/data/1378140/000149315219014434/ex10-1.htm" TargetMode="External"/><Relationship Id="rId105" Type="http://schemas.openxmlformats.org/officeDocument/2006/relationships/hyperlink" Target="https://www.sec.gov/Archives/edgar/data/1378140/000149315219014434/ex10-2.htm" TargetMode="External"/><Relationship Id="rId106" Type="http://schemas.openxmlformats.org/officeDocument/2006/relationships/hyperlink" Target="https://www.sec.gov/Archives/edgar/data/1378140/000149315220003608/ex10-1.htm" TargetMode="External"/><Relationship Id="rId107" Type="http://schemas.openxmlformats.org/officeDocument/2006/relationships/hyperlink" Target="https://www.sec.gov/Archives/edgar/data/1378140/000149315220007938/ex10-1.htm" TargetMode="External"/><Relationship Id="rId108" Type="http://schemas.openxmlformats.org/officeDocument/2006/relationships/hyperlink" Target="https://www.sec.gov/Archives/edgar/data/1378140/00014931522000793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2020-06-29T15:03:51Z</dcterms:created>
  <dcterms:modified xsi:type="dcterms:W3CDTF">2020-06-29T15:03:51Z</dcterms:modified>
</cp:coreProperties>
</file>