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1100" w:hanging="893"/>
        <w:spacing w:after="0"/>
        <w:tabs>
          <w:tab w:leader="none" w:pos="110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6" w:lineRule="exact"/>
        <w:rPr>
          <w:rFonts w:ascii="Arial" w:cs="Arial" w:eastAsia="Arial" w:hAnsi="Arial"/>
          <w:sz w:val="17"/>
          <w:szCs w:val="17"/>
          <w:color w:val="auto"/>
        </w:rPr>
      </w:pPr>
    </w:p>
    <w:p>
      <w:pPr>
        <w:ind w:left="3720"/>
        <w:spacing w:after="0"/>
        <w:rPr>
          <w:rFonts w:ascii="Arial" w:cs="Arial" w:eastAsia="Arial" w:hAnsi="Arial"/>
          <w:sz w:val="17"/>
          <w:szCs w:val="17"/>
          <w:color w:val="auto"/>
        </w:rPr>
      </w:pPr>
      <w:r>
        <w:rPr>
          <w:rFonts w:ascii="Arial" w:cs="Arial" w:eastAsia="Arial" w:hAnsi="Arial"/>
          <w:sz w:val="18"/>
          <w:szCs w:val="18"/>
          <w:b w:val="1"/>
          <w:bCs w:val="1"/>
          <w:color w:val="auto"/>
        </w:rPr>
        <w:t>For the Quarterly Period Ended October 31, 2020</w:t>
      </w:r>
    </w:p>
    <w:p>
      <w:pPr>
        <w:sectPr>
          <w:pgSz w:w="11900" w:h="16838" w:orient="portrait"/>
          <w:cols w:equalWidth="0" w:num="1">
            <w:col w:w="11240"/>
          </w:cols>
          <w:pgMar w:left="320" w:top="74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2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right="98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001-33417</w:t>
      </w:r>
    </w:p>
    <w:p>
      <w:pPr>
        <w:spacing w:after="0" w:line="200" w:lineRule="exact"/>
        <w:rPr>
          <w:sz w:val="24"/>
          <w:szCs w:val="24"/>
          <w:color w:val="auto"/>
        </w:rPr>
      </w:pPr>
    </w:p>
    <w:p>
      <w:pPr>
        <w:sectPr>
          <w:pgSz w:w="11900" w:h="16838" w:orient="portrait"/>
          <w:cols w:equalWidth="0" w:num="2">
            <w:col w:w="420" w:space="680"/>
            <w:col w:w="10140"/>
          </w:cols>
          <w:pgMar w:left="320" w:top="746" w:right="339" w:bottom="1440" w:gutter="0" w:footer="0" w:header="0"/>
          <w:type w:val="continuous"/>
        </w:sectPr>
      </w:pP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OCEAN POWER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746" w:right="339" w:bottom="1440" w:gutter="0" w:footer="0" w:header="0"/>
          <w:type w:val="continuous"/>
        </w:sectPr>
      </w:pPr>
    </w:p>
    <w:p>
      <w:pPr>
        <w:spacing w:after="0" w:line="205"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4"/>
          <w:szCs w:val="24"/>
          <w:color w:val="auto"/>
        </w:rPr>
      </w:pPr>
    </w:p>
    <w:p>
      <w:pPr>
        <w:ind w:left="162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Arial" w:cs="Arial" w:eastAsia="Arial" w:hAnsi="Arial"/>
          <w:sz w:val="17"/>
          <w:szCs w:val="17"/>
          <w:i w:val="1"/>
          <w:iCs w:val="1"/>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6"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 ENGELHARD DRIVE, SUITE B, MONROE TOWNSHIP, NJ 08831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453"/>
        </w:trPr>
        <w:tc>
          <w:tcPr>
            <w:tcW w:w="338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40" w:type="dxa"/>
            <w:vAlign w:val="bottom"/>
          </w:tcPr>
          <w:p>
            <w:pPr>
              <w:spacing w:after="0"/>
              <w:rPr>
                <w:sz w:val="24"/>
                <w:szCs w:val="24"/>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7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4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OPTT</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4" w:lineRule="exact"/>
        <w:rPr>
          <w:sz w:val="24"/>
          <w:szCs w:val="24"/>
          <w:color w:val="auto"/>
        </w:rPr>
      </w:pPr>
    </w:p>
    <w:p>
      <w:pPr>
        <w:ind w:left="560"/>
        <w:spacing w:after="0"/>
        <w:tabs>
          <w:tab w:leader="none" w:pos="3560" w:val="left"/>
          <w:tab w:leader="none" w:pos="5980" w:val="left"/>
          <w:tab w:leader="none" w:pos="8640" w:val="left"/>
        </w:tabs>
        <w:rPr>
          <w:sz w:val="20"/>
          <w:szCs w:val="20"/>
          <w:color w:val="auto"/>
        </w:rPr>
      </w:pPr>
      <w:r>
        <w:rPr>
          <w:rFonts w:ascii="Arial" w:cs="Arial" w:eastAsia="Arial" w:hAnsi="Arial"/>
          <w:sz w:val="18"/>
          <w:szCs w:val="18"/>
          <w:color w:val="auto"/>
        </w:rPr>
        <w:t>Large accelerated filer [ ]</w:t>
      </w:r>
      <w:r>
        <w:rPr>
          <w:sz w:val="20"/>
          <w:szCs w:val="20"/>
          <w:color w:val="auto"/>
        </w:rPr>
        <w:tab/>
      </w:r>
      <w:r>
        <w:rPr>
          <w:rFonts w:ascii="Arial" w:cs="Arial" w:eastAsia="Arial" w:hAnsi="Arial"/>
          <w:sz w:val="18"/>
          <w:szCs w:val="18"/>
          <w:color w:val="auto"/>
        </w:rPr>
        <w:t>Accelerated filer [ ]</w:t>
      </w:r>
      <w:r>
        <w:rPr>
          <w:sz w:val="20"/>
          <w:szCs w:val="20"/>
          <w:color w:val="auto"/>
        </w:rPr>
        <w:tab/>
      </w:r>
      <w:r>
        <w:rPr>
          <w:rFonts w:ascii="Arial" w:cs="Arial" w:eastAsia="Arial" w:hAnsi="Arial"/>
          <w:sz w:val="18"/>
          <w:szCs w:val="18"/>
          <w:color w:val="auto"/>
        </w:rPr>
        <w:t>Non-accelerated filer [ ]</w:t>
      </w:r>
      <w:r>
        <w:rPr>
          <w:sz w:val="20"/>
          <w:szCs w:val="20"/>
          <w:color w:val="auto"/>
        </w:rPr>
        <w:tab/>
      </w:r>
      <w:r>
        <w:rPr>
          <w:rFonts w:ascii="Arial" w:cs="Arial" w:eastAsia="Arial" w:hAnsi="Arial"/>
          <w:sz w:val="16"/>
          <w:szCs w:val="16"/>
          <w:color w:val="auto"/>
        </w:rPr>
        <w:t>Smaller reporting company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December 4, 2020, the number of outstanding shares of common stock of the registrant was 30,798,438.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61"/>
        </w:trPr>
        <w:tc>
          <w:tcPr>
            <w:tcW w:w="102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96"/>
        </w:trPr>
        <w:tc>
          <w:tcPr>
            <w:tcW w:w="10260" w:type="dxa"/>
            <w:vAlign w:val="bottom"/>
            <w:shd w:val="clear" w:color="auto" w:fill="CCEEFF"/>
          </w:tcPr>
          <w:p>
            <w:pPr>
              <w:spacing w:after="0" w:line="196" w:lineRule="exact"/>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 — FINANCIAL INFORMATION</w:t>
              </w:r>
            </w:hyperlink>
          </w:p>
        </w:tc>
        <w:tc>
          <w:tcPr>
            <w:tcW w:w="980" w:type="dxa"/>
            <w:vAlign w:val="bottom"/>
            <w:shd w:val="clear" w:color="auto" w:fill="CCEEFF"/>
          </w:tcPr>
          <w:p>
            <w:pPr>
              <w:spacing w:after="0"/>
              <w:rPr>
                <w:sz w:val="17"/>
                <w:szCs w:val="17"/>
                <w:color w:val="auto"/>
              </w:rPr>
            </w:pPr>
          </w:p>
        </w:tc>
      </w:tr>
      <w:tr>
        <w:trPr>
          <w:trHeight w:val="216"/>
        </w:trPr>
        <w:tc>
          <w:tcPr>
            <w:tcW w:w="1026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Financial Statements:</w:t>
              </w:r>
            </w:hyperlink>
          </w:p>
        </w:tc>
        <w:tc>
          <w:tcPr>
            <w:tcW w:w="980" w:type="dxa"/>
            <w:vAlign w:val="bottom"/>
          </w:tcPr>
          <w:p>
            <w:pPr>
              <w:spacing w:after="0"/>
              <w:rPr>
                <w:sz w:val="18"/>
                <w:szCs w:val="18"/>
                <w:color w:val="auto"/>
              </w:rPr>
            </w:pPr>
          </w:p>
        </w:tc>
      </w:tr>
      <w:tr>
        <w:trPr>
          <w:trHeight w:val="216"/>
        </w:trPr>
        <w:tc>
          <w:tcPr>
            <w:tcW w:w="10260" w:type="dxa"/>
            <w:vAlign w:val="bottom"/>
            <w:shd w:val="clear" w:color="auto" w:fill="CCEEFF"/>
          </w:tcPr>
          <w:p>
            <w:pPr>
              <w:ind w:left="3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October 31, 2020 (unaudited) and April 30, 2020</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10260" w:type="dxa"/>
            <w:vAlign w:val="bottom"/>
          </w:tcPr>
          <w:p>
            <w:pPr>
              <w:ind w:left="3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Operations for the three and six months ended October 31, 2020 and 2019</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10260" w:type="dxa"/>
            <w:vAlign w:val="bottom"/>
            <w:shd w:val="clear" w:color="auto" w:fill="CCEEFF"/>
          </w:tcPr>
          <w:p>
            <w:pPr>
              <w:ind w:left="360"/>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Unaudited Consolidated Statements of Comprehensive Loss for the three and six months ended October 31, 2020 and 2019</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10260" w:type="dxa"/>
            <w:vAlign w:val="bottom"/>
          </w:tcPr>
          <w:p>
            <w:pPr>
              <w:ind w:left="3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Consolidated Statement of Stockholders’ Equity for the three and six months ended October 31, 2020 and 2019</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10260" w:type="dxa"/>
            <w:vAlign w:val="bottom"/>
            <w:shd w:val="clear" w:color="auto" w:fill="CCEEFF"/>
          </w:tcPr>
          <w:p>
            <w:pPr>
              <w:ind w:left="3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Unaudited Consolidated Statements of Cash Flows for the six months ended October 31, 2020 and 2019</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10260" w:type="dxa"/>
            <w:vAlign w:val="bottom"/>
          </w:tcPr>
          <w:p>
            <w:pPr>
              <w:ind w:left="3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Unaudited Consolidated Financial Statements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16"/>
        </w:trPr>
        <w:tc>
          <w:tcPr>
            <w:tcW w:w="10260" w:type="dxa"/>
            <w:vAlign w:val="bottom"/>
            <w:shd w:val="clear" w:color="auto" w:fill="CCEEFF"/>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 Management’s Discussion and Analysis of Financial Condition and Results of Operations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260" w:type="dxa"/>
            <w:vAlign w:val="bottom"/>
          </w:tcPr>
          <w:p>
            <w:pPr>
              <w:ind w:left="1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3. Quantitative and Qualitative Disclosures About Market Risk</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0260" w:type="dxa"/>
            <w:vAlign w:val="bottom"/>
            <w:shd w:val="clear" w:color="auto" w:fill="CCEEFF"/>
          </w:tcPr>
          <w:p>
            <w:pPr>
              <w:ind w:left="1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4. Controls and Procedures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026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PART II — OTHER INFORMATION</w:t>
              </w:r>
            </w:hyperlink>
          </w:p>
        </w:tc>
        <w:tc>
          <w:tcPr>
            <w:tcW w:w="980" w:type="dxa"/>
            <w:vAlign w:val="bottom"/>
          </w:tcPr>
          <w:p>
            <w:pPr>
              <w:spacing w:after="0"/>
              <w:rPr>
                <w:sz w:val="18"/>
                <w:szCs w:val="18"/>
                <w:color w:val="auto"/>
              </w:rPr>
            </w:pPr>
          </w:p>
        </w:tc>
      </w:tr>
      <w:tr>
        <w:trPr>
          <w:trHeight w:val="216"/>
        </w:trPr>
        <w:tc>
          <w:tcPr>
            <w:tcW w:w="10260" w:type="dxa"/>
            <w:vAlign w:val="bottom"/>
            <w:shd w:val="clear" w:color="auto" w:fill="CCEEFF"/>
          </w:tcPr>
          <w:p>
            <w:pPr>
              <w:ind w:left="1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 Legal Proceedings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0260" w:type="dxa"/>
            <w:vAlign w:val="bottom"/>
          </w:tcPr>
          <w:p>
            <w:pPr>
              <w:ind w:left="1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1A. Risk Factors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0260" w:type="dxa"/>
            <w:vAlign w:val="bottom"/>
            <w:shd w:val="clear" w:color="auto" w:fill="CCEEFF"/>
          </w:tcPr>
          <w:p>
            <w:pPr>
              <w:ind w:left="1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2. Unregistered Sales of Equity Securities and Use of Proceeds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260" w:type="dxa"/>
            <w:vAlign w:val="bottom"/>
          </w:tcPr>
          <w:p>
            <w:pPr>
              <w:ind w:left="1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3. Defaults Upon Senior Securities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260" w:type="dxa"/>
            <w:vAlign w:val="bottom"/>
            <w:shd w:val="clear" w:color="auto" w:fill="CCEEFF"/>
          </w:tcPr>
          <w:p>
            <w:pPr>
              <w:ind w:left="1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4. Mine Safety Disclosures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260" w:type="dxa"/>
            <w:vAlign w:val="bottom"/>
          </w:tcPr>
          <w:p>
            <w:pPr>
              <w:ind w:left="1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5. Other Information</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260" w:type="dxa"/>
            <w:vAlign w:val="bottom"/>
            <w:shd w:val="clear" w:color="auto" w:fill="CCEEFF"/>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6. Exhibits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PowerBuoy® and the Ocean Power Technologies logo are trademarks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7"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operations, customers, suppliers and manufacturers;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commercialize our products, and achieve and sustain profitability;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manufacture commercially viable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successfully develop and market new products and solutions, such as the subsea battery and Marine Surveillance Solutions;</w:t>
      </w:r>
    </w:p>
    <w:p>
      <w:pPr>
        <w:spacing w:after="0" w:line="248"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products or the timetable upon which commercialization can be achieved, if at all;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and solutions;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relationships with our strategic partners may not be successful and we may not be successful in establishing additional relationships;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reliability of our technology, products and solutions;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capital through our current equity facilities;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2020,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 $000’s,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October 31, 2020</w:t>
            </w:r>
          </w:p>
        </w:tc>
        <w:tc>
          <w:tcPr>
            <w:tcW w:w="200" w:type="dxa"/>
            <w:vAlign w:val="bottom"/>
          </w:tcPr>
          <w:p>
            <w:pPr>
              <w:spacing w:after="0"/>
              <w:rPr>
                <w:sz w:val="20"/>
                <w:szCs w:val="20"/>
                <w:color w:val="auto"/>
              </w:rPr>
            </w:pP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April 30, 2020</w:t>
            </w:r>
          </w:p>
        </w:tc>
      </w:tr>
      <w:tr>
        <w:trPr>
          <w:trHeight w:val="216"/>
        </w:trPr>
        <w:tc>
          <w:tcPr>
            <w:tcW w:w="7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15,244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Restricted cash, short-term</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1,129</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21"/>
                <w:szCs w:val="21"/>
                <w:color w:val="auto"/>
              </w:rPr>
            </w:pP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16,854</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11,653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Right-of-use asset, net</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1,060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long-term</w:t>
            </w: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21"/>
                <w:szCs w:val="21"/>
                <w:color w:val="auto"/>
              </w:rPr>
            </w:pPr>
          </w:p>
        </w:tc>
      </w:tr>
      <w:tr>
        <w:trPr>
          <w:trHeight w:val="256"/>
        </w:trPr>
        <w:tc>
          <w:tcPr>
            <w:tcW w:w="744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18,561</w:t>
            </w:r>
          </w:p>
        </w:tc>
        <w:tc>
          <w:tcPr>
            <w:tcW w:w="3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13,538</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7440" w:type="dxa"/>
            <w:vAlign w:val="bottom"/>
            <w:shd w:val="clear" w:color="auto" w:fill="CCEEFF"/>
          </w:tcPr>
          <w:p>
            <w:pPr>
              <w:ind w:left="1760"/>
              <w:spacing w:after="0" w:line="196" w:lineRule="exact"/>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2,215</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Contract liabilities, current portion</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liability, current portion</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Paycheck protection program loan- current</w:t>
            </w: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3,462</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1,902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 loan, less current portion</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Right-of-use liability, less current portion</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954</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 less current portion</w:t>
            </w: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1"/>
                <w:szCs w:val="21"/>
                <w:color w:val="auto"/>
              </w:rPr>
            </w:pP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4,911</w:t>
            </w:r>
          </w:p>
        </w:tc>
        <w:tc>
          <w:tcPr>
            <w:tcW w:w="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Preferred stock, $0.001 par value; authorized 5,000,000 shares, none issued or outstanding</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2"/>
        </w:trPr>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rPr>
              <w:t>Common stock, $0.001 par value; authorized 100,000,000 shares, issued 24,153,554 and</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12,939,420 shares, respectively</w:t>
            </w:r>
          </w:p>
        </w:tc>
        <w:tc>
          <w:tcPr>
            <w:tcW w:w="14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4,251 shares</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240,648</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231,101</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(226,545)</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(220,136)</w:t>
            </w: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0"/>
                <w:szCs w:val="20"/>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(183)</w:t>
            </w: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18,561</w:t>
            </w:r>
          </w:p>
        </w:tc>
        <w:tc>
          <w:tcPr>
            <w:tcW w:w="3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6"/>
          </w:tcPr>
          <w:p>
            <w:pPr>
              <w:jc w:val="right"/>
              <w:ind w:right="641"/>
              <w:spacing w:after="0"/>
              <w:rPr>
                <w:sz w:val="20"/>
                <w:szCs w:val="20"/>
                <w:color w:val="auto"/>
              </w:rPr>
            </w:pPr>
            <w:r>
              <w:rPr>
                <w:rFonts w:ascii="Arial" w:cs="Arial" w:eastAsia="Arial" w:hAnsi="Arial"/>
                <w:sz w:val="18"/>
                <w:szCs w:val="18"/>
                <w:b w:val="1"/>
                <w:bCs w:val="1"/>
                <w:color w:val="auto"/>
                <w:w w:val="93"/>
              </w:rPr>
              <w:t>Three months ended October 31,</w:t>
            </w:r>
          </w:p>
        </w:tc>
        <w:tc>
          <w:tcPr>
            <w:tcW w:w="220" w:type="dxa"/>
            <w:vAlign w:val="bottom"/>
          </w:tcPr>
          <w:p>
            <w:pPr>
              <w:spacing w:after="0"/>
              <w:rPr>
                <w:sz w:val="20"/>
                <w:szCs w:val="20"/>
                <w:color w:val="auto"/>
              </w:rPr>
            </w:pPr>
          </w:p>
        </w:tc>
        <w:tc>
          <w:tcPr>
            <w:tcW w:w="2880" w:type="dxa"/>
            <w:vAlign w:val="bottom"/>
            <w:gridSpan w:val="6"/>
          </w:tcPr>
          <w:p>
            <w:pPr>
              <w:jc w:val="right"/>
              <w:ind w:right="381"/>
              <w:spacing w:after="0"/>
              <w:rPr>
                <w:sz w:val="20"/>
                <w:szCs w:val="20"/>
                <w:color w:val="auto"/>
              </w:rPr>
            </w:pPr>
            <w:r>
              <w:rPr>
                <w:rFonts w:ascii="Arial" w:cs="Arial" w:eastAsia="Arial" w:hAnsi="Arial"/>
                <w:sz w:val="18"/>
                <w:szCs w:val="18"/>
                <w:b w:val="1"/>
                <w:bCs w:val="1"/>
                <w:color w:val="auto"/>
                <w:w w:val="92"/>
              </w:rPr>
              <w:t>Six months ended October 31,</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118</w:t>
            </w:r>
          </w:p>
        </w:tc>
        <w:tc>
          <w:tcPr>
            <w:tcW w:w="4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287</w:t>
            </w:r>
          </w:p>
        </w:tc>
        <w:tc>
          <w:tcPr>
            <w:tcW w:w="4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0"/>
                <w:szCs w:val="20"/>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241"/>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20"/>
                <w:szCs w:val="20"/>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24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1,063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41"/>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2,315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49"/>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1,841</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1,838</w:t>
            </w: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3,828</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3,147</w:t>
            </w: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6,143</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41"/>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240" w:type="dxa"/>
            <w:vAlign w:val="bottom"/>
          </w:tcPr>
          <w:p>
            <w:pPr>
              <w:spacing w:after="0"/>
              <w:rPr>
                <w:sz w:val="20"/>
                <w:szCs w:val="20"/>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241"/>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5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(0.51</w:t>
            </w:r>
          </w:p>
        </w:tc>
        <w:tc>
          <w:tcPr>
            <w:tcW w:w="3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520" w:type="dxa"/>
            <w:vAlign w:val="bottom"/>
            <w:shd w:val="clear" w:color="auto" w:fill="CCEEFF"/>
          </w:tcPr>
          <w:p>
            <w:pPr>
              <w:ind w:left="180"/>
              <w:spacing w:after="0" w:line="155" w:lineRule="exact"/>
              <w:rPr>
                <w:sz w:val="20"/>
                <w:szCs w:val="20"/>
                <w:color w:val="auto"/>
              </w:rPr>
            </w:pPr>
            <w:r>
              <w:rPr>
                <w:rFonts w:ascii="Arial" w:cs="Arial" w:eastAsia="Arial" w:hAnsi="Arial"/>
                <w:sz w:val="17"/>
                <w:szCs w:val="17"/>
                <w:color w:val="auto"/>
              </w:rPr>
              <w:t>Weighted average shares used to compute basic and</w:t>
            </w: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loss per share</w:t>
            </w:r>
          </w:p>
        </w:tc>
        <w:tc>
          <w:tcPr>
            <w:tcW w:w="2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20,090,000</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6,259,255</w:t>
            </w: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17,883,666</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6,150,061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3620" w:type="dxa"/>
            <w:vAlign w:val="bottom"/>
            <w:gridSpan w:val="7"/>
          </w:tcPr>
          <w:p>
            <w:pPr>
              <w:jc w:val="right"/>
              <w:ind w:right="641"/>
              <w:spacing w:after="0"/>
              <w:rPr>
                <w:sz w:val="20"/>
                <w:szCs w:val="20"/>
                <w:color w:val="auto"/>
              </w:rPr>
            </w:pPr>
            <w:r>
              <w:rPr>
                <w:rFonts w:ascii="Arial" w:cs="Arial" w:eastAsia="Arial" w:hAnsi="Arial"/>
                <w:sz w:val="18"/>
                <w:szCs w:val="18"/>
                <w:b w:val="1"/>
                <w:bCs w:val="1"/>
                <w:color w:val="auto"/>
              </w:rPr>
              <w:t>Three months ended October 31,</w:t>
            </w:r>
          </w:p>
        </w:tc>
        <w:tc>
          <w:tcPr>
            <w:tcW w:w="220" w:type="dxa"/>
            <w:vAlign w:val="bottom"/>
          </w:tcPr>
          <w:p>
            <w:pPr>
              <w:spacing w:after="0"/>
              <w:rPr>
                <w:sz w:val="20"/>
                <w:szCs w:val="20"/>
                <w:color w:val="auto"/>
              </w:rPr>
            </w:pPr>
          </w:p>
        </w:tc>
        <w:tc>
          <w:tcPr>
            <w:tcW w:w="2880" w:type="dxa"/>
            <w:vAlign w:val="bottom"/>
            <w:gridSpan w:val="6"/>
          </w:tcPr>
          <w:p>
            <w:pPr>
              <w:jc w:val="right"/>
              <w:ind w:right="381"/>
              <w:spacing w:after="0"/>
              <w:rPr>
                <w:sz w:val="20"/>
                <w:szCs w:val="20"/>
                <w:color w:val="auto"/>
              </w:rPr>
            </w:pPr>
            <w:r>
              <w:rPr>
                <w:rFonts w:ascii="Arial" w:cs="Arial" w:eastAsia="Arial" w:hAnsi="Arial"/>
                <w:sz w:val="18"/>
                <w:szCs w:val="18"/>
                <w:b w:val="1"/>
                <w:bCs w:val="1"/>
                <w:color w:val="auto"/>
                <w:w w:val="92"/>
              </w:rPr>
              <w:t>Six months ended October 31,</w:t>
            </w:r>
          </w:p>
        </w:tc>
      </w:tr>
      <w:tr>
        <w:trPr>
          <w:trHeight w:val="237"/>
        </w:trPr>
        <w:tc>
          <w:tcPr>
            <w:tcW w:w="45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4"/>
              </w:rPr>
              <w:t>(3,024)</w:t>
            </w:r>
          </w:p>
        </w:tc>
        <w:tc>
          <w:tcPr>
            <w:tcW w:w="4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(3,189)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(6,409)</w:t>
            </w:r>
          </w:p>
        </w:tc>
        <w:tc>
          <w:tcPr>
            <w:tcW w:w="4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(6,214)</w:t>
            </w: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960" w:type="dxa"/>
            <w:vAlign w:val="bottom"/>
          </w:tcPr>
          <w:p>
            <w:pPr>
              <w:spacing w:after="0"/>
              <w:rPr>
                <w:sz w:val="20"/>
                <w:szCs w:val="20"/>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181"/>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960" w:type="dxa"/>
            <w:vAlign w:val="bottom"/>
            <w:tcBorders>
              <w:top w:val="single" w:sz="8" w:color="auto"/>
              <w:bottom w:val="single" w:sz="8" w:color="auto"/>
            </w:tcBorders>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(3,031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11"/>
          </w:tcPr>
          <w:p>
            <w:pPr>
              <w:jc w:val="right"/>
              <w:ind w:right="281"/>
              <w:spacing w:after="0"/>
              <w:rPr>
                <w:sz w:val="20"/>
                <w:szCs w:val="20"/>
                <w:color w:val="auto"/>
              </w:rPr>
            </w:pPr>
            <w:r>
              <w:rPr>
                <w:rFonts w:ascii="Arial" w:cs="Arial" w:eastAsia="Arial" w:hAnsi="Arial"/>
                <w:sz w:val="18"/>
                <w:szCs w:val="18"/>
                <w:b w:val="1"/>
                <w:bCs w:val="1"/>
                <w:color w:val="auto"/>
                <w:w w:val="92"/>
              </w:rPr>
              <w:t>Three Months Ended October 31, 2020</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jc w:val="center"/>
              <w:ind w:right="61"/>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600" w:type="dxa"/>
            <w:vAlign w:val="bottom"/>
            <w:gridSpan w:val="3"/>
            <w:vMerge w:val="restart"/>
          </w:tcPr>
          <w:p>
            <w:pPr>
              <w:ind w:left="280"/>
              <w:spacing w:after="0"/>
              <w:rPr>
                <w:sz w:val="20"/>
                <w:szCs w:val="20"/>
                <w:color w:val="auto"/>
              </w:rPr>
            </w:pPr>
            <w:r>
              <w:rPr>
                <w:rFonts w:ascii="Arial" w:cs="Arial" w:eastAsia="Arial" w:hAnsi="Arial"/>
                <w:sz w:val="18"/>
                <w:szCs w:val="18"/>
                <w:b w:val="1"/>
                <w:bCs w:val="1"/>
                <w:color w:val="auto"/>
                <w:w w:val="90"/>
              </w:rPr>
              <w:t>Common Shares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6"/>
            <w:vMerge w:val="restart"/>
          </w:tcPr>
          <w:p>
            <w:pPr>
              <w:jc w:val="right"/>
              <w:ind w:right="221"/>
              <w:spacing w:after="0"/>
              <w:rPr>
                <w:sz w:val="20"/>
                <w:szCs w:val="20"/>
                <w:color w:val="auto"/>
              </w:rPr>
            </w:pPr>
            <w:r>
              <w:rPr>
                <w:rFonts w:ascii="Arial" w:cs="Arial" w:eastAsia="Arial" w:hAnsi="Arial"/>
                <w:sz w:val="18"/>
                <w:szCs w:val="18"/>
                <w:b w:val="1"/>
                <w:bCs w:val="1"/>
                <w:color w:val="auto"/>
                <w:w w:val="97"/>
              </w:rPr>
              <w:t>Treasury Shares</w:t>
            </w:r>
          </w:p>
        </w:tc>
        <w:tc>
          <w:tcPr>
            <w:tcW w:w="11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24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Paid-In</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6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88"/>
              </w:rPr>
              <w:t>Comprehensive</w:t>
            </w:r>
          </w:p>
        </w:tc>
        <w:tc>
          <w:tcPr>
            <w:tcW w:w="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720" w:type="dxa"/>
            <w:vAlign w:val="bottom"/>
            <w:tcBorders>
              <w:top w:val="single" w:sz="8" w:color="auto"/>
            </w:tcBorders>
            <w:gridSpan w:val="2"/>
          </w:tcPr>
          <w:p>
            <w:pPr>
              <w:jc w:val="right"/>
              <w:ind w:right="81"/>
              <w:spacing w:after="0"/>
              <w:rPr>
                <w:sz w:val="20"/>
                <w:szCs w:val="20"/>
                <w:color w:val="auto"/>
              </w:rPr>
            </w:pPr>
            <w:r>
              <w:rPr>
                <w:rFonts w:ascii="Arial" w:cs="Arial" w:eastAsia="Arial" w:hAnsi="Arial"/>
                <w:sz w:val="18"/>
                <w:szCs w:val="18"/>
                <w:b w:val="1"/>
                <w:bCs w:val="1"/>
                <w:color w:val="auto"/>
                <w:w w:val="89"/>
              </w:rPr>
              <w:t>Shares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19"/>
                <w:szCs w:val="19"/>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19"/>
                <w:szCs w:val="19"/>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Balances at August 1, 2020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18,624,816</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234,089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(223,521)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(3,024)</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244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Aspire financing, net of</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issuance costs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500,000</w:t>
            </w: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2"/>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AGP At The Market offering,</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 of issuance costs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5,028,738</w:t>
            </w:r>
          </w:p>
        </w:tc>
        <w:tc>
          <w:tcPr>
            <w:tcW w:w="4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5,846</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02"/>
        </w:trPr>
        <w:tc>
          <w:tcPr>
            <w:tcW w:w="24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440" w:type="dxa"/>
            <w:vAlign w:val="bottom"/>
          </w:tcPr>
          <w:p>
            <w:pPr>
              <w:spacing w:after="0"/>
              <w:rPr>
                <w:sz w:val="20"/>
                <w:szCs w:val="20"/>
                <w:color w:val="auto"/>
              </w:rPr>
            </w:pPr>
            <w:r>
              <w:rPr>
                <w:rFonts w:ascii="Arial" w:cs="Arial" w:eastAsia="Arial" w:hAnsi="Arial"/>
                <w:sz w:val="18"/>
                <w:szCs w:val="18"/>
                <w:color w:val="auto"/>
              </w:rPr>
              <w:t>gain/(loss)</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October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24,153,554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(226,545</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4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rPr>
              <w:t>Six Months Ended October 31, 2020</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jc w:val="center"/>
              <w:ind w:right="61"/>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600" w:type="dxa"/>
            <w:vAlign w:val="bottom"/>
            <w:gridSpan w:val="3"/>
            <w:vMerge w:val="restart"/>
          </w:tcPr>
          <w:p>
            <w:pPr>
              <w:ind w:left="280"/>
              <w:spacing w:after="0"/>
              <w:rPr>
                <w:sz w:val="20"/>
                <w:szCs w:val="20"/>
                <w:color w:val="auto"/>
              </w:rPr>
            </w:pPr>
            <w:r>
              <w:rPr>
                <w:rFonts w:ascii="Arial" w:cs="Arial" w:eastAsia="Arial" w:hAnsi="Arial"/>
                <w:sz w:val="18"/>
                <w:szCs w:val="18"/>
                <w:b w:val="1"/>
                <w:bCs w:val="1"/>
                <w:color w:val="auto"/>
                <w:w w:val="90"/>
              </w:rPr>
              <w:t>Common Shares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6"/>
            <w:vMerge w:val="restart"/>
          </w:tcPr>
          <w:p>
            <w:pPr>
              <w:jc w:val="right"/>
              <w:ind w:right="221"/>
              <w:spacing w:after="0"/>
              <w:rPr>
                <w:sz w:val="20"/>
                <w:szCs w:val="20"/>
                <w:color w:val="auto"/>
              </w:rPr>
            </w:pPr>
            <w:r>
              <w:rPr>
                <w:rFonts w:ascii="Arial" w:cs="Arial" w:eastAsia="Arial" w:hAnsi="Arial"/>
                <w:sz w:val="18"/>
                <w:szCs w:val="18"/>
                <w:b w:val="1"/>
                <w:bCs w:val="1"/>
                <w:color w:val="auto"/>
                <w:w w:val="97"/>
              </w:rPr>
              <w:t>Treasury Shares</w:t>
            </w:r>
          </w:p>
        </w:tc>
        <w:tc>
          <w:tcPr>
            <w:tcW w:w="11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24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Paid-In</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6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88"/>
              </w:rPr>
              <w:t>Comprehensive</w:t>
            </w:r>
          </w:p>
        </w:tc>
        <w:tc>
          <w:tcPr>
            <w:tcW w:w="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720" w:type="dxa"/>
            <w:vAlign w:val="bottom"/>
            <w:tcBorders>
              <w:top w:val="single" w:sz="8" w:color="auto"/>
            </w:tcBorders>
            <w:gridSpan w:val="2"/>
          </w:tcPr>
          <w:p>
            <w:pPr>
              <w:jc w:val="right"/>
              <w:ind w:right="81"/>
              <w:spacing w:after="0"/>
              <w:rPr>
                <w:sz w:val="20"/>
                <w:szCs w:val="20"/>
                <w:color w:val="auto"/>
              </w:rPr>
            </w:pPr>
            <w:r>
              <w:rPr>
                <w:rFonts w:ascii="Arial" w:cs="Arial" w:eastAsia="Arial" w:hAnsi="Arial"/>
                <w:sz w:val="18"/>
                <w:szCs w:val="18"/>
                <w:b w:val="1"/>
                <w:bCs w:val="1"/>
                <w:color w:val="auto"/>
                <w:w w:val="89"/>
              </w:rPr>
              <w:t>Shares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19"/>
                <w:szCs w:val="19"/>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19"/>
                <w:szCs w:val="19"/>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Balances at May 1, 2020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12,939,420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231,101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(220,136)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(6,409)</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2"/>
        </w:trPr>
        <w:tc>
          <w:tcPr>
            <w:tcW w:w="244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Aspire financing, net of</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issuance costs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5,525,000</w:t>
            </w: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3,236</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02"/>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AGP At The Market offering,</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 of issuance costs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5,689,134</w:t>
            </w:r>
          </w:p>
        </w:tc>
        <w:tc>
          <w:tcPr>
            <w:tcW w:w="4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6,088</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6,094</w:t>
            </w:r>
          </w:p>
        </w:tc>
        <w:tc>
          <w:tcPr>
            <w:tcW w:w="0" w:type="dxa"/>
            <w:vAlign w:val="bottom"/>
          </w:tcPr>
          <w:p>
            <w:pPr>
              <w:spacing w:after="0"/>
              <w:rPr>
                <w:sz w:val="1"/>
                <w:szCs w:val="1"/>
                <w:color w:val="auto"/>
              </w:rPr>
            </w:pPr>
          </w:p>
        </w:tc>
      </w:tr>
      <w:tr>
        <w:trPr>
          <w:trHeight w:val="202"/>
        </w:trPr>
        <w:tc>
          <w:tcPr>
            <w:tcW w:w="24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440" w:type="dxa"/>
            <w:vAlign w:val="bottom"/>
          </w:tcPr>
          <w:p>
            <w:pPr>
              <w:spacing w:after="0"/>
              <w:rPr>
                <w:sz w:val="20"/>
                <w:szCs w:val="20"/>
                <w:color w:val="auto"/>
              </w:rPr>
            </w:pPr>
            <w:r>
              <w:rPr>
                <w:rFonts w:ascii="Arial" w:cs="Arial" w:eastAsia="Arial" w:hAnsi="Arial"/>
                <w:sz w:val="18"/>
                <w:szCs w:val="18"/>
                <w:color w:val="auto"/>
              </w:rPr>
              <w:t>gain/(loss)</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October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24,153,554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(226,545</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11"/>
          </w:tcPr>
          <w:p>
            <w:pPr>
              <w:jc w:val="right"/>
              <w:ind w:right="241"/>
              <w:spacing w:after="0"/>
              <w:rPr>
                <w:sz w:val="20"/>
                <w:szCs w:val="20"/>
                <w:color w:val="auto"/>
              </w:rPr>
            </w:pPr>
            <w:r>
              <w:rPr>
                <w:rFonts w:ascii="Arial" w:cs="Arial" w:eastAsia="Arial" w:hAnsi="Arial"/>
                <w:sz w:val="18"/>
                <w:szCs w:val="18"/>
                <w:b w:val="1"/>
                <w:bCs w:val="1"/>
                <w:color w:val="auto"/>
                <w:w w:val="92"/>
              </w:rPr>
              <w:t>Three Months Ended October 31, 2019</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center"/>
              <w:ind w:right="161"/>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58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w w:val="92"/>
              </w:rPr>
              <w:t>Common Shares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6"/>
            <w:vMerge w:val="restart"/>
          </w:tcPr>
          <w:p>
            <w:pPr>
              <w:jc w:val="right"/>
              <w:ind w:right="221"/>
              <w:spacing w:after="0"/>
              <w:rPr>
                <w:sz w:val="20"/>
                <w:szCs w:val="20"/>
                <w:color w:val="auto"/>
              </w:rPr>
            </w:pPr>
            <w:r>
              <w:rPr>
                <w:rFonts w:ascii="Arial" w:cs="Arial" w:eastAsia="Arial" w:hAnsi="Arial"/>
                <w:sz w:val="18"/>
                <w:szCs w:val="18"/>
                <w:b w:val="1"/>
                <w:bCs w:val="1"/>
                <w:color w:val="auto"/>
                <w:w w:val="97"/>
              </w:rPr>
              <w:t>Treasury Shares</w:t>
            </w:r>
          </w:p>
        </w:tc>
        <w:tc>
          <w:tcPr>
            <w:tcW w:w="11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Paid-In</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460" w:type="dxa"/>
            <w:vAlign w:val="bottom"/>
            <w:gridSpan w:val="3"/>
          </w:tcPr>
          <w:p>
            <w:pPr>
              <w:jc w:val="center"/>
              <w:ind w:right="181"/>
              <w:spacing w:after="0"/>
              <w:rPr>
                <w:sz w:val="20"/>
                <w:szCs w:val="20"/>
                <w:color w:val="auto"/>
              </w:rPr>
            </w:pPr>
            <w:r>
              <w:rPr>
                <w:rFonts w:ascii="Arial" w:cs="Arial" w:eastAsia="Arial" w:hAnsi="Arial"/>
                <w:sz w:val="18"/>
                <w:szCs w:val="18"/>
                <w:b w:val="1"/>
                <w:bCs w:val="1"/>
                <w:color w:val="auto"/>
                <w:w w:val="88"/>
              </w:rPr>
              <w:t>Comprehensive</w:t>
            </w:r>
          </w:p>
        </w:tc>
        <w:tc>
          <w:tcPr>
            <w:tcW w:w="11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0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740" w:type="dxa"/>
            <w:vAlign w:val="bottom"/>
            <w:tcBorders>
              <w:top w:val="single" w:sz="8" w:color="auto"/>
            </w:tcBorders>
            <w:gridSpan w:val="2"/>
          </w:tcPr>
          <w:p>
            <w:pPr>
              <w:jc w:val="right"/>
              <w:ind w:right="101"/>
              <w:spacing w:after="0"/>
              <w:rPr>
                <w:sz w:val="20"/>
                <w:szCs w:val="20"/>
                <w:color w:val="auto"/>
              </w:rPr>
            </w:pPr>
            <w:r>
              <w:rPr>
                <w:rFonts w:ascii="Arial" w:cs="Arial" w:eastAsia="Arial" w:hAnsi="Arial"/>
                <w:sz w:val="18"/>
                <w:szCs w:val="18"/>
                <w:b w:val="1"/>
                <w:bCs w:val="1"/>
                <w:color w:val="auto"/>
                <w:w w:val="89"/>
              </w:rPr>
              <w:t>Shares</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19"/>
                <w:szCs w:val="19"/>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19"/>
                <w:szCs w:val="19"/>
                <w:color w:val="auto"/>
              </w:rPr>
            </w:pPr>
          </w:p>
        </w:tc>
        <w:tc>
          <w:tcPr>
            <w:tcW w:w="122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85"/>
              </w:rPr>
              <w:t>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Balances at August 1, 2019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5,775,385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226,099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(212,809)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(3,189)</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Common stock issued for</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commitment fee</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194,805</w:t>
            </w:r>
          </w:p>
        </w:tc>
        <w:tc>
          <w:tcPr>
            <w:tcW w:w="50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AGP At The Market offering,</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of issuance costs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519,478</w:t>
            </w:r>
          </w:p>
        </w:tc>
        <w:tc>
          <w:tcPr>
            <w:tcW w:w="5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October 31, 2019</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6,489,668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227,214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(215,998</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5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jc w:val="right"/>
              <w:ind w:right="341"/>
              <w:spacing w:after="0"/>
              <w:rPr>
                <w:sz w:val="20"/>
                <w:szCs w:val="20"/>
                <w:color w:val="auto"/>
              </w:rPr>
            </w:pPr>
            <w:r>
              <w:rPr>
                <w:rFonts w:ascii="Arial" w:cs="Arial" w:eastAsia="Arial" w:hAnsi="Arial"/>
                <w:sz w:val="18"/>
                <w:szCs w:val="18"/>
                <w:b w:val="1"/>
                <w:bCs w:val="1"/>
                <w:color w:val="auto"/>
                <w:w w:val="91"/>
              </w:rPr>
              <w:t>Six Months Ended October 31, 2019</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center"/>
              <w:ind w:right="161"/>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58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w w:val="92"/>
              </w:rPr>
              <w:t>Common Shares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6"/>
            <w:vMerge w:val="restart"/>
          </w:tcPr>
          <w:p>
            <w:pPr>
              <w:jc w:val="right"/>
              <w:ind w:right="221"/>
              <w:spacing w:after="0"/>
              <w:rPr>
                <w:sz w:val="20"/>
                <w:szCs w:val="20"/>
                <w:color w:val="auto"/>
              </w:rPr>
            </w:pPr>
            <w:r>
              <w:rPr>
                <w:rFonts w:ascii="Arial" w:cs="Arial" w:eastAsia="Arial" w:hAnsi="Arial"/>
                <w:sz w:val="18"/>
                <w:szCs w:val="18"/>
                <w:b w:val="1"/>
                <w:bCs w:val="1"/>
                <w:color w:val="auto"/>
                <w:w w:val="97"/>
              </w:rPr>
              <w:t>Treasury Shares</w:t>
            </w:r>
          </w:p>
        </w:tc>
        <w:tc>
          <w:tcPr>
            <w:tcW w:w="11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Paid-In</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460" w:type="dxa"/>
            <w:vAlign w:val="bottom"/>
            <w:gridSpan w:val="3"/>
          </w:tcPr>
          <w:p>
            <w:pPr>
              <w:jc w:val="center"/>
              <w:ind w:right="181"/>
              <w:spacing w:after="0"/>
              <w:rPr>
                <w:sz w:val="20"/>
                <w:szCs w:val="20"/>
                <w:color w:val="auto"/>
              </w:rPr>
            </w:pPr>
            <w:r>
              <w:rPr>
                <w:rFonts w:ascii="Arial" w:cs="Arial" w:eastAsia="Arial" w:hAnsi="Arial"/>
                <w:sz w:val="18"/>
                <w:szCs w:val="18"/>
                <w:b w:val="1"/>
                <w:bCs w:val="1"/>
                <w:color w:val="auto"/>
                <w:w w:val="88"/>
              </w:rPr>
              <w:t>Comprehensive</w:t>
            </w:r>
          </w:p>
        </w:tc>
        <w:tc>
          <w:tcPr>
            <w:tcW w:w="11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0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740" w:type="dxa"/>
            <w:vAlign w:val="bottom"/>
            <w:tcBorders>
              <w:top w:val="single" w:sz="8" w:color="auto"/>
            </w:tcBorders>
            <w:gridSpan w:val="2"/>
          </w:tcPr>
          <w:p>
            <w:pPr>
              <w:jc w:val="right"/>
              <w:ind w:right="101"/>
              <w:spacing w:after="0"/>
              <w:rPr>
                <w:sz w:val="20"/>
                <w:szCs w:val="20"/>
                <w:color w:val="auto"/>
              </w:rPr>
            </w:pPr>
            <w:r>
              <w:rPr>
                <w:rFonts w:ascii="Arial" w:cs="Arial" w:eastAsia="Arial" w:hAnsi="Arial"/>
                <w:sz w:val="18"/>
                <w:szCs w:val="18"/>
                <w:b w:val="1"/>
                <w:bCs w:val="1"/>
                <w:color w:val="auto"/>
                <w:w w:val="89"/>
              </w:rPr>
              <w:t>Shares</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19"/>
                <w:szCs w:val="19"/>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19"/>
                <w:szCs w:val="19"/>
                <w:color w:val="auto"/>
              </w:rPr>
            </w:pPr>
          </w:p>
        </w:tc>
        <w:tc>
          <w:tcPr>
            <w:tcW w:w="122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85"/>
              </w:rPr>
              <w:t>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Balances at May 1, 2019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5,425,517</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226,026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(209,784)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(6,214)</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Issuance (forfeiture) of</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restricted stock, net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50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Exercise of prefunded warrants,</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of issuance costs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5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Common stock issued for</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commitment fee</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194,805</w:t>
            </w:r>
          </w:p>
        </w:tc>
        <w:tc>
          <w:tcPr>
            <w:tcW w:w="50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AGP At The Market offering,</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of issuance costs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519,478</w:t>
            </w:r>
          </w:p>
        </w:tc>
        <w:tc>
          <w:tcPr>
            <w:tcW w:w="5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at October 31, 2019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6,489,668</w:t>
            </w: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(4,251</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Borders>
              <w:top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227,214</w:t>
            </w: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(215,998</w:t>
            </w:r>
          </w:p>
        </w:tc>
        <w:tc>
          <w:tcPr>
            <w:tcW w:w="240" w:type="dxa"/>
            <w:vAlign w:val="bottom"/>
            <w:tcBorders>
              <w:top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top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60" w:type="dxa"/>
            <w:vAlign w:val="bottom"/>
            <w:gridSpan w:val="7"/>
          </w:tcPr>
          <w:p>
            <w:pPr>
              <w:jc w:val="right"/>
              <w:ind w:right="501"/>
              <w:spacing w:after="0"/>
              <w:rPr>
                <w:sz w:val="20"/>
                <w:szCs w:val="20"/>
                <w:color w:val="auto"/>
              </w:rPr>
            </w:pPr>
            <w:r>
              <w:rPr>
                <w:rFonts w:ascii="Arial" w:cs="Arial" w:eastAsia="Arial" w:hAnsi="Arial"/>
                <w:sz w:val="18"/>
                <w:szCs w:val="18"/>
                <w:b w:val="1"/>
                <w:bCs w:val="1"/>
                <w:color w:val="auto"/>
              </w:rPr>
              <w:t>Six months ended October 31,</w:t>
            </w:r>
          </w:p>
        </w:tc>
      </w:tr>
      <w:tr>
        <w:trPr>
          <w:trHeight w:val="237"/>
        </w:trPr>
        <w:tc>
          <w:tcPr>
            <w:tcW w:w="7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(6,409)</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(6,214)</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Foreign exchange (gain)/loss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fixed assets</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77</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Amortization of right of use asset</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96</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168</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Gain due to the change in fair value of warrant liabilities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property, plant and equipment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16"/>
        </w:trPr>
        <w:tc>
          <w:tcPr>
            <w:tcW w:w="7420" w:type="dxa"/>
            <w:vAlign w:val="bottom"/>
          </w:tcPr>
          <w:p>
            <w:pPr>
              <w:ind w:left="540"/>
              <w:spacing w:after="0"/>
              <w:rPr>
                <w:sz w:val="20"/>
                <w:szCs w:val="20"/>
                <w:color w:val="auto"/>
              </w:rPr>
            </w:pPr>
            <w:r>
              <w:rPr>
                <w:rFonts w:ascii="Arial" w:cs="Arial" w:eastAsia="Arial" w:hAnsi="Arial"/>
                <w:sz w:val="18"/>
                <w:szCs w:val="18"/>
                <w:color w:val="auto"/>
              </w:rPr>
              <w:t>Contract assets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42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7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812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420" w:type="dxa"/>
            <w:vAlign w:val="bottom"/>
          </w:tcPr>
          <w:p>
            <w:pPr>
              <w:ind w:left="540"/>
              <w:spacing w:after="0"/>
              <w:rPr>
                <w:sz w:val="20"/>
                <w:szCs w:val="20"/>
                <w:color w:val="auto"/>
              </w:rPr>
            </w:pPr>
            <w:r>
              <w:rPr>
                <w:rFonts w:ascii="Arial" w:cs="Arial" w:eastAsia="Arial" w:hAnsi="Arial"/>
                <w:sz w:val="18"/>
                <w:szCs w:val="18"/>
                <w:color w:val="auto"/>
              </w:rPr>
              <w:t>Change in lease liability</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49"/>
        </w:trPr>
        <w:tc>
          <w:tcPr>
            <w:tcW w:w="7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Contract liabilities</w:t>
            </w: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802</w:t>
            </w:r>
          </w:p>
        </w:tc>
      </w:tr>
      <w:tr>
        <w:trPr>
          <w:trHeight w:val="210"/>
        </w:trPr>
        <w:tc>
          <w:tcPr>
            <w:tcW w:w="7420" w:type="dxa"/>
            <w:vAlign w:val="bottom"/>
            <w:tcBorders>
              <w:top w:val="single" w:sz="8" w:color="CCEEFF"/>
              <w:bottom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used in operating activities</w:t>
            </w:r>
          </w:p>
        </w:tc>
        <w:tc>
          <w:tcPr>
            <w:tcW w:w="46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(5,682</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(6,418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2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36"/>
        </w:trPr>
        <w:tc>
          <w:tcPr>
            <w:tcW w:w="742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42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Paycheck Protection Program Loan</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Proceeds from loan payable</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loan payable</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Aspire financing net of issuance costs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rPr>
              <w:t>3,241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Proceeds from issuance of common stock- AGP At The Market offering, net of issuance costs</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6,094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746</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Proceeds (costs) associated with exercise of pre-funded warrants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treasury stock</w:t>
            </w: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7420" w:type="dxa"/>
            <w:vAlign w:val="bottom"/>
            <w:tcBorders>
              <w:top w:val="single" w:sz="8" w:color="CCEEFF"/>
              <w:bottom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provided/ (used) by financing activities</w:t>
            </w:r>
          </w:p>
        </w:tc>
        <w:tc>
          <w:tcPr>
            <w:tcW w:w="46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10,575</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727</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420" w:type="dxa"/>
            <w:vAlign w:val="bottom"/>
          </w:tcPr>
          <w:p>
            <w:pPr>
              <w:ind w:left="720"/>
              <w:spacing w:after="0" w:line="203" w:lineRule="exact"/>
              <w:rPr>
                <w:sz w:val="20"/>
                <w:szCs w:val="20"/>
                <w:color w:val="auto"/>
              </w:rPr>
            </w:pPr>
            <w:r>
              <w:rPr>
                <w:rFonts w:ascii="Arial" w:cs="Arial" w:eastAsia="Arial" w:hAnsi="Arial"/>
                <w:sz w:val="18"/>
                <w:szCs w:val="18"/>
                <w:color w:val="auto"/>
              </w:rPr>
              <w:t>Net increase/(decrease) in cash, cash equivalents and restricted cash</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4,920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(5,737)</w:t>
            </w:r>
          </w:p>
        </w:tc>
        <w:tc>
          <w:tcPr>
            <w:tcW w:w="100" w:type="dxa"/>
            <w:vAlign w:val="bottom"/>
          </w:tcPr>
          <w:p>
            <w:pPr>
              <w:spacing w:after="0"/>
              <w:rPr>
                <w:sz w:val="17"/>
                <w:szCs w:val="17"/>
                <w:color w:val="auto"/>
              </w:rPr>
            </w:pPr>
          </w:p>
        </w:tc>
      </w:tr>
      <w:tr>
        <w:trPr>
          <w:trHeight w:val="25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4"/>
              </w:rPr>
              <w:t>10,930</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17,159</w:t>
            </w:r>
          </w:p>
        </w:tc>
      </w:tr>
      <w:tr>
        <w:trPr>
          <w:trHeight w:val="257"/>
        </w:trPr>
        <w:tc>
          <w:tcPr>
            <w:tcW w:w="74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460" w:type="dxa"/>
            <w:vAlign w:val="bottom"/>
            <w:tcBorders>
              <w:top w:val="single" w:sz="8" w:color="CCEEFF"/>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15,850</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11,422</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7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Supplemental disclosure of noncash operating activities: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financing costs reported in accrued expenses</w:t>
            </w:r>
          </w:p>
        </w:tc>
        <w:tc>
          <w:tcPr>
            <w:tcW w:w="1400" w:type="dxa"/>
            <w:vAlign w:val="bottom"/>
            <w:gridSpan w:val="2"/>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67</w:t>
            </w:r>
          </w:p>
        </w:tc>
      </w:tr>
      <w:tr>
        <w:trPr>
          <w:trHeight w:val="216"/>
        </w:trPr>
        <w:tc>
          <w:tcPr>
            <w:tcW w:w="7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Acquisition of property, plant and equipment through accounts payable</w:t>
            </w:r>
          </w:p>
        </w:tc>
        <w:tc>
          <w:tcPr>
            <w:tcW w:w="140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w:t>
            </w:r>
          </w:p>
        </w:tc>
      </w:tr>
      <w:tr>
        <w:trPr>
          <w:trHeight w:val="216"/>
        </w:trPr>
        <w:tc>
          <w:tcPr>
            <w:tcW w:w="7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issued for payment of commitment fee</w:t>
            </w:r>
          </w:p>
        </w:tc>
        <w:tc>
          <w:tcPr>
            <w:tcW w:w="1400" w:type="dxa"/>
            <w:vAlign w:val="bottom"/>
            <w:gridSpan w:val="2"/>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Background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Ocean Power Technologies, Inc. (the “Company”, “we”, “us”, “our”) was founded in 1984 in New Jersey, commenced business operations in 1994 and re-incorporated in Delaware in 2007. We believe that we are a marine power solutions provider. We control the design, manufacture, sales, installation, operations and maintenance of our products and solutions while working closely with partners that provide payloads, integration services, and marine installation capabilities. We believe our solutions provide persistent and reliable distributed offshore power along with communications for remote surface and subsea applications. Our mission and purpose are to utilize our proprietary, state-of-the-art technologies to enhance the environment by reducing the global carbon footprint through clean and renewable solutions for reliable electrical power and, in so doing, drive demand for our products and services. Before 2015, government agencies had accounted for a significant portion of the Company’s revenues. These revenues were largely for the support of product development efforts relating to our technology. Today our goal is to generate the majority of our revenue from the commercialization of products and solutions, and sales of services to support our business operations. As we continue to develop and commercialize our products and services, we expect to have a net decrease in cash due to the use of cash from operating activities until we can achieve positive cash flow from the commercialization of solutions, products and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10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2020 filed with the SEC and elsewhere in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Liquidity/Going Concern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consolidated financial statements have been prepared assuming the Company will continue as a going concern. The Company has experienced substantial and recurring losses from operations, which have contributed to an accumulated deficit of $226.5 million as of October 31, 2020. These factors raise substantial doubt about the Company’s ability to continue as a going concern. As of October 31, 2020, based in part on our equity raises discussed below, the Company had approximately $15.8 million in cash, cash equivalents, and restricted cash on hand. Based on the Company’s current cash, cash equivalents and restricted cash balances, and its ability to raise additional equity under facilities currently in place, the Company believes that it will be able to finance its capital requirements and operations for at least the next 12 months. Among other things, the Company is currently evaluating a variety of different financing alternatives and we expect to continue to fund our business with sales of our securities and through generating revenue with customers. The Company will require additional equity and/or debt financing to continue its operations into fiscal year 2022. The Company cannot provide assurances that it will be able to secure additional funding when needed or at all, or, if secured, that such funding would be on favorable terms.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spacing w:after="0" w:line="268" w:lineRule="auto"/>
        <w:rPr>
          <w:sz w:val="20"/>
          <w:szCs w:val="20"/>
          <w:color w:val="auto"/>
        </w:rPr>
      </w:pPr>
      <w:r>
        <w:rPr>
          <w:rFonts w:ascii="Arial" w:cs="Arial" w:eastAsia="Arial" w:hAnsi="Arial"/>
          <w:sz w:val="17"/>
          <w:szCs w:val="17"/>
          <w:color w:val="auto"/>
        </w:rPr>
        <w:t>Management is evaluating different strategies to obtain the required additional funding for future operations. These strategies may include, but are not limited to, continued pursuit of business opportunities, additional funding from current and /or new investors, officers and directors; borrowings of debt; or a public offering of the Company’s equity or debt securities. There can be no assurance that any of these future-funding efforts will be successful. The Company currently has committed sources of equity financing through its At the Market Offering Agreement with A.G.P/Alliance Global Partners (“AGP”) and its equity line with Aspire Capital (discussed further below), but the Company cannot be sure that additional equity and/or debt financing will be available to the Company as needed on acceptable terms, or at all. Historically, the Company has raised capital through securities sales in the public capital markets. 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the Company may be required to further curtail or limit operations, product development costs, and/or selling, general and administrative activities in order to reduce its cash expenditures, including its planned product development and marketing efforts, which could materially and adversely harm its financial condition and operating results. If the Company is unable to secure additional financing, it may be unable to execute its business plan, take advantage of future opportunities or be forced to cease operations.</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fiscal year 2020 and during the first six months of fiscal year 2021 ended October 31, 2020,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products, its inability to market and commercialize its products and new products that it may develop, technology development, scalability of technology and production, dependence on skills of key personnel, concentration of customers and suppliers, deployment risks and laws, regulations and permitting.</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7, 2019, the Company entered into an At the Market Offering Agreement (“2019 ATM Facility”) with AGP, under which the Company may issue and sell to or through AGP, acting as agent and/or principal, shares of the Company’s common stock having an aggregate offering price of up to $25 million. From inception of the program through October 31, 2020, under the 2019 ATM Facility, the Company sold and issued an aggregate of 10,942,100 shares of its common stock with an aggregate market value of $11.1 million at an average price of $1.01 per share and paid AGP a sales commission of approximately $360,095 related to those shares. On November 20, 2020, the Company entered into a new At the Market Offering Agreement with AGP (the “2020 ATM Facility”). Under the 2020 ATM Facility, the Company may issue and sell to or through AGP, acting as agent and/or principal, shares of the Company’s common stock having an aggregate offering price of up to $50.0 million. In connection with the effectiveness of the 2020 ATM Facility, the 2019 ATM Facility was terminated. For more on the 2020 ATM Facility, see Note 19, Subsequent Events.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24, 2019, the Company entered into a new common stock purchase agreement with Aspire Capital which provided that, subject to certain terms, conditions and limitations, Aspire Capital is committed to purchase up to an aggregate of $10.0 million of shares of the Company’s common stock over a 30-month period. Through September 18, 2020, the Company has sold an aggregate of 6,424,205 shares of common stock with an aggregate market value of $4.0 million at an average price of $0.63 per share pursuant to this common stock purchase agreement. The agreement was fully utilized and cancelled on September 18, 2020.</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18, 2020, the Company entered into a new common stock purchase agreement with Aspire Capital which provided that, subject to certain terms, conditions and limitations, Aspire Capital is committed to purchase up to an aggregate of $12.5 million of shares of the Company’s common stock over a 30-month period that does not exceed 19.99% of the outstanding common stock on the date of the agreement. The number of shares the Company could issue within the 19.99% limit is 3,722,251 shares. Shareholder approval is needed for sale of common stock over the 19.99% limit of the outstanding common stock on the date of the agreement. Through October 31, 2020, the Company has sold an aggregate of 500,000 shares of common stock with an aggregate market value of $0.6 million at an average price of $1.23 per share pursuant to this common stock purchase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estimated costs to complete projects; and the input method used to measure completion over time of customer contracts for purposes of revenue recognition. Actual results could differ from those estimates.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 Cash,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The Company invests excess cash in a money market account.</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October 31, 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April 30,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5"/>
          </w:tcPr>
          <w:p>
            <w:pPr>
              <w:jc w:val="right"/>
              <w:ind w:right="117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Money market account</w:t>
            </w:r>
          </w:p>
        </w:tc>
        <w:tc>
          <w:tcPr>
            <w:tcW w:w="14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12,875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8,451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two agreements with Santander Bank. Cash is on deposit at Santander Bank and serves as security for a letter of credit issued by Santander Bank for the lease of warehouse/office space in Monroe Township, New Jersey. This agreement cannot be extended beyond July 31, 2025 and is cancelable at the discretion of the bank. Santander Bank also issued two letters of credit to subsidiaries of Enel Green Power (“EGP”) pursuant to the Company’s contracts with EGP. The first letter of credit was issued in the amount of $125,690 that expires in May 2021. The second letter of credit was issued in the amount of $645,467 and reduced to $322,734 in August 2020. This second letter of credit will be reduced to $64,547 in January 2021. The remaining amount expires in December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3"/>
          </w:tcPr>
          <w:p>
            <w:pPr>
              <w:jc w:val="right"/>
              <w:ind w:right="3190"/>
              <w:spacing w:after="0"/>
              <w:rPr>
                <w:sz w:val="20"/>
                <w:szCs w:val="20"/>
                <w:color w:val="auto"/>
              </w:rPr>
            </w:pPr>
            <w:r>
              <w:rPr>
                <w:rFonts w:ascii="Arial" w:cs="Arial" w:eastAsia="Arial" w:hAnsi="Arial"/>
                <w:sz w:val="18"/>
                <w:szCs w:val="18"/>
                <w:color w:val="auto"/>
                <w:w w:val="91"/>
              </w:rPr>
              <w:t>Restricted cash includes the following:</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7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 2020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30, 2020</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5"/>
          </w:tcPr>
          <w:p>
            <w:pPr>
              <w:ind w:left="1120"/>
              <w:spacing w:after="0"/>
              <w:rPr>
                <w:sz w:val="20"/>
                <w:szCs w:val="20"/>
                <w:color w:val="auto"/>
              </w:rPr>
            </w:pPr>
            <w:r>
              <w:rPr>
                <w:rFonts w:ascii="Arial" w:cs="Arial" w:eastAsia="Arial" w:hAnsi="Arial"/>
                <w:sz w:val="18"/>
                <w:szCs w:val="18"/>
                <w:color w:val="auto"/>
              </w:rPr>
              <w:t>(in thousands)</w:t>
            </w:r>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0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00" w:type="dxa"/>
            <w:vAlign w:val="bottom"/>
            <w:vMerge w:val="continue"/>
          </w:tcPr>
          <w:p>
            <w:pPr>
              <w:spacing w:after="0"/>
              <w:rPr>
                <w:sz w:val="21"/>
                <w:szCs w:val="21"/>
                <w:color w:val="auto"/>
              </w:rPr>
            </w:pPr>
          </w:p>
        </w:tc>
        <w:tc>
          <w:tcPr>
            <w:tcW w:w="4240" w:type="dxa"/>
            <w:vAlign w:val="bottom"/>
            <w:shd w:val="clear" w:color="auto" w:fill="CCEEFF"/>
          </w:tcPr>
          <w:p>
            <w:pPr>
              <w:jc w:val="right"/>
              <w:ind w:right="3010"/>
              <w:spacing w:after="0"/>
              <w:rPr>
                <w:sz w:val="20"/>
                <w:szCs w:val="20"/>
                <w:color w:val="auto"/>
              </w:rPr>
            </w:pPr>
            <w:r>
              <w:rPr>
                <w:rFonts w:ascii="Arial" w:cs="Arial" w:eastAsia="Arial" w:hAnsi="Arial"/>
                <w:sz w:val="18"/>
                <w:szCs w:val="18"/>
                <w:color w:val="auto"/>
                <w:w w:val="86"/>
              </w:rPr>
              <w:t>Santander Bank</w:t>
            </w:r>
          </w:p>
        </w:tc>
        <w:tc>
          <w:tcPr>
            <w:tcW w:w="14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606</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w w:val="79"/>
              </w:rPr>
              <w:t>606</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October 31, 2020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30,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5"/>
          </w:tcPr>
          <w:p>
            <w:pPr>
              <w:jc w:val="right"/>
              <w:ind w:right="1170"/>
              <w:spacing w:after="0"/>
              <w:rPr>
                <w:sz w:val="20"/>
                <w:szCs w:val="20"/>
                <w:color w:val="auto"/>
              </w:rPr>
            </w:pPr>
            <w:r>
              <w:rPr>
                <w:rFonts w:ascii="Arial" w:cs="Arial" w:eastAsia="Arial" w:hAnsi="Arial"/>
                <w:sz w:val="18"/>
                <w:szCs w:val="18"/>
                <w:color w:val="auto"/>
              </w:rPr>
              <w:t>(in thousands)</w:t>
            </w:r>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15,244</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14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14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15,850</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10,930</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Concentration of Credit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principally of accounts receivable and cash and cash equivalents. The Company believes that its credit risk is limited because the Company’s current contracts are with companies with strong financial strength. The Company invests its excess cash in a money market account and does not believe that it is exposed to any significant risks related to its cash and money market accounts. Cash and cash equivalents are also maintained at foreign financial institutions. Cash and cash equivalents in foreign financial institutions as of October 31, 2020 was $0.3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36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 October 31,</w:t>
            </w:r>
          </w:p>
        </w:tc>
        <w:tc>
          <w:tcPr>
            <w:tcW w:w="3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 October 31,</w:t>
            </w:r>
          </w:p>
        </w:tc>
      </w:tr>
      <w:tr>
        <w:trPr>
          <w:trHeight w:val="237"/>
        </w:trPr>
        <w:tc>
          <w:tcPr>
            <w:tcW w:w="420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4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Premier Oil UK Limited</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13%</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U.S. Navy</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0%</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r>
      <w:tr>
        <w:trPr>
          <w:trHeight w:val="25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7"/>
        </w:trPr>
        <w:tc>
          <w:tcPr>
            <w:tcW w:w="420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87"/>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74"/>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74"/>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Share-Based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following table summarizes share-based compensation related to the Company’s share-based plans by expense category for the three and six months ended October 31, 2020 and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October 31,</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40" w:type="dxa"/>
            <w:vAlign w:val="bottom"/>
            <w:gridSpan w:val="6"/>
          </w:tcPr>
          <w:p>
            <w:pPr>
              <w:ind w:left="80"/>
              <w:spacing w:after="0"/>
              <w:rPr>
                <w:sz w:val="20"/>
                <w:szCs w:val="20"/>
                <w:color w:val="auto"/>
              </w:rPr>
            </w:pPr>
            <w:r>
              <w:rPr>
                <w:rFonts w:ascii="Arial" w:cs="Arial" w:eastAsia="Arial" w:hAnsi="Arial"/>
                <w:sz w:val="18"/>
                <w:szCs w:val="18"/>
                <w:b w:val="1"/>
                <w:bCs w:val="1"/>
                <w:color w:val="auto"/>
              </w:rPr>
              <w:t>Six months ended October 31,</w:t>
            </w:r>
          </w:p>
        </w:tc>
      </w:tr>
      <w:tr>
        <w:trPr>
          <w:trHeight w:val="237"/>
        </w:trPr>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top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30"/>
        </w:trPr>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gridSpan w:val="3"/>
          </w:tcPr>
          <w:p>
            <w:pPr>
              <w:jc w:val="right"/>
              <w:ind w:right="7"/>
              <w:spacing w:after="0"/>
              <w:rPr>
                <w:sz w:val="20"/>
                <w:szCs w:val="20"/>
                <w:color w:val="auto"/>
              </w:rPr>
            </w:pPr>
            <w:r>
              <w:rPr>
                <w:rFonts w:ascii="Arial" w:cs="Arial" w:eastAsia="Arial" w:hAnsi="Arial"/>
                <w:sz w:val="18"/>
                <w:szCs w:val="18"/>
                <w:color w:val="auto"/>
                <w:w w:val="87"/>
              </w:rPr>
              <w:t>(in thousands)</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w:t>
            </w:r>
          </w:p>
        </w:tc>
        <w:tc>
          <w:tcPr>
            <w:tcW w:w="17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1100" w:type="dxa"/>
            <w:vAlign w:val="bottom"/>
          </w:tcPr>
          <w:p>
            <w:pPr>
              <w:spacing w:after="0"/>
              <w:rPr>
                <w:sz w:val="20"/>
                <w:szCs w:val="20"/>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29"/>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b w:val="1"/>
          <w:bCs w:val="1"/>
          <w:i w:val="1"/>
          <w:iCs w:val="1"/>
          <w:color w:val="auto"/>
        </w:rPr>
        <w:t>Revenue Recognition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Accounting Standards Update (“ASU”) 2016-10 provides a practical expedient that permits presentation of shipping and handling costs, that occur after control of the promised goods or services transfer to the customer, as fulfillment costs rather than evaluating whether the shipping and handling activities are promised services to the customer. The Company adopted this practical expedient, but it did not have a material effect on its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six-month periods ended October 31, 2020 and 2019, all of the Company’s contracts were classified as firm fixed price.</w:t>
      </w:r>
    </w:p>
    <w:p>
      <w:pPr>
        <w:spacing w:after="0" w:line="17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October 31, 2020, the Company’s total remaining performance obligations, also referred to as backlog, totaled $0.8 million. The Company expects to recognize approximately 93%, or $0.7 million, of the remaining performance obligations as revenue over the next twelve months.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Solutions Leasing</w:t>
      </w:r>
    </w:p>
    <w:p>
      <w:pPr>
        <w:spacing w:after="0" w:line="225" w:lineRule="exact"/>
        <w:rPr>
          <w:sz w:val="20"/>
          <w:szCs w:val="20"/>
          <w:color w:val="auto"/>
        </w:rPr>
      </w:pPr>
    </w:p>
    <w:p>
      <w:pPr>
        <w:jc w:val="both"/>
        <w:ind w:left="40"/>
        <w:spacing w:after="0" w:line="275" w:lineRule="auto"/>
        <w:rPr>
          <w:sz w:val="20"/>
          <w:szCs w:val="20"/>
          <w:color w:val="auto"/>
        </w:rPr>
      </w:pPr>
      <w:r>
        <w:rPr>
          <w:rFonts w:ascii="Arial" w:cs="Arial" w:eastAsia="Arial" w:hAnsi="Arial"/>
          <w:sz w:val="17"/>
          <w:szCs w:val="17"/>
          <w:color w:val="auto"/>
        </w:rPr>
        <w:t>The Company enters into lease arrangements with certain customers for their products and solutions. As of October 31, 2020, the Company has one lease arrangement with a remaining operating lease term of less than 13 months. Revenue related to multiple-element arrangements is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classifies leases as either operating or financing in accordance with the authoritative accounting guidance contained within ASC Topic 842, </w:t>
      </w:r>
      <w:r>
        <w:rPr>
          <w:rFonts w:ascii="Arial" w:cs="Arial" w:eastAsia="Arial" w:hAnsi="Arial"/>
          <w:sz w:val="16"/>
          <w:szCs w:val="16"/>
          <w:i w:val="1"/>
          <w:iCs w:val="1"/>
          <w:color w:val="auto"/>
        </w:rPr>
        <w:t xml:space="preserve">“Leases”. </w:t>
      </w:r>
      <w:r>
        <w:rPr>
          <w:rFonts w:ascii="Arial" w:cs="Arial" w:eastAsia="Arial" w:hAnsi="Arial"/>
          <w:sz w:val="16"/>
          <w:szCs w:val="16"/>
          <w:color w:val="auto"/>
        </w:rPr>
        <w:t>At inception of the contract, the Company evaluates the lease against the lease classification criteria within ASC Topic 842. If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or sales-type classification criteria are met, then the lease is accounted for as a finance lease. All others are treated as an operating lease.</w:t>
      </w:r>
    </w:p>
    <w:p>
      <w:pPr>
        <w:spacing w:after="0" w:line="149" w:lineRule="exact"/>
        <w:rPr>
          <w:sz w:val="20"/>
          <w:szCs w:val="20"/>
          <w:color w:val="auto"/>
        </w:rPr>
      </w:pPr>
    </w:p>
    <w:p>
      <w:pPr>
        <w:ind w:left="40"/>
        <w:spacing w:after="0" w:line="342" w:lineRule="auto"/>
        <w:rPr>
          <w:sz w:val="20"/>
          <w:szCs w:val="20"/>
          <w:color w:val="auto"/>
        </w:rPr>
      </w:pPr>
      <w:r>
        <w:rPr>
          <w:rFonts w:ascii="Arial" w:cs="Arial" w:eastAsia="Arial" w:hAnsi="Arial"/>
          <w:sz w:val="16"/>
          <w:szCs w:val="16"/>
          <w:color w:val="auto"/>
        </w:rPr>
        <w:t>The Company recognizes revenue from operating lease arrangements generally on a straight-line basis over the lease term and is presented in Revenues in the Consolidated Statement of Operations. The lease income for the three and six months ended October 31, 2020 and 2019 was immaterial.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Net Loss per Common Share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Basic and diluted net loss per share for all periods presented is computed by dividing net loss by the weighted average number of shares of common stock and common stock equivalents outstanding during the period. The pre-funded warrants were determined to be common stock equivalents and have been included in the weighted average number of shares outstanding for calculation of the basic earnings per share number. Due to the Company’s net losses, potentially dilutive securities, consisting of options to purchase shares of common stock, warrants on common stock and non-vested restricted stock issued to employees and non-employee directors, were excluded from the diluted loss per share calculation due to their anti-dilutive effect.</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computing diluted net loss per share on the Consolidated Statement of Operations, warrants on common stock, options to purchase shares of common stock and non-vested restricted stock issued to employees and non-employee directors, totaling 5,540,469 and 5,007,907 for the three and six months ended October 31, 2020 and 2019, respectively, were excluded from each of the computations as the effect would be anti-dilutive due to the Company’s losses.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(h) Recently Issued Accounting Standards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the Financial Accounting Standards Board (“FASB”) issued ASU No. 2016-13,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 </w:t>
      </w:r>
      <w:r>
        <w:rPr>
          <w:rFonts w:ascii="Arial" w:cs="Arial" w:eastAsia="Arial" w:hAnsi="Arial"/>
          <w:sz w:val="16"/>
          <w:szCs w:val="16"/>
          <w:i w:val="1"/>
          <w:iCs w:val="1"/>
          <w:color w:val="auto"/>
        </w:rPr>
        <w:t>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The amendment in this update replaces the incurred loss impairment methodology in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GAAP with a 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6"/>
          <w:szCs w:val="16"/>
          <w:i w:val="1"/>
          <w:iCs w:val="1"/>
          <w:color w:val="auto"/>
        </w:rPr>
        <w:t>Financial Instruments—Credit Losses (Topic 326), Derivatives and Hedging (Topic 815), and Leases (Topic 842)</w:t>
      </w:r>
      <w:r>
        <w:rPr>
          <w:rFonts w:ascii="Arial" w:cs="Arial" w:eastAsia="Arial" w:hAnsi="Arial"/>
          <w:sz w:val="16"/>
          <w:szCs w:val="16"/>
          <w:color w:val="auto"/>
        </w:rPr>
        <w:t>, which deferred the effective date of ASU 2016-13 for Smaller Reporting Companies for fiscal years beginning after December 15, 2022, including interim periods within those fiscal years. The Company is currently evaluating the impact the adoption of ASU 2016-13 will have on its consolidated financial statements.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The ASU modifies, removes, and adds several disclosure requirements on fair value measurements in Topic 820, Fair Value Measurement.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this guidance effective May 1, 2020. The adoption of the guidance did not have a material effect on its Consolidated Financial Statements.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2018, the FASB issued ASU No. 2018-15,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 </w:t>
      </w:r>
      <w:r>
        <w:rPr>
          <w:rFonts w:ascii="Arial" w:cs="Arial" w:eastAsia="Arial" w:hAnsi="Arial"/>
          <w:sz w:val="16"/>
          <w:szCs w:val="16"/>
          <w:i w:val="1"/>
          <w:iCs w:val="1"/>
          <w:color w:val="auto"/>
        </w:rPr>
        <w:t>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The ASU requires a customer in a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computing arrangement that is a service contract to follow the internal-use software guidance in Accounting Standards Codification 350-40 to determine which implementation costs to defer and recognize as an asset. The ASU permits two methods of adoption: prospectively to all implementation costs incurred after the date of adoption, or retrospectively to each prior reporting period presented. The Company adopted this guidance on a prospective basis effective May 1, 2020. The adoption of the guidance did not have a material effect on its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 Receivable, Contract Assets, and Contract Liabilities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provides further details on the balance sheet accounts of accounts receivable, contract assets, and contract liabilities from contracts with customers:</w:t>
      </w:r>
    </w:p>
    <w:p>
      <w:pPr>
        <w:spacing w:after="0" w:line="180"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4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right"/>
              <w:ind w:right="470"/>
              <w:spacing w:after="0"/>
              <w:rPr>
                <w:sz w:val="20"/>
                <w:szCs w:val="20"/>
                <w:color w:val="auto"/>
              </w:rPr>
            </w:pPr>
            <w:r>
              <w:rPr>
                <w:rFonts w:ascii="Arial" w:cs="Arial" w:eastAsia="Arial" w:hAnsi="Arial"/>
                <w:sz w:val="18"/>
                <w:szCs w:val="18"/>
                <w:b w:val="1"/>
                <w:bCs w:val="1"/>
                <w:color w:val="auto"/>
                <w:w w:val="91"/>
              </w:rPr>
              <w:t>October 31, 2020</w:t>
            </w: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2020</w:t>
            </w:r>
          </w:p>
        </w:tc>
      </w:tr>
      <w:tr>
        <w:trPr>
          <w:trHeight w:val="230"/>
        </w:trPr>
        <w:tc>
          <w:tcPr>
            <w:tcW w:w="48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gridSpan w:val="2"/>
          </w:tcPr>
          <w:p>
            <w:pPr>
              <w:jc w:val="right"/>
              <w:ind w:right="113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r>
      <w:tr>
        <w:trPr>
          <w:trHeight w:val="202"/>
        </w:trPr>
        <w:tc>
          <w:tcPr>
            <w:tcW w:w="4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Contract assets</w:t>
            </w:r>
          </w:p>
        </w:tc>
        <w:tc>
          <w:tcPr>
            <w:tcW w:w="120" w:type="dxa"/>
            <w:vAlign w:val="bottom"/>
          </w:tcPr>
          <w:p>
            <w:pPr>
              <w:spacing w:after="0"/>
              <w:rPr>
                <w:sz w:val="18"/>
                <w:szCs w:val="18"/>
                <w:color w:val="auto"/>
              </w:rPr>
            </w:pP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97</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109</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credit to its customers, generally without collateral, under normal payment terms (typically 30 to 60 days after invoicing). Generally, invoicing occurs after the related services are performed or control of good has transferred to the customer. Accounts receivable represents an unconditional right to consideration arising from the Company’s performance under contracts with customers. The carrying value of such receivables represent their estimated realizable value.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7520" w:type="dxa"/>
            <w:vAlign w:val="bottom"/>
            <w:gridSpan w:val="2"/>
          </w:tcPr>
          <w:p>
            <w:pPr>
              <w:spacing w:after="0"/>
              <w:rPr>
                <w:sz w:val="20"/>
                <w:szCs w:val="20"/>
                <w:color w:val="auto"/>
              </w:rPr>
            </w:pPr>
            <w:r>
              <w:rPr>
                <w:rFonts w:ascii="Arial" w:cs="Arial" w:eastAsia="Arial" w:hAnsi="Arial"/>
                <w:sz w:val="18"/>
                <w:szCs w:val="18"/>
                <w:i w:val="1"/>
                <w:iCs w:val="1"/>
                <w:color w:val="auto"/>
              </w:rPr>
              <w:t>Contract Assets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520" w:type="dxa"/>
            <w:vAlign w:val="bottom"/>
            <w:gridSpan w:val="2"/>
          </w:tcPr>
          <w:p>
            <w:pPr>
              <w:spacing w:after="0"/>
              <w:rPr>
                <w:sz w:val="20"/>
                <w:szCs w:val="20"/>
                <w:color w:val="auto"/>
              </w:rPr>
            </w:pPr>
            <w:r>
              <w:rPr>
                <w:rFonts w:ascii="Arial" w:cs="Arial" w:eastAsia="Arial" w:hAnsi="Arial"/>
                <w:sz w:val="18"/>
                <w:szCs w:val="18"/>
                <w:color w:val="auto"/>
              </w:rPr>
              <w:t>Significant changes in the contract assets balances during the period are as follows: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19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101"/>
              <w:spacing w:after="0"/>
              <w:rPr>
                <w:sz w:val="20"/>
                <w:szCs w:val="20"/>
                <w:color w:val="auto"/>
              </w:rPr>
            </w:pPr>
            <w:r>
              <w:rPr>
                <w:rFonts w:ascii="Arial" w:cs="Arial" w:eastAsia="Arial" w:hAnsi="Arial"/>
                <w:sz w:val="18"/>
                <w:szCs w:val="18"/>
                <w:b w:val="1"/>
                <w:bCs w:val="1"/>
                <w:color w:val="auto"/>
                <w:w w:val="87"/>
              </w:rPr>
              <w:t>Six months ended</w:t>
            </w:r>
          </w:p>
        </w:tc>
      </w:tr>
      <w:tr>
        <w:trPr>
          <w:trHeight w:val="241"/>
        </w:trPr>
        <w:tc>
          <w:tcPr>
            <w:tcW w:w="19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0"/>
              </w:rPr>
              <w:t>October 31, 2020</w:t>
            </w:r>
          </w:p>
        </w:tc>
      </w:tr>
      <w:tr>
        <w:trPr>
          <w:trHeight w:val="230"/>
        </w:trPr>
        <w:tc>
          <w:tcPr>
            <w:tcW w:w="19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1"/>
              </w:rPr>
              <w:t>(in thousands)</w:t>
            </w:r>
          </w:p>
        </w:tc>
        <w:tc>
          <w:tcPr>
            <w:tcW w:w="60" w:type="dxa"/>
            <w:vAlign w:val="bottom"/>
          </w:tcPr>
          <w:p>
            <w:pPr>
              <w:spacing w:after="0"/>
              <w:rPr>
                <w:sz w:val="20"/>
                <w:szCs w:val="20"/>
                <w:color w:val="auto"/>
              </w:rPr>
            </w:pPr>
          </w:p>
        </w:tc>
      </w:tr>
      <w:tr>
        <w:trPr>
          <w:trHeight w:val="202"/>
        </w:trPr>
        <w:tc>
          <w:tcPr>
            <w:tcW w:w="19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1980" w:type="dxa"/>
            <w:vAlign w:val="bottom"/>
          </w:tcPr>
          <w:p>
            <w:pPr>
              <w:spacing w:after="0"/>
              <w:rPr>
                <w:sz w:val="17"/>
                <w:szCs w:val="17"/>
                <w:color w:val="auto"/>
              </w:rPr>
            </w:pP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Transferred to receivables from contract assets recognized at the beginning</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1980" w:type="dxa"/>
            <w:vAlign w:val="bottom"/>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of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37"/>
        </w:trPr>
        <w:tc>
          <w:tcPr>
            <w:tcW w:w="198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Revenue recognized and not billed as of the end of the period</w:t>
            </w:r>
          </w:p>
        </w:tc>
        <w:tc>
          <w:tcPr>
            <w:tcW w:w="1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1980" w:type="dxa"/>
            <w:vAlign w:val="bottom"/>
          </w:tcPr>
          <w:p>
            <w:pPr>
              <w:spacing w:after="0"/>
              <w:rPr>
                <w:sz w:val="19"/>
                <w:szCs w:val="19"/>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contract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9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include unbilled amounts typically resulting from arrangements whereby the right to payment is conditioned on completing additional tasks or services for a performance obligation. The decrease in contract assets is primarily a result of services performed relating to our project with Enel Green Power that was billed during the six months ended October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contract liabilities balances during the period are as follows:</w:t>
      </w:r>
    </w:p>
    <w:p>
      <w:pPr>
        <w:spacing w:after="0" w:line="221"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October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10718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1880" cy="17145"/>
                    </a:xfrm>
                    <a:prstGeom prst="rect">
                      <a:avLst/>
                    </a:prstGeom>
                    <a:noFill/>
                  </pic:spPr>
                </pic:pic>
              </a:graphicData>
            </a:graphic>
          </wp:anchor>
        </w:drawing>
      </w:r>
    </w:p>
    <w:p>
      <w:pPr>
        <w:spacing w:after="0" w:line="15"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40"/>
          </w:cols>
          <w:pgMar w:left="320" w:top="665" w:right="339" w:bottom="1440" w:gutter="0" w:footer="0" w:header="0"/>
        </w:sectPr>
      </w:pPr>
    </w:p>
    <w:p>
      <w:pPr>
        <w:spacing w:after="0" w:line="225" w:lineRule="exact"/>
        <w:rPr>
          <w:sz w:val="20"/>
          <w:szCs w:val="20"/>
          <w:color w:val="auto"/>
        </w:rPr>
      </w:pPr>
    </w:p>
    <w:p>
      <w:pPr>
        <w:ind w:left="1980"/>
        <w:spacing w:after="0" w:line="258" w:lineRule="auto"/>
        <w:rPr>
          <w:sz w:val="20"/>
          <w:szCs w:val="20"/>
          <w:color w:val="auto"/>
        </w:rPr>
      </w:pPr>
      <w:r>
        <w:rPr>
          <w:rFonts w:ascii="Arial" w:cs="Arial" w:eastAsia="Arial" w:hAnsi="Arial"/>
          <w:sz w:val="18"/>
          <w:szCs w:val="18"/>
          <w:color w:val="auto"/>
        </w:rPr>
        <w:t>Revenue recognized that was included in the contract liabilities balance as of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-273050</wp:posOffset>
            </wp:positionV>
            <wp:extent cx="462915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29150" cy="274320"/>
                    </a:xfrm>
                    <a:prstGeom prst="rect">
                      <a:avLst/>
                    </a:prstGeom>
                    <a:noFill/>
                  </pic:spPr>
                </pic:pic>
              </a:graphicData>
            </a:graphic>
          </wp:anchor>
        </w:drawing>
      </w:r>
    </w:p>
    <w:p>
      <w:pPr>
        <w:ind w:left="1980" w:right="220"/>
        <w:spacing w:after="0" w:line="257" w:lineRule="auto"/>
        <w:rPr>
          <w:sz w:val="20"/>
          <w:szCs w:val="20"/>
          <w:color w:val="auto"/>
        </w:rPr>
      </w:pPr>
      <w:r>
        <w:rPr>
          <w:rFonts w:ascii="Arial" w:cs="Arial" w:eastAsia="Arial" w:hAnsi="Arial"/>
          <w:sz w:val="18"/>
          <w:szCs w:val="18"/>
          <w:color w:val="auto"/>
        </w:rPr>
        <w:t>Transferred to contract assets from contract liabilities recognized at the beginning of the period</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Net change in 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-130175</wp:posOffset>
            </wp:positionV>
            <wp:extent cx="46291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291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49</w:t>
      </w:r>
    </w:p>
    <w:p>
      <w:pPr>
        <w:spacing w:after="0" w:line="262"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7</w:t>
      </w:r>
    </w:p>
    <w:p>
      <w:pPr>
        <w:spacing w:after="0" w:line="107"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10718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20" w:space="200"/>
            <w:col w:w="3720"/>
          </w:cols>
          <w:pgMar w:left="320" w:top="665" w:right="339" w:bottom="1440" w:gutter="0" w:footer="0" w:header="0"/>
          <w:type w:val="continuous"/>
        </w:sectPr>
      </w:pP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Contract liabilities consist of amounts invoiced to customers in excess of revenue recognized. The decrease in contract liabilities is primarily due to recognition of revenue relating to our Eni project during the six months ended October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 of the following at October 31, 2020 and April 30,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October 31, 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 2020</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20" w:type="dxa"/>
            <w:vAlign w:val="bottom"/>
            <w:tcBorders>
              <w:top w:val="single" w:sz="8" w:color="auto"/>
            </w:tcBorders>
            <w:gridSpan w:val="5"/>
          </w:tcPr>
          <w:p>
            <w:pPr>
              <w:jc w:val="right"/>
              <w:ind w:right="12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8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Other receivables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Prepaid offering costs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275</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other</w:t>
            </w:r>
          </w:p>
        </w:tc>
        <w:tc>
          <w:tcPr>
            <w:tcW w:w="1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80" w:type="dxa"/>
            <w:vAlign w:val="bottom"/>
            <w:tcBorders>
              <w:top w:val="single" w:sz="8" w:color="CCEEFF"/>
            </w:tcBorders>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vMerge w:val="restart"/>
          </w:tcPr>
          <w:p>
            <w:pPr>
              <w:jc w:val="right"/>
              <w:ind w:right="17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4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as of October 31, 2020 and April 30, 2020 consisted of the following:</w:t>
      </w:r>
    </w:p>
    <w:p>
      <w:pPr>
        <w:spacing w:after="0" w:line="235"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October 31, 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April 30, 2020</w:t>
            </w:r>
          </w:p>
        </w:tc>
      </w:tr>
      <w:tr>
        <w:trPr>
          <w:trHeight w:val="230"/>
        </w:trPr>
        <w:tc>
          <w:tcPr>
            <w:tcW w:w="45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20" w:type="dxa"/>
            <w:vAlign w:val="bottom"/>
            <w:tcBorders>
              <w:top w:val="single" w:sz="8" w:color="auto"/>
            </w:tcBorders>
            <w:gridSpan w:val="5"/>
          </w:tcPr>
          <w:p>
            <w:pPr>
              <w:jc w:val="right"/>
              <w:ind w:right="1290"/>
              <w:spacing w:after="0"/>
              <w:rPr>
                <w:sz w:val="20"/>
                <w:szCs w:val="20"/>
                <w:color w:val="auto"/>
              </w:rPr>
            </w:pPr>
            <w:r>
              <w:rPr>
                <w:rFonts w:ascii="Arial" w:cs="Arial" w:eastAsia="Arial" w:hAnsi="Arial"/>
                <w:sz w:val="18"/>
                <w:szCs w:val="18"/>
                <w:color w:val="auto"/>
              </w:rPr>
              <w:t>(in thousands)</w:t>
            </w:r>
          </w:p>
        </w:tc>
        <w:tc>
          <w:tcPr>
            <w:tcW w:w="80" w:type="dxa"/>
            <w:vAlign w:val="bottom"/>
            <w:gridSpan w:val="2"/>
          </w:tcPr>
          <w:p>
            <w:pPr>
              <w:spacing w:after="0"/>
              <w:rPr>
                <w:sz w:val="20"/>
                <w:szCs w:val="20"/>
                <w:color w:val="auto"/>
              </w:rPr>
            </w:pPr>
          </w:p>
        </w:tc>
      </w:tr>
      <w:tr>
        <w:trPr>
          <w:trHeight w:val="202"/>
        </w:trPr>
        <w:tc>
          <w:tcPr>
            <w:tcW w:w="4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486</w:t>
            </w: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equipment</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18"/>
                <w:szCs w:val="18"/>
                <w:color w:val="auto"/>
              </w:rPr>
            </w:pP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6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1"/>
                <w:szCs w:val="21"/>
                <w:color w:val="auto"/>
              </w:rPr>
            </w:pPr>
          </w:p>
        </w:tc>
      </w:tr>
      <w:tr>
        <w:trPr>
          <w:trHeight w:val="203"/>
        </w:trPr>
        <w:tc>
          <w:tcPr>
            <w:tcW w:w="45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1,646</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1,656</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4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(1,221)</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(1,157)</w:t>
            </w:r>
          </w:p>
        </w:tc>
      </w:tr>
      <w:tr>
        <w:trPr>
          <w:trHeight w:val="217"/>
        </w:trPr>
        <w:tc>
          <w:tcPr>
            <w:tcW w:w="45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was approximately $36,000 and $39,000 for the three-month periods ended October 31, 2020 and 2019, and approximately $73,000 and $77,000 for the six-month periods ended October 31,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Lessor Information</w:t>
      </w:r>
    </w:p>
    <w:p>
      <w:pPr>
        <w:spacing w:after="0" w:line="225" w:lineRule="exact"/>
        <w:rPr>
          <w:sz w:val="20"/>
          <w:szCs w:val="20"/>
          <w:color w:val="auto"/>
        </w:rPr>
      </w:pPr>
    </w:p>
    <w:p>
      <w:pPr>
        <w:jc w:val="both"/>
        <w:ind w:left="40"/>
        <w:spacing w:after="0" w:line="263" w:lineRule="auto"/>
        <w:rPr>
          <w:sz w:val="20"/>
          <w:szCs w:val="20"/>
          <w:color w:val="auto"/>
        </w:rPr>
      </w:pPr>
      <w:r>
        <w:rPr>
          <w:rFonts w:ascii="Arial" w:cs="Arial" w:eastAsia="Arial" w:hAnsi="Arial"/>
          <w:sz w:val="18"/>
          <w:szCs w:val="18"/>
          <w:color w:val="auto"/>
        </w:rPr>
        <w:t xml:space="preserve">As of October 31, 2020, the Company has one lease which has been classified as an operating lease per accounting guidance contained within ASC Topic 842,” </w:t>
      </w:r>
      <w:r>
        <w:rPr>
          <w:rFonts w:ascii="Arial" w:cs="Arial" w:eastAsia="Arial" w:hAnsi="Arial"/>
          <w:sz w:val="18"/>
          <w:szCs w:val="18"/>
          <w:i w:val="1"/>
          <w:iCs w:val="1"/>
          <w:color w:val="auto"/>
        </w:rPr>
        <w:t>Leases”</w:t>
      </w:r>
      <w:r>
        <w:rPr>
          <w:rFonts w:ascii="Arial" w:cs="Arial" w:eastAsia="Arial" w:hAnsi="Arial"/>
          <w:sz w:val="18"/>
          <w:szCs w:val="18"/>
          <w:color w:val="auto"/>
        </w:rPr>
        <w:t>. The Company’s remaining term on this operating lease is less than 13 months. The maturity of lease payments remaining on this lease is immaterial.</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Lessee Information</w:t>
      </w:r>
    </w:p>
    <w:p>
      <w:pPr>
        <w:spacing w:after="0" w:line="225" w:lineRule="exact"/>
        <w:rPr>
          <w:sz w:val="20"/>
          <w:szCs w:val="20"/>
          <w:color w:val="auto"/>
        </w:rPr>
      </w:pPr>
    </w:p>
    <w:p>
      <w:pPr>
        <w:jc w:val="both"/>
        <w:ind w:left="40"/>
        <w:spacing w:after="0" w:line="259" w:lineRule="auto"/>
        <w:rPr>
          <w:sz w:val="20"/>
          <w:szCs w:val="20"/>
          <w:color w:val="auto"/>
        </w:rPr>
      </w:pPr>
      <w:r>
        <w:rPr>
          <w:rFonts w:ascii="Arial" w:cs="Arial" w:eastAsia="Arial" w:hAnsi="Arial"/>
          <w:sz w:val="18"/>
          <w:szCs w:val="18"/>
          <w:color w:val="auto"/>
        </w:rPr>
        <w:t>The Company has a lease for its facility located in Monroe Township, New Jersey that is used as warehouse/production space and the Company’s principal offices and corporate headquarters. The initial lease term is for 7 years with an option to extend the lease for another 5 years. The lease is classified as an operating lease. The operating lease is included in right-of-use assets, lease liabilities- current and lease liabilities- long-term on the Company’s Consolidated Balance Sheets.</w:t>
      </w:r>
    </w:p>
    <w:p>
      <w:pPr>
        <w:spacing w:after="0" w:line="187" w:lineRule="exact"/>
        <w:rPr>
          <w:sz w:val="20"/>
          <w:szCs w:val="20"/>
          <w:color w:val="auto"/>
        </w:rPr>
      </w:pPr>
    </w:p>
    <w:p>
      <w:pPr>
        <w:jc w:val="both"/>
        <w:ind w:left="40"/>
        <w:spacing w:after="0" w:line="293" w:lineRule="auto"/>
        <w:rPr>
          <w:sz w:val="20"/>
          <w:szCs w:val="20"/>
          <w:color w:val="auto"/>
        </w:rPr>
      </w:pPr>
      <w:r>
        <w:rPr>
          <w:rFonts w:ascii="Arial" w:cs="Arial" w:eastAsia="Arial" w:hAnsi="Arial"/>
          <w:sz w:val="16"/>
          <w:szCs w:val="16"/>
          <w:color w:val="auto"/>
        </w:rPr>
        <w:t>Right-of-use asset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Lease expense for minimum lease payments is recognized on a straight- line basis over the lease term and consists of interest on the lease liability and the amortization of the right of use asset. Variable lease expenses, if any, are recorded as incurred.</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On June 10, 2020 the Company signed a 12-month lease for office space in Houston, Texas. The lease can be extended by the Company by providing the lessor on or before the notice date of the Company’s intent to renew or terminate the lease.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allows a company an accounting policy election to recognize lease payments to the Consolidated Statement of Operations on a straight-line basis if the lease term is equal to or less 12 months and not recognize a right-of use asset and lease liability. The accounting policy is made on the commencement date of the lease.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operating lease cash flow payments for the six months ended October 31, 2020 and 2019 was $168,000 and $159,000,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The components of lease expense in the Consolidated Statement of Operations for both the three and six months ended October 31, 2020 and 2019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October 31,</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40" w:type="dxa"/>
            <w:vAlign w:val="bottom"/>
            <w:gridSpan w:val="6"/>
          </w:tcPr>
          <w:p>
            <w:pPr>
              <w:ind w:left="80"/>
              <w:spacing w:after="0"/>
              <w:rPr>
                <w:sz w:val="20"/>
                <w:szCs w:val="20"/>
                <w:color w:val="auto"/>
              </w:rPr>
            </w:pPr>
            <w:r>
              <w:rPr>
                <w:rFonts w:ascii="Arial" w:cs="Arial" w:eastAsia="Arial" w:hAnsi="Arial"/>
                <w:sz w:val="18"/>
                <w:szCs w:val="18"/>
                <w:b w:val="1"/>
                <w:bCs w:val="1"/>
                <w:color w:val="auto"/>
              </w:rPr>
              <w:t>Six months ended October 31,</w:t>
            </w:r>
          </w:p>
        </w:tc>
      </w:tr>
      <w:tr>
        <w:trPr>
          <w:trHeight w:val="237"/>
        </w:trPr>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top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30"/>
        </w:trPr>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gridSpan w:val="3"/>
          </w:tcPr>
          <w:p>
            <w:pPr>
              <w:jc w:val="right"/>
              <w:ind w:right="7"/>
              <w:spacing w:after="0"/>
              <w:rPr>
                <w:sz w:val="20"/>
                <w:szCs w:val="20"/>
                <w:color w:val="auto"/>
              </w:rPr>
            </w:pPr>
            <w:r>
              <w:rPr>
                <w:rFonts w:ascii="Arial" w:cs="Arial" w:eastAsia="Arial" w:hAnsi="Arial"/>
                <w:sz w:val="18"/>
                <w:szCs w:val="18"/>
                <w:color w:val="auto"/>
                <w:w w:val="87"/>
              </w:rPr>
              <w:t>(in thousands)</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5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37"/>
        </w:trPr>
        <w:tc>
          <w:tcPr>
            <w:tcW w:w="2900" w:type="dxa"/>
            <w:vAlign w:val="bottom"/>
          </w:tcPr>
          <w:p>
            <w:pPr>
              <w:spacing w:after="0"/>
              <w:rPr>
                <w:sz w:val="20"/>
                <w:szCs w:val="20"/>
                <w:color w:val="auto"/>
              </w:rPr>
            </w:pPr>
            <w:r>
              <w:rPr>
                <w:rFonts w:ascii="Arial" w:cs="Arial" w:eastAsia="Arial" w:hAnsi="Arial"/>
                <w:sz w:val="18"/>
                <w:szCs w:val="18"/>
                <w:color w:val="auto"/>
              </w:rPr>
              <w:t>Short-term lease cost</w:t>
            </w:r>
          </w:p>
        </w:tc>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100" w:type="dxa"/>
            <w:vAlign w:val="bottom"/>
          </w:tcPr>
          <w:p>
            <w:pPr>
              <w:spacing w:after="0"/>
              <w:rPr>
                <w:sz w:val="20"/>
                <w:szCs w:val="20"/>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Company’s right-of use assets and lease liabilities as of October 31, 2020 was as follows:</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Operating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Operating right-of-use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Right-of-use liability-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Right-of-use liability- long term</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40640</wp:posOffset>
            </wp:positionV>
            <wp:extent cx="641223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73" w:lineRule="exact"/>
        <w:rPr>
          <w:sz w:val="20"/>
          <w:szCs w:val="20"/>
          <w:color w:val="auto"/>
        </w:rPr>
      </w:pPr>
    </w:p>
    <w:p>
      <w:pPr>
        <w:ind w:left="580" w:right="2520"/>
        <w:spacing w:after="0" w:line="342" w:lineRule="auto"/>
        <w:rPr>
          <w:sz w:val="20"/>
          <w:szCs w:val="20"/>
          <w:color w:val="auto"/>
        </w:rPr>
      </w:pPr>
      <w:r>
        <w:rPr>
          <w:rFonts w:ascii="Arial" w:cs="Arial" w:eastAsia="Arial" w:hAnsi="Arial"/>
          <w:sz w:val="16"/>
          <w:szCs w:val="16"/>
          <w:color w:val="auto"/>
        </w:rPr>
        <w:t>Weighted average remaining lease term- operating leases Weighted average discount rate-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-186055</wp:posOffset>
            </wp:positionV>
            <wp:extent cx="641223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Total remaining lease payments under the Company’s operating leases are as follows: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October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17145</wp:posOffset>
            </wp:positionV>
            <wp:extent cx="120840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8405" cy="17145"/>
                    </a:xfrm>
                    <a:prstGeom prst="rect">
                      <a:avLst/>
                    </a:prstGeom>
                    <a:noFill/>
                  </pic:spPr>
                </pic:pic>
              </a:graphicData>
            </a:graphic>
          </wp:anchor>
        </w:drawing>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41" w:lineRule="exact"/>
        <w:rPr>
          <w:sz w:val="20"/>
          <w:szCs w:val="20"/>
          <w:color w:val="auto"/>
        </w:rPr>
      </w:pPr>
    </w:p>
    <w:p>
      <w:pPr>
        <w:ind w:left="680"/>
        <w:spacing w:after="0"/>
        <w:tabs>
          <w:tab w:leader="none" w:pos="2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1,060</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244</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954</w:t>
      </w:r>
    </w:p>
    <w:p>
      <w:pPr>
        <w:spacing w:after="0" w:line="49" w:lineRule="exact"/>
        <w:rPr>
          <w:sz w:val="20"/>
          <w:szCs w:val="20"/>
          <w:color w:val="auto"/>
        </w:rPr>
      </w:pPr>
    </w:p>
    <w:p>
      <w:pPr>
        <w:ind w:left="680"/>
        <w:spacing w:after="0"/>
        <w:tabs>
          <w:tab w:leader="none" w:pos="2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14605</wp:posOffset>
            </wp:positionV>
            <wp:extent cx="12084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46"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3.98 years</w:t>
      </w:r>
    </w:p>
    <w:p>
      <w:pPr>
        <w:spacing w:after="0" w:line="23"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20"/>
        <w:spacing w:after="0"/>
        <w:rPr>
          <w:sz w:val="20"/>
          <w:szCs w:val="20"/>
          <w:color w:val="auto"/>
        </w:rPr>
      </w:pPr>
      <w:r>
        <w:rPr>
          <w:rFonts w:ascii="Arial" w:cs="Arial" w:eastAsia="Arial" w:hAnsi="Arial"/>
          <w:sz w:val="16"/>
          <w:szCs w:val="16"/>
          <w:b w:val="1"/>
          <w:bCs w:val="1"/>
          <w:color w:val="auto"/>
        </w:rPr>
        <w:t>October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31750</wp:posOffset>
            </wp:positionV>
            <wp:extent cx="11569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56970" cy="17145"/>
                    </a:xfrm>
                    <a:prstGeom prst="rect">
                      <a:avLst/>
                    </a:prstGeom>
                    <a:noFill/>
                  </pic:spPr>
                </pic:pic>
              </a:graphicData>
            </a:graphic>
          </wp:anchor>
        </w:drawing>
      </w:r>
    </w:p>
    <w:p>
      <w:pPr>
        <w:spacing w:after="0" w:line="43"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ectPr>
          <w:pgSz w:w="11900" w:h="16838" w:orient="portrait"/>
          <w:cols w:equalWidth="0" w:num="2">
            <w:col w:w="7200" w:space="720"/>
            <w:col w:w="3320"/>
          </w:cols>
          <w:pgMar w:left="320" w:top="665" w:right="3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year 2021</w:t>
            </w:r>
          </w:p>
        </w:tc>
        <w:tc>
          <w:tcPr>
            <w:tcW w:w="34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2022</w:t>
            </w:r>
          </w:p>
        </w:tc>
        <w:tc>
          <w:tcPr>
            <w:tcW w:w="2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2024</w:t>
            </w:r>
          </w:p>
        </w:tc>
        <w:tc>
          <w:tcPr>
            <w:tcW w:w="2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362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2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future minimum lease payments</w:t>
            </w:r>
          </w:p>
        </w:tc>
        <w:tc>
          <w:tcPr>
            <w:tcW w:w="268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ind w:right="57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1,407</w:t>
            </w:r>
          </w:p>
        </w:tc>
        <w:tc>
          <w:tcPr>
            <w:tcW w:w="80" w:type="dxa"/>
            <w:vAlign w:val="bottom"/>
            <w:tcBorders>
              <w:top w:val="single" w:sz="8" w:color="CCEEFF"/>
            </w:tcBorders>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6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68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80" w:type="dxa"/>
            <w:vAlign w:val="bottom"/>
            <w:tcBorders>
              <w:top w:val="single" w:sz="8" w:color="CCEEFF"/>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80" w:type="dxa"/>
            <w:vAlign w:val="bottom"/>
            <w:vMerge w:val="restart"/>
          </w:tcPr>
          <w:p>
            <w:pPr>
              <w:jc w:val="right"/>
              <w:ind w:right="1850"/>
              <w:spacing w:after="0"/>
              <w:rPr>
                <w:sz w:val="20"/>
                <w:szCs w:val="20"/>
                <w:color w:val="auto"/>
              </w:rPr>
            </w:pPr>
            <w:r>
              <w:rPr>
                <w:rFonts w:ascii="Arial" w:cs="Arial" w:eastAsia="Arial" w:hAnsi="Arial"/>
                <w:sz w:val="18"/>
                <w:szCs w:val="18"/>
                <w:color w:val="auto"/>
              </w:rPr>
              <w:t>17</w:t>
            </w: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7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at October 31, 2020 and April 30, 2020:</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31, 2020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April 30,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1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Contract loss reserve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Accrued taxes payable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Classified Warrants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20,850 shares of Common Stock together with warrants to purchase up to an aggregate of 7,298 shares of Common Stock. The warrants have an exercise price of $121.60 per share, became exercisable on December 3, 2016 (“Initial Exercise Date”), and will expire five years following the Initial Exercise Date. As of October 31, 2020, none of the warrants have been exercised.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29,750 shares of Common Stock together with warrants to purchase up to an aggregate of 8,925 shares of Common Stock. The Warrants were exercisable immediately at an exercise price of $187.20 per share. The Warrants will expire on the fifth (5th) anniversary of the initial date of issuance. As of October 31, 2020, none of the warrants have been exercised.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Classified Warrants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8, 2019, the Company issued and sold 1,542,000 shares of common stock and pre-funded warrants to purchase up to 3,385,680 shares of common stock and common warrants to purchase up to 4,927,680 shares of our common stock in an underwritten public offering. The public offering price for the pre-funded warrants was equal to the public offering price of the common stock, less the $0.01 per share exercise price of each warrant. As of October 31, 2020, all of the pre-funded warrants have been exercised. The common stock warrants have an exercise price of $3.85 per share and expire five years from the issuance date. As of October 31, 2020, none of the common stock warrants have been exercised.</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accounted for the warrants issued in connection with its June and July 2016 public offerings in accordance with the guidance in Topic 480 which provides that the Company classify the warrant instruments as a liability at its fair value. The warrant liabilities are subject to re-measurement at each balance sheet date using the Black-Scholes option pricing model. The June and July 2016 warrants contain a feature whereby they could require the transfer of assets and therefore are classified as a liability award in accordance with the guidance in Topic 480. The warrants have a value close to zero at October 31, 2020 and April 30, 2020 and are reflected within “Warrant liabilities” in the Consolidated Balance Sheets. The pre-funded and common warrants issued in the Company’s April 8, 2019 public offering did not meet the criteria to be classified as a liability award and therefore were treated as an equity award and recorded as a component of stockholders’ equity in the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Paycheck Protection Program Loan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 result of the COVID-19 pandemic, on March 27, 2020, the U.S. Government passed into law the Coronavirus Aid, Relief and Economic Security Act, or the (“CARES Act”) which included the ability to secure loans under the Paycheck Protection Program (“PPP”). On May 3, 2020, after its application was submitted and approved, the Company signed a PPP loan with Santander Bank, N.A. (“Santander”) as the lender for $890,347 pursuant to the PPP under the CARES Act, as implemented by the U.S. Small Business Association (“SBA”). The PPP loan is an unsecured note with Santander as the lender and governed by a loan agreement with Santander. The interest rate is 1% and the loan is repayable over two years. The loan contains customary events of defaults relating to, among other things, payment defaults or breaches of the terms of the loan. Upon the occurrence of an event of default, the lender may require immediate repayment of all outstanding under the loan. Interest and principal payments are deferred for the first 6 months from the date of the loan. Principal and interest of approximately $49,000 are payable monthly commencing 6 months after the disbursement date and may be repaid by the Company at any time prior to maturity with no prepayment penalties. The Company received the proceeds on May 5,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The SBA allows loan forgiveness for eligible costs incurred and paid which include (a) payroll costs, (b) interest on any real or personal property mortgage prior to February 15, 2020, (c) rent on any lease in force prior to February 15, 2020, and (d) utility payments for which service began before February 15, 2020. As of October 31, 2020, the Company has utilized all of the loan proceeds. While the Company currently believes that the use of the loan proceeds will meet the conditions for forgiveness of the loan and is in the process of preparing the SBA’s forgiveness application, no assurance can be provided that the Company will obtain forgiveness of the loan, in whole or in part.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5, 2020, the Paycheck Protection Program Flexibility Act (“PPPFA”) was signed into law. Among other changes, the PPPFA (a) reduced the amount of the loan required to be spent on payroll costs from 75% to 60%, (b) extended the covered period to 24 weeks from 8 weeks, (c) extended the repayment term of the PPP loan from 2 years to 5 years, and (d) increased the deferred payment date from 6 months to 10 months. For the loans disbursed before June 5, 2020, the PPPFA provides the option to opt for 24 weeks for spending the loan instead of 8 weeks. The Company opted for 24 weeks to spend the loan.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accruing interest expense until the loan is forgiven or repaid. If the loan were not forgiven by the SBA and the Company decided to repay the loan over 2 years, the interest expense for this loan period would be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Loan Payable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the Company signed a commercial premium finance agreement in the amount of $466,622 with First Insurance Funding whereas First Insurance Funding prepaid a portion of the Company insurance premiums including principally the Directors and Officers insurance. The Company will make eight monthly payments of $58,957.25, inclusive of interest charges, to repay First Insurance Funding the amount. Interest expense for the loan period is immaterial.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authorized 5,000,000 shares of undesignated preferred stock with a par value of $0.001 per share. As of October 31, 2020, no shares of preferred stock had been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7, 2019, the Company entered into the 2019 ATM Facility with AGP, under which the Company may issue and sell to or through A.G.P./Alliance Global Partners, acting as agent and/or principal, shares of the Company’s common stock having an aggregate offering price of up to $25 million. Since inception of the program through October 31, 2020, under the 2019 ATM Facility the Company had sold and issued an aggregate of 10,942,100 shares of its common stock with an aggregate market value of $11.1 million at an average price of $1.01 per share, including 5,689,134 shares in fiscal year 2021 with an aggregate market value of $6.4 million at an average price of $1.12 per share and paid AGP a sales commission of approximately $360,095 related to those shares. On November 20, 2020, the Company entered into a new At the Market Offering Agreement with AGP (the “2020 ATM Facility”). Under the 2020 ATM Facility, the Company may issue and sell to or through AGP, acting as agent and/or principal, shares of the Company’s common stock having an aggregate offering price of up to $50.0 million. In connection with the effectiveness of the 2020 ATM Facility, the 2019 ATM Facility was terminated. For more on the 2020 ATM Facility, see Note 19, Subsequent Events.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24, 2019, the Company entered into a new common stock purchase agreement with Aspire Capital which provided that, subject to certain terms, conditions and limitations, Aspire Capital is committed to purchase up to an aggregate of $10.0 million of shares of the Company’s common stock over a 30-month period. Through September 18, 2020, the Company has sold an aggregate of 6,424,205 shares of common stock with an aggregate market value of $4.0 million at an average price of $0.63 per share pursuant to this common stock purchase agreement, including 5,025,000 shares in fiscal year 2021 with an aggregate market value of $2.9 million at an average price of $0.57 per share. The agreement was fully utilized and cancelled on September 18, 2020.</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18, 2020, the Company entered into a new common stock purchase agreement with Aspire Capital which provided that, subject to certain terms, conditions and limitations, Aspire Capital is committed to purchase up to an aggregate of $12.5 million of shares of the Company’s common stock over a 30-month period that does not exceed 19.99% of the outstanding common stock on the date of the agreement. The number of shares the Company could issue within the 19.99% limit is 3,722,251 shares. Shareholder approval is needed for sale of common stock over the 19.99% limit of the outstanding common stock on the date of the agreement. Through October 31, 2020, the Company has sold an aggregate of 500,000 shares of common stock with an aggregate market value of $0.6 million at an average price of $1.23 per share pursuant to this common stock purchase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(13) Treasury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each of the six months ended October 31, 2020 and 2019, no shares and 481 shares of common stock were purchased by the Company from employees to pay taxes related to the vesting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2015, upon approval by the Company’s stockholders, the Company’s 2015 Omnibus Incentive Plan (the “2015 Plan”) became effective. A total of 732,036 shares are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October 31, 2020, the Company has 192,777 shares available for future issuance under the 2015 Plan.</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5635(c)</w:t>
      </w:r>
    </w:p>
    <w:p>
      <w:pPr>
        <w:jc w:val="both"/>
        <w:ind w:firstLine="8"/>
        <w:spacing w:after="0" w:line="253"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Rule 5635(c)(3) of the Nasdaq Listing Rules,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October 31, 2020, there were 11,487 shares available for grant under the 2018 Inducement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estimates the fair value of each stock option award granted with service-based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is estimated using the “simplified” method as permitted by the SEC’s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is based on the Company’s historical volatility over the expected life of the stock option granted. There were no options granted during the six months ended October 31, 2020 or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Options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of 2020, the Company issued 81,334 performance-based stock options to two of its executives. The awards can vest over 2 years if there is positive total shareholder return (e.g. share price increase) as measured to the 5-day (January 11-15, 2021) and (January 10-14, 2022) share price Volume Weighted Average Price (“VWAP”). The Company determined these awards contain a market- based condition and estimated the fair value using the Monte Carlo simulation model. There were 81,334 shares unvested and outstanding as of October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Weighted</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19"/>
                <w:szCs w:val="19"/>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Exercise</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41"/>
        </w:trPr>
        <w:tc>
          <w:tcPr>
            <w:tcW w:w="5440" w:type="dxa"/>
            <w:vAlign w:val="bottom"/>
          </w:tcPr>
          <w:p>
            <w:pPr>
              <w:spacing w:after="0"/>
              <w:rPr>
                <w:sz w:val="20"/>
                <w:szCs w:val="20"/>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 Years)</w:t>
            </w:r>
          </w:p>
        </w:tc>
        <w:tc>
          <w:tcPr>
            <w:tcW w:w="0" w:type="dxa"/>
            <w:vAlign w:val="bottom"/>
          </w:tcPr>
          <w:p>
            <w:pPr>
              <w:spacing w:after="0"/>
              <w:rPr>
                <w:sz w:val="1"/>
                <w:szCs w:val="1"/>
                <w:color w:val="auto"/>
              </w:rPr>
            </w:pPr>
          </w:p>
        </w:tc>
      </w:tr>
      <w:tr>
        <w:trPr>
          <w:trHeight w:val="216"/>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2020</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555,475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Cancelled/forfeited</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(23,969)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7.11</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31, 2020</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531,506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w:t>
            </w:r>
          </w:p>
        </w:tc>
        <w:tc>
          <w:tcPr>
            <w:tcW w:w="14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Exercisable as of October 31, 2020</w:t>
            </w: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18.32</w:t>
            </w:r>
          </w:p>
        </w:tc>
        <w:tc>
          <w:tcPr>
            <w:tcW w:w="1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60,506</w:t>
            </w: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October 31, 2020, the total intrinsic value of both outstanding and exercisable options was approximately $301,000 and zero, respectively. As of October 31, 2020, approximately 471,000 additional options were unvested, which had an intrinsic value of $301,000 and a weighted average remaining contractual term of 9.2 years. There was approximately $187,000 and $163,000 of total recognized compensation cost related to stock options during each of the six months ended October 31, 2020 and 2019, respectively. As of October 31, 2020, there was approximately $123,000 of total unrecognized compensation cost related to non-vested stock options granted under the plans. This cost is expected to be recognized over a weighted-average period of 0.7 years. The Company typically issues newly authorized but unissued shares to satisfy option exercises under these plans.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expense for non-vested restricted stock is generally recorded based on its market value on the date of grant and recognized ratably over the associated service and performance period. During the six months ended October 31, 2020, the Company granted no shares subject to service-based vesting requirements.</w:t>
      </w:r>
    </w:p>
    <w:p>
      <w:pPr>
        <w:sectPr>
          <w:pgSz w:w="11900" w:h="16838" w:orient="portrait"/>
          <w:cols w:equalWidth="0" w:num="1">
            <w:col w:w="11240"/>
          </w:cols>
          <w:pgMar w:left="320" w:top="665"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Cancelled/forfeited</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October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r>
      <w:tr>
        <w:trPr>
          <w:trHeight w:val="229"/>
        </w:trPr>
        <w:tc>
          <w:tcPr>
            <w:tcW w:w="1720" w:type="dxa"/>
            <w:vAlign w:val="bottom"/>
          </w:tcPr>
          <w:p>
            <w:pPr>
              <w:jc w:val="right"/>
              <w:ind w:right="45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Average Price per</w:t>
            </w:r>
          </w:p>
        </w:tc>
      </w:tr>
      <w:tr>
        <w:trPr>
          <w:trHeight w:val="241"/>
        </w:trPr>
        <w:tc>
          <w:tcPr>
            <w:tcW w:w="1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of Shares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Share</w:t>
            </w:r>
          </w:p>
        </w:tc>
      </w:tr>
      <w:tr>
        <w:trPr>
          <w:trHeight w:val="418"/>
        </w:trPr>
        <w:tc>
          <w:tcPr>
            <w:tcW w:w="1720" w:type="dxa"/>
            <w:vAlign w:val="bottom"/>
          </w:tcPr>
          <w:p>
            <w:pPr>
              <w:jc w:val="right"/>
              <w:spacing w:after="0"/>
              <w:rPr>
                <w:sz w:val="20"/>
                <w:szCs w:val="20"/>
                <w:color w:val="auto"/>
              </w:rPr>
            </w:pPr>
            <w:r>
              <w:rPr>
                <w:rFonts w:ascii="Arial" w:cs="Arial" w:eastAsia="Arial" w:hAnsi="Arial"/>
                <w:sz w:val="18"/>
                <w:szCs w:val="18"/>
                <w:color w:val="auto"/>
              </w:rPr>
              <w:t>13,513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13,513</w:t>
            </w:r>
          </w:p>
        </w:tc>
        <w:tc>
          <w:tcPr>
            <w:tcW w:w="3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1.48</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60"/>
            <w:col w:w="4880"/>
          </w:cols>
          <w:pgMar w:left="320" w:top="665" w:right="339" w:bottom="1440" w:gutter="0" w:footer="0" w:header="0"/>
          <w:type w:val="continuous"/>
        </w:sectPr>
      </w:pP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was approximately $10,000 and $5,000 of total recognized compensation cost related to restricted stock for the six months ended October 31, 2020 and 2019, respectively. As of October 31, 2020, there is $200 unrecognized compensation cost remaining related to unvested restricted stock granted under our plans. This cost is expected to be recognized over a weighted-average period of 0.1 years.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2019, the Company granted 51,547 shares, subject to service-based vesting requirements, to an employee that were outside the Company stock incentive plans. There was approximately $25,000 and zero of total recognized compensation cost related to this award for the six months ended October 31, 2020 and 2019, respectively. As of October 31, 2020, there is $5,000 unrecognized compensation cost remaining related to this award. This cost is expected to be recognized over a weighted-average period of 0.1 years.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(15) Fair Value Measurements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Level 1 Unadjusted quoted prices in active markets for identical assets or liabilities that the Company has the ability to access at the measurement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Level 2 Inputs other than quoted prices in active markets that are observable for the asset or liability, either directly or indirectly.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that are unobservable for the asset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that are not re-measured at fair value include cash, cash equivalents, restricted cash, accounts receivable, contract assets and liabilities, deposits, accounts payable, and accrued expenses. The carrying values of these financial instruments approximate their fair values and are viewed as Level 1 items. The Company’s warrant liabilities represent the only asset or liability classified financial instrument that is measured at fair value on a recurring basis.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the Company’s warrant liabilities (refer to Note 8) is based on the Black-Scholes option pricing model which is based on Level 3 unobservable inputs for which there is little or no market data, requiring the Company to develop its own assumptions. The assumptions used by the Company are the quoted price of the Company’s common stock in an active market, risk-free interest rate, volatility and expected life, and assumes no dividends.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 The fair value on a recurring basis as of October 31, 2020 and April 30, 2020 was near zero.</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Unrealized gains of approximately zero for the three months ended October 31, 2020 and 2019, respectively, and zero and $6,000 for the six months ended October 31, 2020 and 2019, respectively, were included within “Gain due to change in fair value of warrant liabilities” in the Consolidated Statements of Operations. The Company determined the fair value using the Black-Scholes option pricing model with the following assumptions: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October 31, 2020</w:t>
            </w:r>
          </w:p>
        </w:tc>
        <w:tc>
          <w:tcPr>
            <w:tcW w:w="2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October 31,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Risk-free rate</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0.12% - 0.13%</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0.8 - 1.1</w:t>
            </w:r>
          </w:p>
        </w:tc>
        <w:tc>
          <w:tcPr>
            <w:tcW w:w="3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1.7 - 2.1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Expected volatility</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139.1%</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Besides the unrealized gain in fair value, there was no other activity to the balances in warrant liabilities during the six months ended October 31, 2020 and 2019,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hierarchy levels during each of the six months ended October 31, 2020 and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Litigation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spacing w:after="0" w:line="291" w:lineRule="auto"/>
        <w:rPr>
          <w:sz w:val="20"/>
          <w:szCs w:val="20"/>
          <w:color w:val="auto"/>
        </w:rPr>
      </w:pPr>
      <w:r>
        <w:rPr>
          <w:rFonts w:ascii="Arial" w:cs="Arial" w:eastAsia="Arial" w:hAnsi="Arial"/>
          <w:sz w:val="16"/>
          <w:szCs w:val="16"/>
          <w:color w:val="auto"/>
        </w:rPr>
        <w:t xml:space="preserve">On August 28, 2018, counsel for Mr. Dunleavy filed a demand for arbitration, captioned </w:t>
      </w:r>
      <w:r>
        <w:rPr>
          <w:rFonts w:ascii="Arial" w:cs="Arial" w:eastAsia="Arial" w:hAnsi="Arial"/>
          <w:sz w:val="16"/>
          <w:szCs w:val="16"/>
          <w:i w:val="1"/>
          <w:iCs w:val="1"/>
          <w:color w:val="auto"/>
        </w:rPr>
        <w:t>Charles F. Dunleavy v. Ocean Power Technologies, Inc.,</w:t>
      </w:r>
      <w:r>
        <w:rPr>
          <w:rFonts w:ascii="Arial" w:cs="Arial" w:eastAsia="Arial" w:hAnsi="Arial"/>
          <w:sz w:val="16"/>
          <w:szCs w:val="16"/>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On November 8, 2018, the Company through counsel responded to the demand for arbitration, denied all allegations, and asserted various affirmative defenses. The final day of hearing occurred in Princeton, New Jersey on July 15, 2020. Post-hearing briefs were filed on September 22, 2020. As of October 31, 2020, the Company has not accrued any provision related to this matter as we believe a loss is not probable and any possible loss cannot be reasonably estimated.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Delisting Notification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3, 2020, the Company received a notification from the Nasdaq indicating that the minimum bid price of the Company’s common stock has been below $1.00 per share for 30 consecutive business days and as a result, the Company is not in compliance with the minimum bid price requirement for continued listing. The Nasdaq notice has no immediate effect on the listing or trading of the Company’s common stock. Under the Nasdaq Listing Rules, the Company has a grace period of 180 calendar days, or until August 31, 2020, in which to regain compliance with the minimum bid price rule. To regain compliance, the closing bid price of the Company’s common stock must meet or exceed $1.00 per share for a minimum of ten consecutive business days during this grace period. On August 21, 2020, the Company received notification from Nasdaq that, as a result of the closing bid price of the Company’s common stock being over $1.00 for 10 consecutive trading days, the Company has regained compliance with Listing Rule 5550(a)(2) to maintain the listing of its common stock on Nasdaq and Nasdaq considers the matter closed.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 Income Tax Audit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underwent an income tax audit in Spain for the period from 2011 to 2014, when our Spanish branch was closed. In connection with the tax audit, the Spanish tax inspector challenged the Company’s recognition of grant funds received in 2011 to 2014 from the European Commission in connection with the Company’s Waveport project. On July 30, 2018, the inspector concluded that although there was no tax owed in light of losses reported, the Company’s Spanish branch owed penalties for failure to properly account for the income associated with the funding grant. On August 30, 2018, the Company filed an administrative appeal of the penalty and its underlying conclusions. During the three months ended July 31, 2020, the Company received notice from the Spanish Central Economic and Administrative Tribunal that it agreed with the inspector and ruled that the Company owes the full amount of the penalty in the amount of €279,869.81 or approximately $331,000. The Company is appealing the decision of the Tribunal tax assessment to the Spanish National Court. Per the Company’s accounting policy, the Company recorded the additional penalty of €117,145.81 to Selling, general and administrative costs in the Statement of Operations. As of October 31, 2020 and April 30, 2020, the Company has reserved €279,869.81 (or approximately $326,000) and €162,724 (or approximately $177,000), respectively, for the penalty in Accrued expenses in the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The Company is currently undergoing an income tax audit in Spain, as discussed above. At October 31, 2020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Operating Segments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subsidiaries in the UK and in Australia. Revenues and expenses are generally attributed to the operating unit that bills the customers. During each of the six months ended October 31, 2020 and 2019, the Company’s primary business operations were in North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20, 2020, the Company filed a shelf registration statement on Form S-3 with the U.S. Securities and Exchange Commission (the “SEC”), pursuant to which the Company may offer and sell, at its option, securities having an aggregate offering price of up to $100,000,000. On the same date, the Company entered into the 2020 ATM Facility pursuant to which the Company may offer and sell shares of its common stock, par value $0.001 per share, having an aggregate offering price of up to $50,000,000 to or through AGP, as sales agent, from time to time, in an “At The Market Offering” (as defined in Rule 415(a)(4) under the Securities Act of 1933, as amended) of the shares. The $50,000,000 of common stock that may be offered, issued and sold under the ATM Prospectus is included in the $100,000,000 of securities that may be offered, issued and sold by us under the Base Prospectus. Shares may be sold by any method deemed to be an “At The Market Offering.” Under the 2020 ATM Facility, AGP will also be able to sell shares of common stock by any other method permitted by law, including in negotiated transactions with the Company’s prior written consent. The Company will pay AGP commissions for its services in acting as its sales agent in the sale of the shares pursuant to the sales agreement. AGP is entitled to compensation at a fixed commission rate of the aggregate gross proceeds from the sale of the shares on the Company’s behalf. The sales agreement for the 2020 ATM Facility contains representations, warranties and covenants that are customary for transactions of this type.</w:t>
      </w:r>
    </w:p>
    <w:p>
      <w:pPr>
        <w:spacing w:after="0" w:line="1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7, 2020 the balance of total cash, cash equivalents, and restricted cash is approximately $26.3 million mainly as a result of sales of approximately $11.9 million of the Company’s securities through its 2019 ATM Facility which occurred subsequent to October 31, 2020.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713" w:gutter="0" w:footer="0" w:header="0"/>
        </w:sectPr>
      </w:pPr>
    </w:p>
    <w:bookmarkStart w:id="25" w:name="page26"/>
    <w:bookmarkEnd w:id="2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2020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2020 refers to the year ended April 30,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 Regarding COVID-19</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current COVID-19 pandemic has presented substantial health and economic risks, uncertainties and challenges to our business, the global economy and financial markets. It is not currently possible to predict how long the pandemic will last or the time it will take for economies to return to prior levels. The extent to which COVID-19 impacts our business, operations, financial results and financial condition, and those of our suppliers and customers will depend on future developments which are highly uncertain and cannot be predicted with certainty or clarity, including the duration and continuing severity of the outbreak and additional government actions to contain COVID-19. The volatility caused in the stock markets by the pandemic may make it difficult for the Company to raise capital. In March 2020, one of the Company’s customers cancelled a portion of their contract due to the outbreak of COVID-19 and instead extended an existing lease. In April 2020, the Company declared force majeure on a contract with a different customer and delayed the deployment of its PB3 PowerBouy® in Chile from April 2020 to December 2020 due to travel restrictions imposed by the U.S. and Chile. For additional information on various uncertainties and risks posed by the COVID-19 pandemic, see Part II, Item 1A “Risk Factors” of this report.</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the COVID-19 pandemic, in March 2020, the Company put in place a number of protective measures. These measures included the canceling of all non-critical travel, requesting that employees limit non-essential personal travel, eliminating all but essential third-party access to our facilities, enhancing our facility janitorial and sanitary procedures, encouraging employees to work from home to the extent their job function enables them to do so, encouraging the use of virtual employee meetings, and providing staggered shifts and social distancing measures for those employees associated with production operations. As of June 2020, the Company reoccupied its facilities although individuals can work from home if necessary.</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27, 2020, the U.S. Government passed into law the Coronavirus Aid, Relief and Economic Security Act, or the (“CARES Act”). On May 3, 2020, the Company signed a Paycheck Protection Program (“PPP”) loan with Santander Bank, N.A. (“Santander”) as the lender for $890,347 in support through the Small Business Association (“SBA”) under the PPP Loan. The PPP Loan is unsecured and evidenced by a note in favor of Santander as the lender and governed by a Loan Agreement with Santander. The interest rate is 1% and the loan is repayable over two years. The loan contains customary events of defaults relating to, among other things, payment defaults or breaches of the terms of the loan. Upon the occurrence of an event of default, the lender may require immediate repayment of all outstanding under the loan. Interest and principal payments are deferred for the first 6 months from the date of the loan. Principal and interest are payable monthly commencing 6 months after the disbursement date and may be repaid by the Company at any time prior to maturity with no prepayment penalties. The Company received the proceeds on May 5, 2020.</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SBA allows loan forgiveness for eligible costs incurred and paid which include a) payroll costs, b) interest on any real or personal property mortgage prior to February 15, 2020, c) rent on any lease in force prior to February 15, 2020, and d) utility payments for which service began before February 15, 2020. As of July 31, 2020, the Company has utilized all of the loan proceeds. While the Company currently believes that the use of the loan proceeds will meet the conditions for forgiveness of the loan and is in the process of preparing the SBA’s forgiveness application, no assurance can be provided that the Company will obtain forgiveness of the loan, in whole or in part.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5, 2020, the Paycheck Protection Program Flexibility Act (“PPPFA”) was signed into law. Among other changes, the PPPFA (a) reduced the amount of the loan required to be spent on payroll costs from 75% to 60%, (b) extended the covered period to 24 weeks from 8 weeks, (c) extended the repayment term of PPP loan from 2 years to 5 years, and (d) increased the deferred payment date from 6 months to 10 months. For the loans disbursed before June 5, 2020, the PPPFA provides the option to opt for 24 weeks for spending the loan instead of 8 weeks. The Company has opted for 24 weeks to spend the loan.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we are a marine power solutions provider. We control the design, manufacture, sales, installation, operations and maintenance of our products and solutions while working closely with partners that provide payloads, integration services, and marine installation capabilities. We believe our solutions provide persistent and reliable distributed offshore power along with communications for remote surface and subsea applications. Our mission and purpose are to utilize our proprietary, state-of-the-art technologies to enhance the environment by reducing the global carbon footprint through clean and renewable solutions for reliable electrical power and, in so doing, drive demand for our products and services.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continue to develop and commercialize our proprietary systems that generate electricity by harnessing the renewable energy of ocean waves for our PB3 PowerBuoy®, and solar power for our newest product, the hybrid PowerBuoy®. The PB3 PowerBuoy® uses proprietary technologies that convert the kinetic energy created by the heaving motion of ocean waves into electricity. Based on feedback from our current customers, discussions with potential future customers in the offshore oil and gas, defense and security, science and research, and communications, as well as government applications in fishery protection, together with our market research and publicly available data, we believe that numerous markets have a direct need for our solutions. While our recent projects have been in the oil and gas industry, we believe there is an increasing need for our products and solutions in areas such as fishery protection, offshore windfarm support, marine surveillance, and ocean-based science and research applications.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and communications, either by supplying electric power to payloads that are integrated directly with our product or located in its vicinity, such as on the seabed and in the water column. We believe we are the leader in offshore autonomous ocean wave power conversion technology which provides renewable power for offshore operations that were previously difficult to decarbonize.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achievements during the first six months of fiscal 2021 included the Company’s continued work on Enel Green Power (“EGP”) and Eni S.p.A. (“Eni”) projects. In October 2020, the Company entered into an agreement with Adams Communication &amp; Engineering Technology, Inc. (“ACET”) to conduct a feasibility study for the evaluation of a PB3 PowerBuoy® power and 5G communications solution in support of the U.S. Navy’s Naval Postgraduate School’s Sea, Land, Air, Military Research Initiative (“SLAMR”). In June 2020, the Company signed a memorandum of understanding with Mackay Marine (a division of Mackay Communications) to develop a Marine Surveillance Solution.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incorporated in New Jersey in 1984, began business operations in 1994, and were re-incorporated in Delaware in 2007. We currently have five wholly-owned subsidiaries: Ocean Power Technologies Ltd., organized under the laws of the United Kingdom, Reedsport OPT Wave Park LLC, organized under the laws of Oregon, and Oregon Wave Energy Partners I, LLC, organized under the laws of Delaware, Ocean Power Technologies (Australasia) Pty Ltd (“OPTA”), organized under the laws of Australia. OPTA owns 100% of Victorian Wave Partners Pty. Ltd. (“VWP”), which is also organized under the laws of Australia.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Solutions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PB3 PowerBuoy</w:t>
      </w:r>
      <w:r>
        <w:rPr>
          <w:rFonts w:ascii="Arial" w:cs="Arial" w:eastAsia="Arial" w:hAnsi="Arial"/>
          <w:sz w:val="29"/>
          <w:szCs w:val="29"/>
          <w:color w:val="auto"/>
          <w:vertAlign w:val="superscript"/>
        </w:rPr>
        <w:t>®</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PB3 generates electricity by harnessing the renewable energy of ocean waves. The PB3 features a unique onboard power take-off (“PTO”) system, which incorporates both energy storage and energy management and control systems. The PB3 generates a nominal name-plated capacity rating of up to a nominal 3 kilowatts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to meet specific application requirements. We believe there is a substantial addressable market for the current capabilities of our PB3, which we believe could be utilized in a variety of applications.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PB3 is designed to generate power for use independent of the power grid in remote offshore locations. The hull consists of a main spar structure loosely moored to the seabed and surrounded by a floating annular-structure that can freely move up and down in response to the passage of the waves. The PTO system includes a mechanical actuating system, an electric generator, a power electronics system, our control system, and our ESS which are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collected within an ESS. The operation of the PB3 is controlled by our customized, proprietary control system.</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prevent the PB3 from being damaged by storms.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The PB3 can be transported over land to the deployment port using conventional transportation methods. Once at port, the PB3 can be lifted into the water or onboard a vessel using a readily available crane of appropriate capacity. The PB3 may then be towed to site using a standard vessel (if the location is within an appropriate distance from the port), or the PB3 may be carried aboard a vessel to its offshore location and craned into the water at site. The PB3 is then attached to the mooring system, which is installed during a separate operation, after which a brief commissioning process places the PB3 into operation.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using wave energy for electricity generation has the following potential benefits, compared to existing incumbent solutions.</w:t>
      </w:r>
    </w:p>
    <w:p>
      <w:pPr>
        <w:spacing w:after="0" w:line="225" w:lineRule="exact"/>
        <w:rPr>
          <w:sz w:val="20"/>
          <w:szCs w:val="20"/>
          <w:color w:val="auto"/>
        </w:rPr>
      </w:pPr>
    </w:p>
    <w:p>
      <w:pPr>
        <w:jc w:val="both"/>
        <w:ind w:left="660" w:hanging="652"/>
        <w:spacing w:after="0" w:line="263"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Scalability within a small site area. </w:t>
      </w:r>
      <w:r>
        <w:rPr>
          <w:rFonts w:ascii="Arial" w:cs="Arial" w:eastAsia="Arial" w:hAnsi="Arial"/>
          <w:sz w:val="18"/>
          <w:szCs w:val="18"/>
          <w:color w:val="auto"/>
        </w:rPr>
        <w:t>Due to the dense energy in ocean waves, we believe that the electricity may be aggregated to supply electricity</w:t>
      </w:r>
      <w:r>
        <w:rPr>
          <w:rFonts w:ascii="Arial" w:cs="Arial" w:eastAsia="Arial" w:hAnsi="Arial"/>
          <w:sz w:val="18"/>
          <w:szCs w:val="18"/>
          <w:i w:val="1"/>
          <w:iCs w:val="1"/>
          <w:color w:val="auto"/>
        </w:rPr>
        <w:t xml:space="preserve"> </w:t>
      </w:r>
      <w:r>
        <w:rPr>
          <w:rFonts w:ascii="Arial" w:cs="Arial" w:eastAsia="Arial" w:hAnsi="Arial"/>
          <w:sz w:val="18"/>
          <w:szCs w:val="18"/>
          <w:color w:val="auto"/>
        </w:rPr>
        <w:t>to larger payloads as a result of multiple PB3 which are placed in an array, occupying a relatively small area. We believe the array of a larger number of PB3 could offer end users a variety of advantages in availability, reliability and scalability.</w:t>
      </w:r>
    </w:p>
    <w:p>
      <w:pPr>
        <w:spacing w:after="0" w:line="183" w:lineRule="exact"/>
        <w:rPr>
          <w:rFonts w:ascii="Arial" w:cs="Arial" w:eastAsia="Arial" w:hAnsi="Arial"/>
          <w:sz w:val="18"/>
          <w:szCs w:val="18"/>
          <w:i w:val="1"/>
          <w:iCs w:val="1"/>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Predictability. </w:t>
      </w:r>
      <w:r>
        <w:rPr>
          <w:rFonts w:ascii="Arial" w:cs="Arial" w:eastAsia="Arial" w:hAnsi="Arial"/>
          <w:sz w:val="18"/>
          <w:szCs w:val="18"/>
          <w:color w:val="auto"/>
        </w:rPr>
        <w:t>The generation of power from wave energy can be forecasted several days in advance. Available wave energy can be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high degree of accuracy based on satellite images and meteorological data, even when the wave field is hundreds of miles away and days from reaching a PB3. Therefore, we believe end-users relying on PB3 for power may be able to proactively plan their logistics, payload scheduling and other operational activities based on such data,</w:t>
      </w:r>
    </w:p>
    <w:p>
      <w:pPr>
        <w:spacing w:after="0" w:line="186" w:lineRule="exact"/>
        <w:rPr>
          <w:rFonts w:ascii="Arial" w:cs="Arial" w:eastAsia="Arial" w:hAnsi="Arial"/>
          <w:sz w:val="18"/>
          <w:szCs w:val="18"/>
          <w:i w:val="1"/>
          <w:iCs w:val="1"/>
          <w:color w:val="auto"/>
        </w:rPr>
      </w:pPr>
    </w:p>
    <w:p>
      <w:pPr>
        <w:jc w:val="both"/>
        <w:ind w:left="660" w:hanging="652"/>
        <w:spacing w:after="0" w:line="263"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Constant source of energy. </w:t>
      </w:r>
      <w:r>
        <w:rPr>
          <w:rFonts w:ascii="Arial" w:cs="Arial" w:eastAsia="Arial" w:hAnsi="Arial"/>
          <w:sz w:val="18"/>
          <w:szCs w:val="18"/>
          <w:color w:val="auto"/>
        </w:rPr>
        <w:t>The annual occurrence of waves at certain specific sites can be relatively constant and defined with relatively high</w:t>
      </w:r>
      <w:r>
        <w:rPr>
          <w:rFonts w:ascii="Arial" w:cs="Arial" w:eastAsia="Arial" w:hAnsi="Arial"/>
          <w:sz w:val="18"/>
          <w:szCs w:val="18"/>
          <w:i w:val="1"/>
          <w:iCs w:val="1"/>
          <w:color w:val="auto"/>
        </w:rPr>
        <w:t xml:space="preserve"> </w:t>
      </w:r>
      <w:r>
        <w:rPr>
          <w:rFonts w:ascii="Arial" w:cs="Arial" w:eastAsia="Arial" w:hAnsi="Arial"/>
          <w:sz w:val="18"/>
          <w:szCs w:val="18"/>
          <w:color w:val="auto"/>
        </w:rPr>
        <w:t>accuracy. Based on our studies and analyses of various sites of interest, we believe that we will be able to deploy our PB3 in locations where the waves could produce usable electricity for the majority of the year.</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Based on our market research and publicly available data, including but not limited to the U.S. Department of Energy (“DOE”) 2019 Powering the Blue Economy Report, the Westwood Energy World ROV Operations Forecast 2019-2023, and the World Bank Database, we believe that numerous markets have a direct need for our PB3 including offshore oil and gas, defense and security, science and research, and communications, as well as government applications in fishery protection. Depending on payload power requirements, sensor types and other considerations, we have found that our PB3 could satisfy several application requirements within these markets. We believe that the PB3 consistently generates sufficient power to meet the requirements of many potential customer applications within our target markets, and that the hybrid could provide ample power in geographies where wave conditions may not be sufficient to allow the PB3 to generate sufficient power on its own for load center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hybrid PowerBuoy®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created a hybrid PowerBuoy® that is a solar powered and liquid-fueled surface buoy, compared to the wave power generating PB3. The hybrid is powered primarily by solar panels with a liquid-fueled Stirling engine to provide back-up power and is capable of providing reliable power in remote offshore locations, regardless of ocean wave conditions. We believe this product is complementary to the PB3 by providing the Company the opportunity to address a broader spectrum of customer deployment needs, including low-wave environments, with the potential for greater product integration within each customer project. It is primarily intended for shorter term deployment applications such as electric remotely operated vehicle (“eROV” or “ROV”) and autonomous underwater vehicle (“AUV”) inspections and short-term maintenance, topside surveillance and communications, and subsea equipment and controls. The hybrid is anticipated to be quickly deployable and cost-effective solution. The design has a high payload capacity for communications and surveillance, with the capability of being tethered to subsea payloads such as batteries, or with a conventional anchor mooring system. The hybrid generates power from both an array of solar panels and an efficient, clean burning 1kW Stirling engine fueled by liquid propane (or biofuel for Generation 2). This energy is stored in onboard batteries which power the aforementioned subsea and topside payloads. The Company has designed the hybrid with a Stirling engine system to outperform traditional diesel buoys, which we believe have more frequent service and refueling intervals and higher carbon intensities. We believe the hybrid will be able to operate over a broader range of temperature and ocean wave conditions than existing diesel buoys.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towable, boat-shaped hull design of the hybrid is appropriate for deployment around the world. Power is generated independent of wave activity, making it a solution for providing power through extreme weather and in heaving seas, or in calm, low wave environments and is complimentary to the PB3.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both"/>
        <w:spacing w:after="0" w:line="296" w:lineRule="auto"/>
        <w:rPr>
          <w:sz w:val="20"/>
          <w:szCs w:val="20"/>
          <w:color w:val="auto"/>
        </w:rPr>
      </w:pPr>
      <w:r>
        <w:rPr>
          <w:rFonts w:ascii="Arial" w:cs="Arial" w:eastAsia="Arial" w:hAnsi="Arial"/>
          <w:sz w:val="16"/>
          <w:szCs w:val="16"/>
          <w:color w:val="auto"/>
        </w:rPr>
        <w:t>As with the PB3, the control system uses sensors and an onboard computer to continuously monitor the hybrid subsystems. We believe that this ability to optimize and manage the electric power output of the hybrid is a significant advantage of our technology. In the event of extended cloudy periods, the control system automatically switches electricity generation from the solar panels to the backup engine. However, the load center (either the on-board payload or one in the vicinity of the hybrid may continue to receive power from the on-board ESS. When more suitable solar power generation conditions return, the control system automatically stops the backup up engine and ESS replenishment recommences by way of solar electricity generation.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hybrid is designed for use with a single point umbilical and mooring but can be adapted for a 3-point mooring installation for use as a temporary replacement for PB3 installations during planned maintenance or repairs.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hybrid can be transported over land to the deployment port using conventional transportation methods. Once at port, the hybrid can be lifted into the water or onboard a vessel using a readily available crane of appropriate capacity. The hybrid may then be towed to site using a standard vessel (if the location is within an appropriate distance from the port), or the hybrid may be carried aboard a vessel to its offshore location and craned into the water at site. The hybrid is then attached to the single point mooring system, which is installed during a separate operation, after which a brief commissioning process places the hybrid into operation.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hybrid is configured with a nominal 30 kilowatt-hours of battery energy storage and approximately 1 megawatt-hour of stored energy in the propane system. While the batteries are primarily charged through solar power generation, the propane powered Stirling engine system on the hybrid can be considered reserve energy storage, with propane having a much higher energy storage density than lithium-ion batteries. It can be utilized when needed based on load demand and will provide approximately 1 megawatt-hour of stored energy capacity. We believe that this amount of stored energy offers an attractive local, autonomous energy solution for clients in a range of industries, including but not limited to oil and gas and marine observation, particularly for shorter term deployments.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Subsea Battery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developed a subsea battery that is complementary to both of our PowerBuoy® products and can be deployed together with our PowerBuoys® or on its own. It offers customers the option of placing additional modular and expandable energy storage on the seabed near existing or to be installed subsea equipment. Our lithium ion subsea batteries supply power that can enable subsea equipment, sensors, communications and AUV and eROV recharge. Our PowerBuoys® are complimentary to the subsea batteries by providing a means for recharging during longer term deployments, or the batteries can be used independently for shorter term deployments. Ideal for many remote offshore customer applications, these subsea batteries are anticipated to be high performance, cost-efficient, and quickly deployable.</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subsea battery has been designed to provide continuous and/or short-term power supply from its integrated energy storage system, enabling us to supply into a range of industries and applications, from backup power to critical subsea infrastructure to continuous operation of subsea equipment, such as electric valves. The base design of the subsea battery has a nominal 100 kilowatt-hours of energy storage. The subsea battery can be transported over land to the deployment port using conventional transportation methods. Once at port, the subsea battery can be lifted onboard a vessel using a readily available crane of appropriate capacity. The battery can then be carried aboard a vessel to its offshore location and craned into the water at site. It comes installed on a ready deployable subsea skid suitable for installation on the seabed. The battery is then connected to the other components on the seabed with the use of ROVs or divers.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growing demand for electrification of subsea infrastructure, and an increased switch to autonomous and renewable solution, offers multiple opportunities for deploying subsea battery powered solutions over the next few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Marine Surveillance Solution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Marine Surveillance Solution payload consists of a high definition radar, gyro-stabilized high definition optical and thermal imaging cameras, vessel automatic identification system (AIS) detection, and integrated command and control software, paired with our autonomous PB3 PowerBuoy® or hybrid PowerBuoy® as a power and communications platform. Capabilities include 24/7 vessel tracking – including dark vessel detection, which refers to ships that operate primarily at nighttime which do not broadcast an AIS signal – automatic radar plotting, automated vessel warnings, and high definition optical and thermal video surveillance capable of providing evidentiary backup of activity to aid in prosecution.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Data from our Marine Surveillance Solution is transmitted to shore-based command stations via Wi-Fi, cellular, and/or satellite systems, depending upon location. Surveillance data can be integrated with readily available marine monitoring software to provide command and control features of a multi-buoy surveillance network. The data can also be integrated with satellite, terrestrial, and other data feeds to form a detailed surface and subsea picture of a monitored area.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A single Marine Surveillance Solution can monitor more than 1,600 square nautical miles of ocean territory on a permanent or temporary basis, with the ability to seamlessly link multiple surveillance assets together over large ocean areas giving end-users visibility into potentially damaging environmental or illegal activities. Customized solutions are also available including the addition of subsea sensors to monitor for acoustic signatures, tsunami, and water quality.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seek new strategic relationships, and further develop our existing partnerships, with other companies that have developed or are developing in-ocean applications requiring, and services supporting a persistent source of power that is also capable of real time data collection, processing and communication, to address potential customer needs.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shows the percentage of customer revenues that accounted for at least 10% of our consolidated revenues for at least one of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36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 October 31,</w:t>
            </w:r>
          </w:p>
        </w:tc>
        <w:tc>
          <w:tcPr>
            <w:tcW w:w="3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 October 31,</w:t>
            </w:r>
          </w:p>
        </w:tc>
      </w:tr>
      <w:tr>
        <w:trPr>
          <w:trHeight w:val="237"/>
        </w:trPr>
        <w:tc>
          <w:tcPr>
            <w:tcW w:w="420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4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Premier Oil UK Limited</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13%</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U.S. Navy</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0%</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r>
      <w:tr>
        <w:trPr>
          <w:trHeight w:val="24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7"/>
        </w:trPr>
        <w:tc>
          <w:tcPr>
            <w:tcW w:w="420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87"/>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74"/>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74"/>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to achieve success in commercializing our products, we must expand our customer base and obtain commercial contracts to lease or sell our products, solutions and related services to customers. Our potential customer base for our products and solutions includes various public and private entities, and agencies that require remote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Our goal in the future is that an increased portion of our revenues will be from the lease or sale of our products and related maintenance and other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225" w:lineRule="exact"/>
        <w:rPr>
          <w:sz w:val="20"/>
          <w:szCs w:val="20"/>
          <w:color w:val="auto"/>
        </w:rPr>
      </w:pPr>
    </w:p>
    <w:p>
      <w:pPr>
        <w:ind w:left="980" w:hanging="324"/>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November 2020, the Company entered into an agreement with the Offshore Operators Committee (“OOC”) under which the Company will provide engineering and technical services for a new project under the DeepStar Global Technology Consortium Program</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2020, the Company entered into an agreement with Adams Communication &amp; Engineering Technology, Inc. to conduct a feasibility study for the evaluation of a PB3 PowerBuoy® power and 5G communications solution in support of the U.S. Navy’s Naval Postgraduate School’s SLAMR.</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2020, Eni exercised their option from the March 2018 contract to extend their lease of the PB3 for an additional 18 months. The initial provision in the March 2018 agreement provided for a minimum 24-month contract that included an 18-month PB3 lease and associated project management. In November 2020, Eni retrieved the PB3 and returned it to shore due to a mooring issue. The Company will be working with Eni to address a variety of possible next steps with the contract.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ind w:left="980" w:hanging="324"/>
        <w:spacing w:after="0" w:line="271"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September 2019, we entered into two contracts with subsidiaries of EGP which include the sale of a PB3 PowerBuoy® and the development and supply of a turn-key integrated Open Sea Lab that will be the Company’s first deployment off the coast of Chile. Due to the COVID-19 pandemic, the Company declared force majeure in April 2020. In June 2020 the Company signed a contract amendment to delay the deployment of its PB3 PowerBouy® in Chile from May 2020 to September 2020 due to travel restrictions imposed by the U.S. and Chile in response to COVID-19 pandemic. In October 2020 the Company signed another contract amendment to delay the deployment of its PB3 PowerBouy® in Chile from September 2020 to December 2020 due to travel restrictions imposed by the U.S. and Chile in response to COVID-19 pandemic. The contract is a result of a detailed feasibility study of the PowerBuoy® as an offshore autonomous platform hosting oceanographic sensor systems conducted in September 2018.</w:t>
      </w:r>
    </w:p>
    <w:p>
      <w:pPr>
        <w:spacing w:after="0" w:line="17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April 2019, we entered into an agreement with a leading oil and gas operator to conduct a detailed feasibility study of using the Company’s technology to monitor subsea wells.</w:t>
      </w:r>
    </w:p>
    <w:p>
      <w:pPr>
        <w:spacing w:after="0" w:line="170"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February 2019, we entered into a contract with the U.S. Navy to carry out the first phase of a project to design and develop a buoy mooring system which incorporates fiber optics for the transmission of subsea sensor data to airplanes, ships, and satellites.</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June 2018, we entered into a contract with Premier Oil Plc. (“PMO”) for the lease of a PB3 to be deployed in one of PMO’s offshore fields in the North Sea. In March 2020, after the several months at sea the PB3 was decommissioned and returned to New Jersey for evaluation and refurbishment to prepare for another deployment.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Partnerships</w:t>
      </w:r>
    </w:p>
    <w:p>
      <w:pPr>
        <w:spacing w:after="0" w:line="225" w:lineRule="exact"/>
        <w:rPr>
          <w:sz w:val="20"/>
          <w:szCs w:val="20"/>
          <w:color w:val="auto"/>
        </w:rPr>
      </w:pPr>
    </w:p>
    <w:p>
      <w:pPr>
        <w:jc w:val="both"/>
        <w:ind w:left="980" w:hanging="324"/>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June 2020, we signed a memorandum of understanding with Mackay Marine, a division of Mackay Communications, Inc., to further optimize our Marine Surveillance System payload for both the PB3 and hybrid PowerBuoy®. Mackay Marine manufacturers and supplies a wide variety of technically advanced equipment for commercial, military, and personal marine applications.</w:t>
      </w:r>
    </w:p>
    <w:p>
      <w:pPr>
        <w:spacing w:after="0" w:line="168" w:lineRule="exact"/>
        <w:rPr>
          <w:rFonts w:ascii="Arial" w:cs="Arial" w:eastAsia="Arial" w:hAnsi="Arial"/>
          <w:sz w:val="17"/>
          <w:szCs w:val="17"/>
          <w:color w:val="auto"/>
        </w:rPr>
      </w:pPr>
    </w:p>
    <w:p>
      <w:pPr>
        <w:ind w:left="980" w:hanging="324"/>
        <w:spacing w:after="0" w:line="186" w:lineRule="auto"/>
        <w:tabs>
          <w:tab w:leader="none" w:pos="98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color w:val="auto"/>
        </w:rPr>
        <w:t>In February 2020, we signed a letter of intent with Taiwan-based BAP Precision, Inc. (“BAP”) to provide PowerBuoy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joint surveillance solutions for government agency contract pursuits for policing territorial waters.</w:t>
      </w:r>
    </w:p>
    <w:p>
      <w:pPr>
        <w:spacing w:after="0" w:line="203" w:lineRule="exact"/>
        <w:rPr>
          <w:rFonts w:ascii="Arial" w:cs="Arial" w:eastAsia="Arial" w:hAnsi="Arial"/>
          <w:sz w:val="36"/>
          <w:szCs w:val="36"/>
          <w:color w:val="auto"/>
          <w:vertAlign w:val="superscript"/>
        </w:rPr>
      </w:pPr>
    </w:p>
    <w:p>
      <w:pPr>
        <w:jc w:val="both"/>
        <w:ind w:left="98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May 2019, we signed a memorandum of understanding with Modus Seabed Intervention Ltd. (“Modus”). for the purpose of developing and delivering commercial market solutions that offer a step-change in innovation and market value against conventional methodologies, specifically through development and marketing of a combined Hybrid AUV charging station which will be able to utilize the PowerBuoy® system for topside charging and communications.</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April 2019, we signed a memorandum of understanding with Acteon Field Life Service Ltd. (“Acteon”) to develop, explore and exploit mutual opportunities in the global oil and gas and renewable markets.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January 2019, we entered into a Joint System Solution Development and Marketing Agreement with Saab Seaeye Ltd. (“Saab”). The agreement anticipates a preliminary focus on AUV and eROV charging and communications 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fiscal 2021, we have continued progress in marketing our products and solutions. We have made progress in transitioning from R&amp;D to a commercialization focus with SELL, BUILD, SHIP as our motto and we intend to build on our success by implementing processes and solutions that cover the entire life cycle, from demand generation to close of contract, and from channel strategies to customer care.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majority of the Company’s opportunities with potential customers have been for projects in Western Europe, including the North Sea, as well as North America and Asia. Nearly two-thirds of these opportunities have progressed past the initial feasibility and non-disclosure agreement stage to more detailed, confidential discussions around specific customer applications. Many of these discussions occur at the executive, decision-making level, as well as the implementation level.</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proposal requests are for projects where one of our PowerBuoys® products, either the PB3, the hybrid, or our subsea battery solution is part of a larger solution demonstration, and typically include the potential lease or sale of one or more PowerBuoys®, as well as required services and maintenance support. A majority of hybrid inquiries are for shorter term deployments and in calmer waters. Historically, demonstration projects have been a necessary step toward broad solution deployment and revenues associated with specific applications. A proposal phase typically lasts from three months to more than one year. During the demonstration project specification, negotiation and evaluation period, we are often subject to the prospective customer’s vendor qualification process, which entails substantial due diligence of our company and capabilities and may include negotiation of standard terms and conditions. Many proposals contain provisions which would mandate the sale or lease of our PowerBuoy® product upon successful conclusion of the demonstration project.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spacing w:after="0" w:line="255" w:lineRule="auto"/>
        <w:rPr>
          <w:sz w:val="20"/>
          <w:szCs w:val="20"/>
          <w:color w:val="auto"/>
        </w:rPr>
      </w:pPr>
      <w:r>
        <w:rPr>
          <w:rFonts w:ascii="Arial" w:cs="Arial" w:eastAsia="Arial" w:hAnsi="Arial"/>
          <w:sz w:val="18"/>
          <w:szCs w:val="18"/>
          <w:color w:val="auto"/>
        </w:rPr>
        <w:t>We believe this is an accurate depiction of the overall sales cycle for new technology in each of our target markets, including our products and solutions. Cycle times for each step of the sales cycle will vary depending on several customer factors, including, but not limited to, technical evaluation, project priorities, project funding approval process, and alignment of new technology integration with the customer’s broader operational strategy. We believe that potential demand, vis-à-vis specific application proposal requests, is indicative of significant progress in our commercialization strategy. We believe in the potential for growth as a result of our positioning for higher volume production of our products and solutions and their initial indications of demand for our products and solutions in multiple customer applications.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commercialize our products and solutions for use in remote offshore power and real-time data communications applications, and in order to achieve this goal, we are pursuing the following business objectives:</w:t>
      </w:r>
    </w:p>
    <w:p>
      <w:pPr>
        <w:spacing w:after="0" w:line="170" w:lineRule="exact"/>
        <w:rPr>
          <w:sz w:val="20"/>
          <w:szCs w:val="20"/>
          <w:color w:val="auto"/>
        </w:rPr>
      </w:pPr>
    </w:p>
    <w:p>
      <w:pPr>
        <w:jc w:val="both"/>
        <w:ind w:left="660" w:hanging="328"/>
        <w:spacing w:after="0" w:line="288" w:lineRule="auto"/>
        <w:tabs>
          <w:tab w:leader="none" w:pos="6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Integrated turn-key solutions sales or leases incorporating our products and services. </w:t>
      </w:r>
      <w:r>
        <w:rPr>
          <w:rFonts w:ascii="Arial" w:cs="Arial" w:eastAsia="Arial" w:hAnsi="Arial"/>
          <w:sz w:val="16"/>
          <w:szCs w:val="16"/>
          <w:color w:val="auto"/>
        </w:rPr>
        <w:t>We believe our PB3, hybrid PowerBuoys® and our subsea</w:t>
      </w:r>
      <w:r>
        <w:rPr>
          <w:rFonts w:ascii="Arial" w:cs="Arial" w:eastAsia="Arial" w:hAnsi="Arial"/>
          <w:sz w:val="16"/>
          <w:szCs w:val="16"/>
          <w:i w:val="1"/>
          <w:iCs w:val="1"/>
          <w:color w:val="auto"/>
        </w:rPr>
        <w:t xml:space="preserve"> </w:t>
      </w:r>
      <w:r>
        <w:rPr>
          <w:rFonts w:ascii="Arial" w:cs="Arial" w:eastAsia="Arial" w:hAnsi="Arial"/>
          <w:sz w:val="16"/>
          <w:szCs w:val="16"/>
          <w:color w:val="auto"/>
        </w:rPr>
        <w:t>battery solutions, as well as our Marine Surveillance Solution are well suited to enable many unmanned, autonomous (non-grid connected) offshore applications, such as topside and subsea surveillance and communications, subsea equipment monitoring, early warning systems platform and subsea power and buffering, and weather and climate data collection. We have investigated and realized market demand for some of these solutions as sales and leases within our selected markets, and we intend to sell and lease our products to these markets as part of these broader integrated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life-cycle. We also intend to pursue turn-key projects where we take on a prime contractor role to capture broader revenue opportunities while ensuring that solutions effectively address customer needs. We continue to increase our commercial capabilities through new hires in sales and application support, and through engagement of expert market consultants in various geographies.</w:t>
      </w:r>
    </w:p>
    <w:p>
      <w:pPr>
        <w:spacing w:after="0" w:line="168" w:lineRule="exact"/>
        <w:rPr>
          <w:rFonts w:ascii="Arial" w:cs="Arial" w:eastAsia="Arial" w:hAnsi="Arial"/>
          <w:sz w:val="16"/>
          <w:szCs w:val="16"/>
          <w:i w:val="1"/>
          <w:iCs w:val="1"/>
          <w:color w:val="auto"/>
        </w:rPr>
      </w:pPr>
    </w:p>
    <w:p>
      <w:pPr>
        <w:jc w:val="both"/>
        <w:ind w:left="660" w:hanging="328"/>
        <w:spacing w:after="0" w:line="269" w:lineRule="auto"/>
        <w:tabs>
          <w:tab w:leader="none" w:pos="6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Expand customer system solution offerings through new complimentary products that enable shorter and more cost-efficient deployments. </w:t>
      </w:r>
      <w:r>
        <w:rPr>
          <w:rFonts w:ascii="Arial" w:cs="Arial" w:eastAsia="Arial" w:hAnsi="Arial"/>
          <w:sz w:val="17"/>
          <w:szCs w:val="17"/>
          <w:color w:val="auto"/>
        </w:rPr>
        <w:t>We</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the design and construction of the hybrid PowerBuoy® in 2020. This product builds on our existing expertise in offshore power systems. The hybrid PowerBuoy® is a solar powered buoy with a liquid-fueled Stirling engine as backup. The hybrid is to be highly complementary to the PB3 PowerBuoy® by providing the Company the opportunity to address a broader spectrum of customer deployment needs, including low-wave environments, with the potential for greater system integration within each customer project. The hybrid is primarily intended for shorter term deployment applications such as eROV and AUV inspections and short-term maintenance, topside surveillance and communications, and subsea equipment and controls. The Company has also developed a subsea battery system that is complimentary to the Company’s PowerBuoy® products. The subsea battery system offers the possibility of creating a sea floor energy storage solution for remote offshore operations. These subsea battery systems contain lithium ion batteries, which provide high power density to supply power to subsea equipment, sensors, communications, and recharging of AUVs and eROV. Ideal for many remote offshore customer applications, these subsea battery systems are anticipated to be safe, high performance, cost-efficient, and quickly deployable.</w:t>
      </w:r>
    </w:p>
    <w:p>
      <w:pPr>
        <w:spacing w:after="0" w:line="181" w:lineRule="exact"/>
        <w:rPr>
          <w:rFonts w:ascii="Arial" w:cs="Arial" w:eastAsia="Arial" w:hAnsi="Arial"/>
          <w:sz w:val="17"/>
          <w:szCs w:val="17"/>
          <w:i w:val="1"/>
          <w:iCs w:val="1"/>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Concentrate sales and marketing efforts in specific geographic markets. </w:t>
      </w:r>
      <w:r>
        <w:rPr>
          <w:rFonts w:ascii="Arial" w:cs="Arial" w:eastAsia="Arial" w:hAnsi="Arial"/>
          <w:sz w:val="18"/>
          <w:szCs w:val="18"/>
          <w:color w:val="auto"/>
        </w:rPr>
        <w:t>We are currently focusing our marketing efforts on parts of North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 America, Europe, Asia and Western Africa. We believe that each of these areas has demand for our solutions, sizable end market opportunities, political and economic stability, and high levels of industrialization and economic development. We have opened an office in Houston, Texas to further support our customers and strengthen our dialogue with our solution partners.</w:t>
      </w:r>
    </w:p>
    <w:p>
      <w:pPr>
        <w:spacing w:after="0" w:line="186"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Expand our relationships in key market areas through strategic partnerships and collaborations. </w:t>
      </w:r>
      <w:r>
        <w:rPr>
          <w:rFonts w:ascii="Arial" w:cs="Arial" w:eastAsia="Arial" w:hAnsi="Arial"/>
          <w:sz w:val="18"/>
          <w:szCs w:val="18"/>
          <w:color w:val="auto"/>
        </w:rPr>
        <w:t>We believe that strategic partners are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commercializing a new product. Partnerships and collaborations can be used to improve the development of overall integrated solutions, create new market channels, expand commercial know-how and geographic footprint, and bolster our product delivery capabilities. We believe that offering a turn-key solution, and not just power, is key to securing long term success. We have formed such a relationship with several well-known groups, including Mackay, BAP, Modus, Saab and Acteon. We continue to seek other opportunities to collaborate with application experts from within our selected markets.</w:t>
      </w:r>
    </w:p>
    <w:p>
      <w:pPr>
        <w:spacing w:after="0" w:line="192" w:lineRule="exact"/>
        <w:rPr>
          <w:rFonts w:ascii="Arial" w:cs="Arial" w:eastAsia="Arial" w:hAnsi="Arial"/>
          <w:sz w:val="18"/>
          <w:szCs w:val="18"/>
          <w:i w:val="1"/>
          <w:iCs w:val="1"/>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Outsourcing of fabrication, deployment and service support</w:t>
      </w:r>
      <w:r>
        <w:rPr>
          <w:rFonts w:ascii="Arial" w:cs="Arial" w:eastAsia="Arial" w:hAnsi="Arial"/>
          <w:sz w:val="18"/>
          <w:szCs w:val="18"/>
          <w:color w:val="auto"/>
        </w:rPr>
        <w:t>. We outsource all fabrication, anchoring, mooring, cabling supply, and in most cases</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of our products and solutions in order to minimize our capital requirements as we scale our business. Our PTO is a proprietary subsystem and is assembled and tested at our facility. We believe this distributed manufacturing and assembly approach enables us to focus on our core competencies to ensure a cost-effective offering by leveraging a larger more established supply base. We also continue to seek strategic partnerships with regard to servicing of our products and solutions.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both"/>
        <w:ind w:left="660" w:hanging="328"/>
        <w:spacing w:after="0" w:line="257"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Cost reduction and solution development. </w:t>
      </w:r>
      <w:r>
        <w:rPr>
          <w:rFonts w:ascii="Arial" w:cs="Arial" w:eastAsia="Arial" w:hAnsi="Arial"/>
          <w:sz w:val="18"/>
          <w:szCs w:val="18"/>
          <w:color w:val="auto"/>
        </w:rPr>
        <w:t>Our engineering efforts are mainly focused on addressing customer solutions; product and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sales; reducing costs associated with production, installation and product life-cycle costs; and improving the energy output, reliability, maintenance interval and expected operating life of our products and solutions. We continue to optimize manufacturability of our designs with a focus on cost competitiveness, and we believe we will be able to address new applications by developing new payloads and solutions that address customer needs.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7, 2019, the Company entered into the 2019 ATM Facility with AGP under which the Company may issue and sell to or through AGP, acting as agent and/or principal, shares of the Company’s common stock having an aggregate offering price of up to $25 million. Since inception of the program through October 31, 2020, under the 2019 ATM Facility, the Company sold and issued 10,942,100 shares of its common stock with an aggregate market value of $11.1 million at an average price of $1.01 per share, including 5,689,134 shares in fiscal year 2021 with an aggregate market value of $6.4 million at an average price of $1.12 per share and paid AGP a sales commission of approximately $360,095 related to those shares. On November 20, 2020, the Company entered into a new At the Market Offering Agreement with AGP (the “2020 ATM Facility”). Under the 2020 ATM Facility, the Company may issue and sell to or through AGP, acting as agent and/or principal, shares of the Company’s common stock having an aggregate offering price of up to $50.0 million. In connection with the effectiveness of the 2020 ATM Facility, the 2019 ATM Facility was terminated. For more on the 2020 ATM Facility, see Note 19, Subsequent Events.</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October 24, 2019, the Company entered into a new common stock purchase agreement with Aspire Capital which provided that, subject to certain terms, conditions and limitations, Aspire Capital is committed to purchase up to an aggregate of $10.0 million of shares of the Company’s common stock over a 30-month period. Through September 18, 2020, the Company has sold 6,424,205 shares of common stock with an aggregate market value of $4.0 million at an average price of $0.63 per share pursuant to this common stock purchase agreement, including 5,025,000 shares in fiscal year 2021 with an aggregate market value of $2.9 million at an average price of $0.57 per share. The agreement was fully utilized and cancelled on September 18, 2020.</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18, 2020, the Company entered into a new common stock purchase agreement with Aspire Capital which provided that, subject to certain terms, conditions and limitations, Aspire Capital is committed to purchase up to an aggregate of $12.5 million of shares of the Company’s common stock over a 30-month period that does not exceed 19.99% of the outstanding common stock on the date of the agreement. The number of shares the Company could issue within the 19.99% limit is 3,722,251 shares. Shareholder approval is needed for sale of common stock over the 19.99% limit of the outstanding common stock on the date of the agreement. Through October 31, 2020, the Company has sold an aggregate of 500,000 shares of common stock with an aggregate market value of $0.6 million at an average price of $1.23 per share pursuant to this common stock purchase agreement.</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October 31, 2020, the Company’s backlog was $0.8 million. As of April 30, 2020, backlog was $1.0 million. Our backlog can include unfilled firm orders for our products and services from commercial or governmental customers. If any of our contracts were to be terminated, our backlog would be reduced by the expected value of the remaining terms of such contract.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input method used to measure completion over time of customer contracts, and changes in estimates from time to time may have a significant effect on revenue and backlog. Our backlog is also typically subject to large variations from time to time due to the timing of new awards.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consolidated financial statements have been prepared assuming the Company will continue as a going concern. The Company has experienced substantial and recurring losses from operations, which losses have caused an accumulated deficit of $226.5 million at October 31, 2020. These factors raise substantial doubt about our ability to continue as a going concern. Based on the Company’s current cash, cash equivalents and restricted cash balances, and its ability to raise additional equity under facilities currently in place, the Company believes that it will be able to finance its capital requirements and operations for at least the next 12 months. Among other things, the Company is currently evaluating a variety of different financing alternatives and we expect to continue to fund our business with sales of our securities and through generating revenue with customers.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report of our independent registered public accounting firm on our consolidated financial statements filed with our Annual Report on Form 10-K for the year ended April 30, 2020,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understand our financial statements, it is important to understand our critical accounting policies and estimates. We prepare our financial statements in accordance with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2020. There were no material changes in our critical accounting estimates or accounting policies during the six months ended October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each of the six month periods ended October 31, 2020 and 2019, all of the Company’s contracts were classified as firm fixed price.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six months ended October 31,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October 31,</w:t>
            </w:r>
          </w:p>
        </w:tc>
        <w:tc>
          <w:tcPr>
            <w:tcW w:w="3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Borders>
              <w:bottom w:val="single" w:sz="8" w:color="auto"/>
            </w:tcBorders>
            <w:gridSpan w:val="5"/>
          </w:tcPr>
          <w:p>
            <w:pPr>
              <w:jc w:val="right"/>
              <w:ind w:right="7"/>
              <w:spacing w:after="0"/>
              <w:rPr>
                <w:sz w:val="20"/>
                <w:szCs w:val="20"/>
                <w:color w:val="auto"/>
              </w:rPr>
            </w:pPr>
            <w:r>
              <w:rPr>
                <w:rFonts w:ascii="Arial" w:cs="Arial" w:eastAsia="Arial" w:hAnsi="Arial"/>
                <w:sz w:val="18"/>
                <w:szCs w:val="18"/>
                <w:b w:val="1"/>
                <w:bCs w:val="1"/>
                <w:color w:val="auto"/>
              </w:rPr>
              <w:t>Six months ended October 31,</w:t>
            </w:r>
          </w:p>
        </w:tc>
        <w:tc>
          <w:tcPr>
            <w:tcW w:w="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3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3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gridSpan w:val="3"/>
          </w:tcPr>
          <w:p>
            <w:pPr>
              <w:jc w:val="right"/>
              <w:ind w:right="658"/>
              <w:spacing w:after="0"/>
              <w:rPr>
                <w:sz w:val="20"/>
                <w:szCs w:val="20"/>
                <w:color w:val="auto"/>
              </w:rPr>
            </w:pPr>
            <w:r>
              <w:rPr>
                <w:rFonts w:ascii="Arial" w:cs="Arial" w:eastAsia="Arial" w:hAnsi="Arial"/>
                <w:sz w:val="18"/>
                <w:szCs w:val="18"/>
                <w:color w:val="auto"/>
                <w:w w:val="87"/>
              </w:rPr>
              <w:t>(in thousands)</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23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1080" w:type="dxa"/>
            <w:vAlign w:val="bottom"/>
            <w:gridSpan w:val="2"/>
            <w:shd w:val="clear" w:color="auto" w:fill="CCEEFF"/>
          </w:tcPr>
          <w:p>
            <w:pPr>
              <w:jc w:val="right"/>
              <w:ind w:right="907"/>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Premier Oil UK Limited</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104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1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U.S. Navy</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104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r>
      <w:tr>
        <w:trPr>
          <w:trHeight w:val="25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0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1"/>
                <w:szCs w:val="21"/>
                <w:color w:val="auto"/>
              </w:rPr>
            </w:pPr>
          </w:p>
        </w:tc>
      </w:tr>
      <w:tr>
        <w:trPr>
          <w:trHeight w:val="216"/>
        </w:trPr>
        <w:tc>
          <w:tcPr>
            <w:tcW w:w="3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focus our sales and marketing efforts on parts of North and South America, Europe and Asia. The following table shows the percentage of our revenues by geographical location of our customers for the six months ended October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 October 31,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ind w:left="1700"/>
              <w:spacing w:after="0"/>
              <w:rPr>
                <w:sz w:val="20"/>
                <w:szCs w:val="20"/>
                <w:color w:val="auto"/>
              </w:rPr>
            </w:pPr>
            <w:r>
              <w:rPr>
                <w:rFonts w:ascii="Arial" w:cs="Arial" w:eastAsia="Arial" w:hAnsi="Arial"/>
                <w:sz w:val="18"/>
                <w:szCs w:val="18"/>
                <w:b w:val="1"/>
                <w:bCs w:val="1"/>
                <w:color w:val="auto"/>
              </w:rPr>
              <w:t>Customer Location</w:t>
            </w:r>
          </w:p>
        </w:tc>
        <w:tc>
          <w:tcPr>
            <w:tcW w:w="1800" w:type="dxa"/>
            <w:vAlign w:val="bottom"/>
            <w:gridSpan w:val="2"/>
          </w:tcPr>
          <w:p>
            <w:pPr>
              <w:spacing w:after="0"/>
              <w:rPr>
                <w:sz w:val="20"/>
                <w:szCs w:val="20"/>
                <w:color w:val="auto"/>
              </w:rPr>
            </w:pPr>
          </w:p>
        </w:tc>
        <w:tc>
          <w:tcPr>
            <w:tcW w:w="14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vMerge w:val="restart"/>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58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South America</w:t>
            </w:r>
          </w:p>
        </w:tc>
        <w:tc>
          <w:tcPr>
            <w:tcW w:w="3580" w:type="dxa"/>
            <w:vAlign w:val="bottom"/>
            <w:gridSpan w:val="4"/>
          </w:tcPr>
          <w:p>
            <w:pPr>
              <w:jc w:val="right"/>
              <w:ind w:right="70"/>
              <w:spacing w:after="0"/>
              <w:rPr>
                <w:sz w:val="20"/>
                <w:szCs w:val="20"/>
                <w:color w:val="auto"/>
              </w:rPr>
            </w:pPr>
            <w:r>
              <w:rPr>
                <w:rFonts w:ascii="Arial" w:cs="Arial" w:eastAsia="Arial" w:hAnsi="Arial"/>
                <w:sz w:val="18"/>
                <w:szCs w:val="18"/>
                <w:color w:val="auto"/>
              </w:rPr>
              <w:t>55%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58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87"/>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60" w:type="dxa"/>
            <w:vAlign w:val="bottom"/>
            <w:vMerge w:val="restart"/>
          </w:tcPr>
          <w:p>
            <w:pPr>
              <w:jc w:val="right"/>
              <w:ind w:right="21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7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equipment to customize the products supplied by third-party suppliers. Cost of revenues also includes product system delivery and deployment expenses and may include anticipated losses at completion on certain contracts.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generating revenues through sales or leases of our products, the nature of our contracts generating revenues to fund our product development efforts, and our ability to manage costs incurred on fixed price commercial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engineering and product development costs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products and costs for executive, accounting and administrative personnel, professional fees and other general corporate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consists of interest received on cash, cash equivalents and money market fund and interest expense paid on certain obligations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cash accounts that are denominated in British pounds sterling, Euros and Australian dollars. These foreign-denominated accounts had a balance of $0.3 million as of October 31, 2020 and $0.6 million as of October 31, 2019, compared to our total cash, cash equivalents and restricted cash balances of $15.8 million as of October 31, 2020 and $11.4 million as of October 31, 2019. These foreign currency balances are translated each month and to our functional currency, the US dollar, and any resulting gain or loss is recognized in our results of operations.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2020 compared to the three months ended October 31,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October 31,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 change</w:t>
            </w:r>
          </w:p>
        </w:tc>
      </w:tr>
      <w:tr>
        <w:trPr>
          <w:trHeight w:val="255"/>
        </w:trPr>
        <w:tc>
          <w:tcPr>
            <w:tcW w:w="6080" w:type="dxa"/>
            <w:vAlign w:val="bottom"/>
          </w:tcPr>
          <w:p>
            <w:pPr>
              <w:spacing w:after="0"/>
              <w:rPr>
                <w:sz w:val="22"/>
                <w:szCs w:val="22"/>
                <w:color w:val="auto"/>
              </w:rPr>
            </w:pPr>
          </w:p>
        </w:tc>
        <w:tc>
          <w:tcPr>
            <w:tcW w:w="356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Three months ended October 31,</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2020 period to</w:t>
            </w:r>
          </w:p>
        </w:tc>
      </w:tr>
      <w:tr>
        <w:trPr>
          <w:trHeight w:val="237"/>
        </w:trPr>
        <w:tc>
          <w:tcPr>
            <w:tcW w:w="60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2019 period</w:t>
            </w:r>
          </w:p>
        </w:tc>
      </w:tr>
      <w:tr>
        <w:trPr>
          <w:trHeight w:val="230"/>
        </w:trPr>
        <w:tc>
          <w:tcPr>
            <w:tcW w:w="60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right"/>
              <w:ind w:right="510"/>
              <w:spacing w:after="0"/>
              <w:rPr>
                <w:sz w:val="20"/>
                <w:szCs w:val="20"/>
                <w:color w:val="auto"/>
              </w:rPr>
            </w:pPr>
            <w:r>
              <w:rPr>
                <w:rFonts w:ascii="Arial" w:cs="Arial" w:eastAsia="Arial" w:hAnsi="Arial"/>
                <w:sz w:val="18"/>
                <w:szCs w:val="18"/>
                <w:color w:val="auto"/>
                <w:w w:val="99"/>
              </w:rPr>
              <w:t>(in thousands)</w:t>
            </w:r>
          </w:p>
        </w:tc>
        <w:tc>
          <w:tcPr>
            <w:tcW w:w="5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6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118</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Cost of revenues</w:t>
            </w:r>
          </w:p>
        </w:tc>
        <w:tc>
          <w:tcPr>
            <w:tcW w:w="960" w:type="dxa"/>
            <w:vAlign w:val="bottom"/>
          </w:tcPr>
          <w:p>
            <w:pPr>
              <w:spacing w:after="0"/>
              <w:rPr>
                <w:sz w:val="20"/>
                <w:szCs w:val="20"/>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8"/>
                <w:szCs w:val="18"/>
                <w:color w:val="auto"/>
              </w:rPr>
              <w:t>216</w:t>
            </w:r>
          </w:p>
        </w:tc>
        <w:tc>
          <w:tcPr>
            <w:tcW w:w="9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3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36"/>
        </w:trPr>
        <w:tc>
          <w:tcPr>
            <w:tcW w:w="6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1,063</w:t>
            </w: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960" w:type="dxa"/>
            <w:vAlign w:val="bottom"/>
          </w:tcPr>
          <w:p>
            <w:pPr>
              <w:spacing w:after="0"/>
              <w:rPr>
                <w:sz w:val="20"/>
                <w:szCs w:val="20"/>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8"/>
                <w:szCs w:val="18"/>
                <w:color w:val="auto"/>
              </w:rPr>
              <w:t>1,841</w:t>
            </w:r>
          </w:p>
        </w:tc>
        <w:tc>
          <w:tcPr>
            <w:tcW w:w="9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1,838</w:t>
            </w:r>
          </w:p>
        </w:tc>
        <w:tc>
          <w:tcPr>
            <w:tcW w:w="3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36"/>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9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(3,002)</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(3,231)</w:t>
            </w:r>
          </w:p>
        </w:tc>
        <w:tc>
          <w:tcPr>
            <w:tcW w:w="34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w:t>
            </w: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expense</w:t>
            </w:r>
          </w:p>
        </w:tc>
        <w:tc>
          <w:tcPr>
            <w:tcW w:w="960" w:type="dxa"/>
            <w:vAlign w:val="bottom"/>
          </w:tcPr>
          <w:p>
            <w:pPr>
              <w:spacing w:after="0"/>
              <w:rPr>
                <w:sz w:val="18"/>
                <w:szCs w:val="18"/>
                <w:color w:val="auto"/>
              </w:rPr>
            </w:pPr>
          </w:p>
        </w:tc>
        <w:tc>
          <w:tcPr>
            <w:tcW w:w="820" w:type="dxa"/>
            <w:vAlign w:val="bottom"/>
            <w:gridSpan w:val="2"/>
          </w:tcPr>
          <w:p>
            <w:pPr>
              <w:jc w:val="right"/>
              <w:ind w:right="181"/>
              <w:spacing w:after="0"/>
              <w:rPr>
                <w:sz w:val="20"/>
                <w:szCs w:val="20"/>
                <w:color w:val="auto"/>
              </w:rPr>
            </w:pPr>
            <w:r>
              <w:rPr>
                <w:rFonts w:ascii="Arial" w:cs="Arial" w:eastAsia="Arial" w:hAnsi="Arial"/>
                <w:sz w:val="18"/>
                <w:szCs w:val="18"/>
                <w:color w:val="auto"/>
              </w:rPr>
              <w:t>(33)</w:t>
            </w:r>
          </w:p>
        </w:tc>
        <w:tc>
          <w:tcPr>
            <w:tcW w:w="9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4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9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w:t>
            </w:r>
          </w:p>
        </w:tc>
        <w:tc>
          <w:tcPr>
            <w:tcW w:w="9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17"/>
        </w:trPr>
        <w:tc>
          <w:tcPr>
            <w:tcW w:w="6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(3,024</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(3,189</w:t>
            </w:r>
          </w:p>
        </w:tc>
        <w:tc>
          <w:tcPr>
            <w:tcW w:w="3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16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6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the three months ended October 31, 2020 and 2019 were $0.1 million and $0.2 million, respectively. The decrease of $0.1 million of revenue for the three months ended October 31, 2020 was primarily due to lower revenue derived from our EGP project while the same period in the prior year included revenue from projects with Premier Oil and U.S. Navy.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revenues for the three months ended October 31, 2020 and 2019 were $0.2 million and $0.3 million, respectively. The decrease of $0.1 million in cost of revenue is due to more costs incurred on our Premier Oil project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Engineering and product development costs for the three months ended October 31, 2020 and 2019 were $1.1 million and $1.3 million, respectively. The decrease of approximately $0.2 million is the result of lower spending on new product development projects as compared to the same period in fiscal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costs for the three months ended October 31, 2020 and 2019 were $1.8 million and $1.8 million, respectively. Spending was essentially flat compared to the same period in prior period and related primarily to employee related costs, professional fees and selling and marketing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net during the three months ended October 31, 2020 was $8,000, compared to $32,000 during the three months ended October 31, 2019. The decrease of $24,000 is due to a lower interest rate earned on investments in the three months ended October 31, 2020 as compared to the three months ended October 31,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Foreign exchange gain/(loss)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exchange gain during the three months ended October 31, 2020 was $3,000 compared to a foreign exchange gain of $10,000 during the three months ended October 31, 2019. The difference was attributable primarily to the relative change in value of the British pound sterling, Euro and Australian dollar compared to the US dollar during the two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October 31, 2020 compared to the six months ended October 31, 2019</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six months ended October 31,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 change</w:t>
            </w:r>
          </w:p>
        </w:tc>
      </w:tr>
      <w:tr>
        <w:trPr>
          <w:trHeight w:val="255"/>
        </w:trPr>
        <w:tc>
          <w:tcPr>
            <w:tcW w:w="6080" w:type="dxa"/>
            <w:vAlign w:val="bottom"/>
          </w:tcPr>
          <w:p>
            <w:pPr>
              <w:spacing w:after="0"/>
              <w:rPr>
                <w:sz w:val="22"/>
                <w:szCs w:val="22"/>
                <w:color w:val="auto"/>
              </w:rPr>
            </w:pPr>
          </w:p>
        </w:tc>
        <w:tc>
          <w:tcPr>
            <w:tcW w:w="3560" w:type="dxa"/>
            <w:vAlign w:val="bottom"/>
            <w:gridSpan w:val="6"/>
          </w:tcPr>
          <w:p>
            <w:pPr>
              <w:jc w:val="right"/>
              <w:ind w:right="721"/>
              <w:spacing w:after="0"/>
              <w:rPr>
                <w:sz w:val="20"/>
                <w:szCs w:val="20"/>
                <w:color w:val="auto"/>
              </w:rPr>
            </w:pPr>
            <w:r>
              <w:rPr>
                <w:rFonts w:ascii="Arial" w:cs="Arial" w:eastAsia="Arial" w:hAnsi="Arial"/>
                <w:sz w:val="18"/>
                <w:szCs w:val="18"/>
                <w:b w:val="1"/>
                <w:bCs w:val="1"/>
                <w:color w:val="auto"/>
              </w:rPr>
              <w:t>Six months ended October 31,</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2020 period to</w:t>
            </w:r>
          </w:p>
        </w:tc>
      </w:tr>
      <w:tr>
        <w:trPr>
          <w:trHeight w:val="237"/>
        </w:trPr>
        <w:tc>
          <w:tcPr>
            <w:tcW w:w="60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2019 period</w:t>
            </w:r>
          </w:p>
        </w:tc>
      </w:tr>
      <w:tr>
        <w:trPr>
          <w:trHeight w:val="230"/>
        </w:trPr>
        <w:tc>
          <w:tcPr>
            <w:tcW w:w="60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right"/>
              <w:ind w:right="510"/>
              <w:spacing w:after="0"/>
              <w:rPr>
                <w:sz w:val="20"/>
                <w:szCs w:val="20"/>
                <w:color w:val="auto"/>
              </w:rPr>
            </w:pPr>
            <w:r>
              <w:rPr>
                <w:rFonts w:ascii="Arial" w:cs="Arial" w:eastAsia="Arial" w:hAnsi="Arial"/>
                <w:sz w:val="18"/>
                <w:szCs w:val="18"/>
                <w:color w:val="auto"/>
                <w:w w:val="99"/>
              </w:rPr>
              <w:t>(in thousands)</w:t>
            </w:r>
          </w:p>
        </w:tc>
        <w:tc>
          <w:tcPr>
            <w:tcW w:w="5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6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287</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406</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Cost of revenues</w:t>
            </w:r>
          </w:p>
        </w:tc>
        <w:tc>
          <w:tcPr>
            <w:tcW w:w="960" w:type="dxa"/>
            <w:vAlign w:val="bottom"/>
          </w:tcPr>
          <w:p>
            <w:pPr>
              <w:spacing w:after="0"/>
              <w:rPr>
                <w:sz w:val="20"/>
                <w:szCs w:val="20"/>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8"/>
                <w:szCs w:val="18"/>
                <w:color w:val="auto"/>
              </w:rPr>
              <w:t>550</w:t>
            </w:r>
          </w:p>
        </w:tc>
        <w:tc>
          <w:tcPr>
            <w:tcW w:w="940" w:type="dxa"/>
            <w:vAlign w:val="bottom"/>
          </w:tcPr>
          <w:p>
            <w:pPr>
              <w:spacing w:after="0"/>
              <w:rPr>
                <w:sz w:val="20"/>
                <w:szCs w:val="20"/>
                <w:color w:val="auto"/>
              </w:rPr>
            </w:pPr>
          </w:p>
        </w:tc>
        <w:tc>
          <w:tcPr>
            <w:tcW w:w="840" w:type="dxa"/>
            <w:vAlign w:val="bottom"/>
            <w:gridSpan w:val="2"/>
          </w:tcPr>
          <w:p>
            <w:pPr>
              <w:jc w:val="right"/>
              <w:ind w:right="261"/>
              <w:spacing w:after="0"/>
              <w:rPr>
                <w:sz w:val="20"/>
                <w:szCs w:val="20"/>
                <w:color w:val="auto"/>
              </w:rPr>
            </w:pPr>
            <w:r>
              <w:rPr>
                <w:rFonts w:ascii="Arial" w:cs="Arial" w:eastAsia="Arial" w:hAnsi="Arial"/>
                <w:sz w:val="18"/>
                <w:szCs w:val="18"/>
                <w:color w:val="auto"/>
              </w:rPr>
              <w:t>655</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36"/>
        </w:trPr>
        <w:tc>
          <w:tcPr>
            <w:tcW w:w="6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2,315</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2,507</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960" w:type="dxa"/>
            <w:vAlign w:val="bottom"/>
          </w:tcPr>
          <w:p>
            <w:pPr>
              <w:spacing w:after="0"/>
              <w:rPr>
                <w:sz w:val="20"/>
                <w:szCs w:val="20"/>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8"/>
                <w:szCs w:val="18"/>
                <w:color w:val="auto"/>
              </w:rPr>
              <w:t>3,828</w:t>
            </w:r>
          </w:p>
        </w:tc>
        <w:tc>
          <w:tcPr>
            <w:tcW w:w="940" w:type="dxa"/>
            <w:vAlign w:val="bottom"/>
          </w:tcPr>
          <w:p>
            <w:pPr>
              <w:spacing w:after="0"/>
              <w:rPr>
                <w:sz w:val="20"/>
                <w:szCs w:val="20"/>
                <w:color w:val="auto"/>
              </w:rPr>
            </w:pPr>
          </w:p>
        </w:tc>
        <w:tc>
          <w:tcPr>
            <w:tcW w:w="840" w:type="dxa"/>
            <w:vAlign w:val="bottom"/>
            <w:gridSpan w:val="2"/>
          </w:tcPr>
          <w:p>
            <w:pPr>
              <w:jc w:val="right"/>
              <w:ind w:right="261"/>
              <w:spacing w:after="0"/>
              <w:rPr>
                <w:sz w:val="20"/>
                <w:szCs w:val="20"/>
                <w:color w:val="auto"/>
              </w:rPr>
            </w:pPr>
            <w:r>
              <w:rPr>
                <w:rFonts w:ascii="Arial" w:cs="Arial" w:eastAsia="Arial" w:hAnsi="Arial"/>
                <w:sz w:val="18"/>
                <w:szCs w:val="18"/>
                <w:color w:val="auto"/>
              </w:rPr>
              <w:t>3,534</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36"/>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9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(6,406)</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(6,290)</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income, net</w:t>
            </w:r>
          </w:p>
        </w:tc>
        <w:tc>
          <w:tcPr>
            <w:tcW w:w="960" w:type="dxa"/>
            <w:vAlign w:val="bottom"/>
          </w:tcPr>
          <w:p>
            <w:pPr>
              <w:spacing w:after="0"/>
              <w:rPr>
                <w:sz w:val="18"/>
                <w:szCs w:val="18"/>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8"/>
                <w:szCs w:val="18"/>
                <w:color w:val="auto"/>
              </w:rPr>
              <w:t>20</w:t>
            </w:r>
          </w:p>
        </w:tc>
        <w:tc>
          <w:tcPr>
            <w:tcW w:w="940" w:type="dxa"/>
            <w:vAlign w:val="bottom"/>
          </w:tcPr>
          <w:p>
            <w:pPr>
              <w:spacing w:after="0"/>
              <w:rPr>
                <w:sz w:val="18"/>
                <w:szCs w:val="18"/>
                <w:color w:val="auto"/>
              </w:rPr>
            </w:pPr>
          </w:p>
        </w:tc>
        <w:tc>
          <w:tcPr>
            <w:tcW w:w="840" w:type="dxa"/>
            <w:vAlign w:val="bottom"/>
            <w:gridSpan w:val="2"/>
          </w:tcPr>
          <w:p>
            <w:pPr>
              <w:jc w:val="right"/>
              <w:ind w:right="261"/>
              <w:spacing w:after="0"/>
              <w:rPr>
                <w:sz w:val="20"/>
                <w:szCs w:val="20"/>
                <w:color w:val="auto"/>
              </w:rPr>
            </w:pPr>
            <w:r>
              <w:rPr>
                <w:rFonts w:ascii="Arial" w:cs="Arial" w:eastAsia="Arial" w:hAnsi="Arial"/>
                <w:sz w:val="18"/>
                <w:szCs w:val="18"/>
                <w:color w:val="auto"/>
              </w:rPr>
              <w:t>74</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(33)</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6"/>
        </w:trPr>
        <w:tc>
          <w:tcPr>
            <w:tcW w:w="608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960" w:type="dxa"/>
            <w:vAlign w:val="bottom"/>
          </w:tcPr>
          <w:p>
            <w:pPr>
              <w:spacing w:after="0"/>
              <w:rPr>
                <w:sz w:val="20"/>
                <w:szCs w:val="20"/>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20"/>
                <w:szCs w:val="20"/>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(4)</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r>
      <w:tr>
        <w:trPr>
          <w:trHeight w:val="230"/>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(6,409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(6,214</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Revenues for the six months ended October 31, 2020 and 2019 were $0.3 million and $0.4 million, respectively. The decrease of $0.1 million of revenue for the six months ended October 31, 2020 was primarily due to lower revenue derived from projects with Premier Oil and U.S. Navy.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revenues for the six months ended October 31, 2020 and 2019 were $0.6 million and $0.7 million, respectively. The decrease of $0.1 million in cost of revenue is due to more costs incurred on our Premier Oil and U.S. Navy projects in the prior year mostly offset by costs incurred on our EGP project in the current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Engineering and product development costs for the six months ended October 31, 2020 and 2019 were $2.3 million and $2.5 million, respectively. The decrease of approximately $0.2 million is the result of lower spending on new product development projects as compared to the same period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general and administrative costs for the six months ended October 31, 2020 and 2019 were $3.8 million and $3.5 million, respectively. The increase compared to the same period in the prior year is due mainly to higher employee related costs of $0.2 million and an increase in the estimated penalty payment of $0.2 million relating to the Spanish tax audit partly offset by lower spending on other general and administrative costs of $0.1 million.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Gain due to the change in fair value of warrant liabilities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 in fair value of warrant liabilities during the six months ended October 31, 2020 was zero versus an unrealized gain of $6,000 for the six months ended October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net during the six months ended October 31, 2020 was $20,000 as compared to $74,000 during the six months ended October 31, 2019. The decrease of $54,000 is due to a lower interest rate earned on investments in the six months ended October 31, 2020 as compared to the six months ended October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gain/(loss)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exchange gain during the six months ended October 31, 2020 was $10,000 compared to a foreign exchange loss of $4,000 during the six months ended October 31, 2019. The difference was attributable primarily to the relative change in value of the British pound sterling, Euro and Australian dollar compared to the US dollar during the two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cash requirements relate primarily to working capital needed to operate and grow our business including funding operating expenses. We have experienced and continue to experience negative cash flows from operations and net losses. The Company incurred net losses of $6.4 million and $6.2 million for the six months ended October 31, 2020 and 2019, respectively. Refer to “Liquidity Outlook” below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October 31, 2020, net cash flows used in operating activities was $5.7 million, a decrease of $0.7 million compared to net cash used by investing activities during the six months ended October 31, 2019. This decrease is mainly the result of lower cash spending on customer projects and product development costs in the six months ended October 31, 2020 as compared to the same period in the prior fiscal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during the six months ended October 31, 2020 was zero, a decrease of $41,000 compared to net cash used by investing activities during the six months ended October 31, 2019. The decrease in net cash used in investing activities was due to lower spending on the purchase of property, plant and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during the six months ended October 31, 2020 was approximately $10.7 million compared to net cash provided by financing activities during the six months ended October 31, 2019 of $0.7 million. The increase in net cash provided by financing activities during the six months ended October 31, 2020 is primarily due to more proceeds from capital raises of $8.7 million, $0.9 million received from the PPP loan and $0.4 million in a financing loan payable.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exchange rates on cash and cash equivalents was an increase of $27,000 in the six months ended October 31, 2020 and a decrease of $5,000 in the six months ended for October 31, 2019. The effect of exchange rates on cash and cash equivalents results primarily from gains or losses on consolidation of foreign subsidiaries and foreign denominated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financial statements have been prepared assuming we will continue as a going concern. We have experienced substantial and recurring losses from operations, which have contributed to an accumulated deficit of $226.5 million at October 31, 2020. As of October 31, 2020, based in part on our equity raises, the Company had approximately $15.8 million in cash, cash equivalents and restricted cash on hand. Based on the Company’s current cash, cash equivalents and restricted cash balances, and its ability to raise additional equity under facilities currently in place, the Company believes that it will be able to finance its capital requirements and operations for at least the next 12 months. Among other things, the Company is currently evaluating a variety of different financing alternatives and we expect to continue to fund our business with sales of our securities and through generating revenue with customers. These conditions raise substantial doubt about our ability to continue as a going concern.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We expect to devote substantial resources to continue our development efforts of our products and to expand our sales, marketing and manufacturing programs associated with the continued commercialization of the PowerBuoys®. Our future capital requirements will depend on a number of factors, including but not limited to:</w:t>
      </w:r>
    </w:p>
    <w:p>
      <w:pPr>
        <w:spacing w:after="0" w:line="184" w:lineRule="exact"/>
        <w:rPr>
          <w:sz w:val="20"/>
          <w:szCs w:val="20"/>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impact of COVID-19 pandemic on our business, operations, customers, suppliers and manufacturers;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ability to commercialize our products, and achieve and sustain profitability;</w:t>
      </w:r>
    </w:p>
    <w:p>
      <w:pPr>
        <w:spacing w:after="0" w:line="225" w:lineRule="exact"/>
        <w:rPr>
          <w:rFonts w:ascii="Arial" w:cs="Arial" w:eastAsia="Arial" w:hAnsi="Arial"/>
          <w:sz w:val="18"/>
          <w:szCs w:val="18"/>
          <w:color w:val="auto"/>
        </w:rPr>
      </w:pPr>
    </w:p>
    <w:p>
      <w:pPr>
        <w:ind w:left="1620" w:right="20" w:hanging="640"/>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620" w:hanging="640"/>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ability to develop and manufacture commercially viable products;</w:t>
      </w:r>
    </w:p>
    <w:p>
      <w:pPr>
        <w:spacing w:after="0" w:line="225" w:lineRule="exact"/>
        <w:rPr>
          <w:rFonts w:ascii="Arial" w:cs="Arial" w:eastAsia="Arial" w:hAnsi="Arial"/>
          <w:sz w:val="18"/>
          <w:szCs w:val="18"/>
          <w:color w:val="auto"/>
        </w:rPr>
      </w:pPr>
    </w:p>
    <w:p>
      <w:pPr>
        <w:ind w:left="1620" w:hanging="662"/>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develop and market new products and solutions, such as the subsea battery and Marine Surveillance Solutions;</w:t>
      </w:r>
    </w:p>
    <w:p>
      <w:pPr>
        <w:spacing w:after="0" w:line="170" w:lineRule="exact"/>
        <w:rPr>
          <w:rFonts w:ascii="Arial" w:cs="Arial" w:eastAsia="Arial" w:hAnsi="Arial"/>
          <w:sz w:val="18"/>
          <w:szCs w:val="18"/>
          <w:color w:val="auto"/>
        </w:rPr>
      </w:pPr>
    </w:p>
    <w:p>
      <w:pPr>
        <w:ind w:left="1620" w:hanging="640"/>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products or the timetable upon which commercialization can be achieved, if at all;</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and solutions;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products;</w:t>
      </w:r>
    </w:p>
    <w:p>
      <w:pPr>
        <w:spacing w:after="0" w:line="225" w:lineRule="exact"/>
        <w:rPr>
          <w:rFonts w:ascii="Arial" w:cs="Arial" w:eastAsia="Arial" w:hAnsi="Arial"/>
          <w:sz w:val="18"/>
          <w:szCs w:val="18"/>
          <w:color w:val="auto"/>
        </w:rPr>
      </w:pPr>
    </w:p>
    <w:p>
      <w:pPr>
        <w:ind w:left="1620" w:right="20" w:hanging="640"/>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relationships with our strategic partners may not be successful and we may not be successful in establishing additional relationships;</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reliability of our technology and our products and solutions;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products;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ability to raise capital through our current equity facilities;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jc w:val="both"/>
        <w:spacing w:after="0" w:line="287" w:lineRule="auto"/>
        <w:rPr>
          <w:sz w:val="20"/>
          <w:szCs w:val="20"/>
          <w:color w:val="auto"/>
        </w:rPr>
      </w:pPr>
      <w:r>
        <w:rPr>
          <w:rFonts w:ascii="Arial" w:cs="Arial" w:eastAsia="Arial" w:hAnsi="Arial"/>
          <w:sz w:val="16"/>
          <w:szCs w:val="16"/>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anticipate that our operating expenses will be approximately $14.0 million in fiscal 2021 including expected savings from cost reduction initiatives and engineering and product development spending of more than $6.9 million. We may choose to reduce our operating expenses through personnel reductions, and reductions in our research and development and other operating costs during the remainder of fiscal year 2021,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our common stock is delisted from Nasdaq, our ability to raise capital through public offerings of our securities and to finance our operations could be adversely affected. See additional risk factors under “Part II, Item 1A – Risk Factors”.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under the supervision and with the participation of our Chief Executive Officer and Chief Financial Officer, evaluated the effectiveness of the design and operation of our disclosure controls and procedures as of October 31, 2020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October 31, 2020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October 31, 2020 that has materially affected, or is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on matters in dispute, see Note 15 to the Consolidated Financial Statements in our Annual Report on Form10-K for the year ended April 30, 2020, and Note 15 to the Consolidated Financial Statements under Part I, Item 1 of this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2020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June 29,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have raised substantial doubts as to our ability to continue as a going concern.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financial statements have been prepared assuming we will continue as a going concern. Due to the significant product development costs associated with our business and operations, we have experienced substantial and recurring losses from operations, which have contributed to an accumulated deficit of $226.5 million as of October 31, 2020. As of October 31, 2020, based in part on our equity raises, the Company had approximately $15.8 million in cash, cash equivalents and restricted cash on hand. Based on the Company’s current cash, cash equivalents and restricted cash balances, and its ability to raise additional equity under facilities currently in place, the Company believes that it will be able to finance its capital requirements and operations for at least the next 12 months.</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continue to experience operating losses and currently have only two revenue producing contracts. During fiscal 2020, our net burn rate (cash used in operations less cash generated by operations) including engineering and product development spending was approximately $0.9 million per month.</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$14.0 million in fiscal 2021 including expected savings from cost reduction initiatives and engineering and product development spending of more than $6.9 million. However, we may choose to reduce our operating expenses through personnel reductions, and reductions in our research and development and other operating costs during fiscal year 2021,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of $6.4 million during the first six months of fiscal year 2021 and $10.4 million in fiscal year 2020. As of October 31, 2020, we had an accumulated deficit of $226.5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must continually improve existing products, design and sell new products and invest in research and development in order to compete effectively.</w:t>
      </w:r>
    </w:p>
    <w:p>
      <w:pPr>
        <w:spacing w:after="0" w:line="2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markets for our products are characterized by rapid technological change, evolving industry standards and continuous improvements in products. Due to constant changes in our markets, future success depends on our ability to develop new technologies, products, processes and product applications. New product development and commercialization efforts, including efforts to enter markets or product categories in which we have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w:t>
      </w:r>
    </w:p>
    <w:p>
      <w:pPr>
        <w:spacing w:after="0" w:line="17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Product and technological developments are accomplished primarily through internally-funded R&amp;D projects. Because it is not generally possible to predict the amount of time required and costs involved in achieving certain R&amp;D objectives, actual development costs may exceed budgeted amounts and estimated product development schedules may be extended. Our financial condition and results of operations may be materially and adversely affected if:</w:t>
      </w:r>
    </w:p>
    <w:p>
      <w:pPr>
        <w:spacing w:after="0" w:line="14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improvements are not completed on a timely basis;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products are not introduced on a timely basis or do not achieve sufficient market penetration;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budget overruns or delays in R&amp;D efforts;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products experience reliability or quality problems, or otherwise do not meet customer preferences or requirements.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scale and scope of the recent COVID-19 outbreak, the resulting pandemic, and the impact on the financial markets is unknown and could adversely affect the Company’s business, financial condition and results of operation at least for the near term.</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the beginning of January 2020, the COVID-19 outbreak has caused significant disruption in the financial markets both globally and in the U.S. As the U.S. faces the COVID-19 pandemic, we are following the recommendations of government and health authorities to minimize exposure risk for our employees. The rapid spread of COVID-19 globally also has resulted in increased travel restrictions and disruption and shutdown of certain businesses in the U.S. and abroad, including disruptions to our own business. We are closely monitoring this global health crisis and will reassess its strategy and operational activities on a regular, ongoing basis as the situation evolves.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changes in work protocols, as well as related pandemic fears, quarantines and market downturns, we may experience impacts from changes in customer behavior. Our business is dependent upon the willingness and ability of our customers to conduct transactions, as well as the ability of customers to meet existing payment or other obligations. The spread of COVID-19 has caused severe disruptions in the worldwide economy, which has in turn disrupted the business, activities, and operations of our business and operations, as well as that of our customers. For example, our employees have been unable to travel to Chile to perform final testing and assembly of our PB3 PowerBuoy® for EGP. Due to the COVID-19 pandemic, the Company declared force majeure in April 2020. Due to travel restrictions imposed by the U.S. and Chile the Company has delayed the deployment of its PB3 PowerBouy® in Chile from April 2020 to December 2020.</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COVID-19 were to continue to affect a significant amount of our workforce, we may experience delays or the inability to produce and deliver solutions to our customers on a timely basis. In addition, one or more of our customers, service providers or suppliers may experience financial distress, file for bankruptcy protection, go out of business, or suffer disruptions in their business due to the COVID-19 outbreak. As with EGP, travel restrictions due to COVID-19 may also prevent our employees from completing customer work. The global scale and scope of COVID-19 is unknown and the duration of the business disruption and related financial impact cannot be reasonably estimated at this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extent to which the coronavirus impacts our results will ultimately depend on future developments, which are highly uncertain, and will include emerging information concerning the severity of COVID-19 and the actions taken by governments and private businesses to attempt to contain COVID-19. However, we believe the coronavirus has and will continue to adversely affect our business, financial condition and results of operations at least for the near term.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24, 2019, we issued to Aspire Capital 194,805 shares of common stock as a commitment fee pursuant to the terms of a common stock purchase agreement dated October 24, 2019. As of September 18, 2020, we have sold 6,424,205 shares of common stock with an aggregate market value of $4.0 million at an average price of $0.63 per share pursuant to this agreement with Aspire Capital. This agreement was fully utilized and cancelled on September 18, 2020.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18, 2020, the Company entered into a new common stock purchase agreement with Aspire Capital. Through October 31, 2020, the Company has sold an aggregate of 500,000 shares of common stock with an aggregate market value of $0.6 million at an average price of $1.23 per share pursuant to this common stock purchase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share repurchases during the quarter: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Approximate</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Dollar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Total Number of</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Value of Shares</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Shares Purchased</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that May Yet Be</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Total Number of</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Average Price</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as Part of Publicly</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Purchased Under</w:t>
            </w:r>
          </w:p>
        </w:tc>
      </w:tr>
      <w:tr>
        <w:trPr>
          <w:trHeight w:val="237"/>
        </w:trPr>
        <w:tc>
          <w:tcPr>
            <w:tcW w:w="4740" w:type="dxa"/>
            <w:vAlign w:val="bottom"/>
            <w:gridSpan w:val="2"/>
          </w:tcPr>
          <w:p>
            <w:pPr>
              <w:ind w:left="2020"/>
              <w:spacing w:after="0"/>
              <w:rPr>
                <w:sz w:val="20"/>
                <w:szCs w:val="20"/>
                <w:color w:val="auto"/>
              </w:rPr>
            </w:pPr>
            <w:r>
              <w:rPr>
                <w:rFonts w:ascii="Arial" w:cs="Arial" w:eastAsia="Arial" w:hAnsi="Arial"/>
                <w:sz w:val="18"/>
                <w:szCs w:val="18"/>
                <w:color w:val="auto"/>
              </w:rPr>
              <w:t>Period</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Shares Purchased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Paid per Share</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Announced Plans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the Plan</w:t>
            </w:r>
          </w:p>
        </w:tc>
      </w:tr>
      <w:tr>
        <w:trPr>
          <w:trHeight w:val="216"/>
        </w:trPr>
        <w:tc>
          <w:tcPr>
            <w:tcW w:w="4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 August 31</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September 1 - September 30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 October 31</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EXHIBIT INDEX</w:t>
      </w:r>
    </w:p>
    <w:p>
      <w:pPr>
        <w:spacing w:after="0" w:line="229" w:lineRule="exact"/>
        <w:rPr>
          <w:sz w:val="20"/>
          <w:szCs w:val="20"/>
          <w:color w:val="auto"/>
        </w:rPr>
      </w:pPr>
    </w:p>
    <w:p>
      <w:pPr>
        <w:ind w:left="780" w:right="2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68">
        <w:r>
          <w:rPr>
            <w:rFonts w:ascii="Arial" w:cs="Arial" w:eastAsia="Arial" w:hAnsi="Arial"/>
            <w:sz w:val="18"/>
            <w:szCs w:val="18"/>
            <w:u w:val="single" w:color="auto"/>
            <w:color w:val="0000EE"/>
          </w:rPr>
          <w:t>Registration Rights Agreement, dated September 18, 2020 between Ocean Power Technologies, Inc. and Aspire Capital Fund, LLC</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(incorporated by reference from Exhibit 4.1 to the Company’s Current Report on Form 8-K filed on September 18, 2020).</w:t>
        </w:r>
      </w:hyperlink>
    </w:p>
    <w:p>
      <w:pPr>
        <w:spacing w:after="0" w:line="170" w:lineRule="exact"/>
        <w:rPr>
          <w:sz w:val="20"/>
          <w:szCs w:val="20"/>
          <w:color w:val="auto"/>
        </w:rPr>
      </w:pPr>
    </w:p>
    <w:p>
      <w:pPr>
        <w:ind w:left="780" w:hanging="768"/>
        <w:spacing w:after="0" w:line="308"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69">
        <w:r>
          <w:rPr>
            <w:rFonts w:ascii="Arial" w:cs="Arial" w:eastAsia="Arial" w:hAnsi="Arial"/>
            <w:sz w:val="17"/>
            <w:szCs w:val="17"/>
            <w:u w:val="single" w:color="auto"/>
            <w:color w:val="0000EE"/>
          </w:rPr>
          <w:t>Common Stock Purchase Agreement, dated September 18, 2020, between Ocean Power Technologies, Inc. and Aspire Capital Fund, LLC</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(incorporated by reference from Exhibit 10.1 to the Company’s Current Report on Form 8-K filed on September 18, 2020).</w:t>
        </w:r>
      </w:hyperlink>
    </w:p>
    <w:p>
      <w:pPr>
        <w:spacing w:after="0" w:line="146"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70">
        <w:r>
          <w:rPr>
            <w:rFonts w:ascii="Arial" w:cs="Arial" w:eastAsia="Arial" w:hAnsi="Arial"/>
            <w:sz w:val="16"/>
            <w:szCs w:val="16"/>
            <w:u w:val="single" w:color="auto"/>
            <w:color w:val="0000EE"/>
          </w:rPr>
          <w:t>Subcontract between Ocean Power Technologies, Inc. and Adams Communication &amp; Engineering Technology Inc. dated effective October 20,</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2020 (incorporated by reference from Exhibit 10.1 to the Company’s Current Report on Form 8-K filed on October 27, 2020).</w:t>
        </w:r>
      </w:hyperlink>
    </w:p>
    <w:p>
      <w:pPr>
        <w:spacing w:after="0" w:line="21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47">
        <w:r>
          <w:rPr>
            <w:rFonts w:ascii="Arial" w:cs="Arial" w:eastAsia="Arial" w:hAnsi="Arial"/>
            <w:sz w:val="16"/>
            <w:szCs w:val="16"/>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48">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 xml:space="preserve">* </w:t>
      </w:r>
      <w:hyperlink w:anchor="page49">
        <w:r>
          <w:rPr>
            <w:rFonts w:ascii="Arial" w:cs="Arial" w:eastAsia="Arial" w:hAnsi="Arial"/>
            <w:sz w:val="16"/>
            <w:szCs w:val="16"/>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 xml:space="preserve">* </w:t>
      </w:r>
      <w:hyperlink w:anchor="page50">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jc w:val="both"/>
        <w:ind w:left="780" w:hanging="772"/>
        <w:spacing w:after="0" w:line="273"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following financial information from Ocean Power Technologies, Inc.’s Quarterly Report on Form 10-Q for the quarter ended July 31, 2020, formatted in eXtensible Business Reporting Language (XBRL): (i) Consolidated Balance Sheets – October 31, 2020 (unaudited) and April 30, 2019, (ii) Consolidated Statements of Operations (unaudited) – three and six months ended October 31, 2020 and 2019, (iii) Consolidated Statements of Comprehensive Loss (unaudited) – three and six months ended October 31, 2020 and 2019, (iv) Consolidated Statement of Stockholders’ Equity (unaudited) – three and six months ended October 31, 2020 and 2019 (v) Consolidated Statements of Cash Flows (unaudited) –six months ended October 31, 2020 and 2019, (vi) Notes to Consolidated Financial Statements.**</w:t>
      </w:r>
    </w:p>
    <w:p>
      <w:pPr>
        <w:spacing w:after="0" w:line="177" w:lineRule="exact"/>
        <w:rPr>
          <w:rFonts w:ascii="Arial" w:cs="Arial" w:eastAsia="Arial" w:hAnsi="Arial"/>
          <w:sz w:val="17"/>
          <w:szCs w:val="17"/>
          <w:color w:val="auto"/>
        </w:rPr>
      </w:pPr>
    </w:p>
    <w:p>
      <w:pPr>
        <w:jc w:val="both"/>
        <w:ind w:left="780"/>
        <w:spacing w:after="0" w:line="263" w:lineRule="auto"/>
        <w:rPr>
          <w:rFonts w:ascii="Arial" w:cs="Arial" w:eastAsia="Arial" w:hAnsi="Arial"/>
          <w:sz w:val="17"/>
          <w:szCs w:val="17"/>
          <w:color w:val="auto"/>
        </w:rPr>
      </w:pPr>
      <w:r>
        <w:rPr>
          <w:rFonts w:ascii="Arial" w:cs="Arial" w:eastAsia="Arial" w:hAnsi="Arial"/>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3" w:lineRule="exact"/>
        <w:rPr>
          <w:rFonts w:ascii="Arial" w:cs="Arial" w:eastAsia="Arial" w:hAnsi="Arial"/>
          <w:sz w:val="17"/>
          <w:szCs w:val="17"/>
          <w:color w:val="auto"/>
        </w:rPr>
      </w:pPr>
    </w:p>
    <w:p>
      <w:pPr>
        <w:jc w:val="both"/>
        <w:ind w:left="780" w:hanging="3"/>
        <w:spacing w:after="0" w:line="263" w:lineRule="auto"/>
        <w:tabs>
          <w:tab w:leader="none" w:pos="10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2020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2020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u w:val="single" w:color="auto"/>
          <w:color w:val="auto"/>
        </w:rPr>
        <w:t>Ocean Power Technologies, Inc.</w:t>
      </w:r>
    </w:p>
    <w:p>
      <w:pPr>
        <w:spacing w:after="0" w:line="62" w:lineRule="exact"/>
        <w:rPr>
          <w:sz w:val="20"/>
          <w:szCs w:val="20"/>
          <w:color w:val="auto"/>
        </w:rPr>
      </w:pPr>
    </w:p>
    <w:p>
      <w:pPr>
        <w:jc w:val="center"/>
        <w:ind w:right="32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3515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3515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2">
            <w:col w:w="5900" w:space="60"/>
            <w:col w:w="5280"/>
          </w:cols>
          <w:pgMar w:left="320" w:top="661" w:right="33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III, certify that:</w:t>
      </w:r>
    </w:p>
    <w:p>
      <w:pPr>
        <w:spacing w:after="0" w:line="22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460" w:hanging="452"/>
        <w:spacing w:after="0" w:line="26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60" w:hanging="452"/>
        <w:spacing w:after="0" w:line="26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46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460" w:right="2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2020</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460" w:hanging="452"/>
        <w:spacing w:after="0" w:line="26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60" w:hanging="452"/>
        <w:spacing w:after="0" w:line="26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46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460" w:right="2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2020</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2020,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340" w:firstLine="8"/>
        <w:spacing w:after="0" w:line="500" w:lineRule="auto"/>
        <w:tabs>
          <w:tab w:leader="none" w:pos="4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7, 2020</w:t>
      </w:r>
    </w:p>
    <w:p>
      <w:pPr>
        <w:spacing w:after="0" w:line="2"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2020, as filed with the Securities and Exchange Commission on the date hereof (the “Report”), the undersigned, Matthew T. Shafer,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340" w:firstLine="8"/>
        <w:spacing w:after="0" w:line="500" w:lineRule="auto"/>
        <w:tabs>
          <w:tab w:leader="none" w:pos="4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7, 2020</w:t>
      </w:r>
    </w:p>
    <w:p>
      <w:pPr>
        <w:spacing w:after="0" w:line="2"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lvl w:ilvl="1">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01"/>
    </w:lvl>
    <w:lvl w:ilvl="1">
      <w:lvlJc w:val="left"/>
      <w:lvlText w:val="*"/>
      <w:numFmt w:val="bullet"/>
      <w:start w:val="1"/>
    </w:lvl>
  </w:abstractNum>
  <w:abstractNum w:abstractNumId="13">
    <w:nsid w:val="7C83E458"/>
    <w:multiLevelType w:val="hybridMultilevel"/>
    <w:lvl w:ilvl="0">
      <w:lvlJc w:val="left"/>
      <w:lvlText w:val="%1"/>
      <w:numFmt w:val="decimal"/>
      <w:start w:val="1"/>
    </w:lvl>
    <w:lvl w:ilvl="1">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68" Type="http://schemas.openxmlformats.org/officeDocument/2006/relationships/hyperlink" Target="https://www.sec.gov/Archives/edgar/data/1378140/000149315220018025/ex4-1.htm" TargetMode="External"/><Relationship Id="rId69" Type="http://schemas.openxmlformats.org/officeDocument/2006/relationships/hyperlink" Target="https://www.sec.gov/Archives/edgar/data/1378140/000149315220018025/ex10-1.htm" TargetMode="External"/><Relationship Id="rId70" Type="http://schemas.openxmlformats.org/officeDocument/2006/relationships/hyperlink" Target="https://www.sec.gov/Archives/edgar/data/1378140/00014931522001998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2020-12-07T15:04:08Z</dcterms:created>
  <dcterms:modified xsi:type="dcterms:W3CDTF">2020-12-07T15:04:08Z</dcterms:modified>
</cp:coreProperties>
</file>