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340" w:right="2300" w:hanging="332"/>
        <w:spacing w:after="0" w:line="516"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April 30, 2019</w:t>
      </w:r>
    </w:p>
    <w:p>
      <w:pPr>
        <w:sectPr>
          <w:pgSz w:w="11900" w:h="16838" w:orient="portrait"/>
          <w:cols w:equalWidth="0" w:num="1">
            <w:col w:w="11420"/>
          </w:cols>
          <w:pgMar w:left="240" w:top="747" w:right="239" w:bottom="0" w:gutter="0" w:footer="0" w:header="0"/>
        </w:sect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 w:lineRule="exact"/>
        <w:rPr>
          <w:sz w:val="24"/>
          <w:szCs w:val="24"/>
          <w:color w:val="auto"/>
        </w:rPr>
      </w:pPr>
      <w:r>
        <w:rPr>
          <w:sz w:val="24"/>
          <w:szCs w:val="24"/>
          <w:color w:val="auto"/>
        </w:rPr>
        <w:br w:type="column"/>
      </w:r>
    </w:p>
    <w:p>
      <w:pPr>
        <w:ind w:left="52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2880" w:val="left"/>
          <w:tab w:leader="none" w:pos="3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0" w:lineRule="exact"/>
        <w:rPr>
          <w:sz w:val="24"/>
          <w:szCs w:val="24"/>
          <w:color w:val="auto"/>
        </w:rPr>
      </w:pPr>
    </w:p>
    <w:p>
      <w:pPr>
        <w:sectPr>
          <w:pgSz w:w="11900" w:h="16838" w:orient="portrait"/>
          <w:cols w:equalWidth="0" w:num="2">
            <w:col w:w="220" w:space="120"/>
            <w:col w:w="11080"/>
          </w:cols>
          <w:pgMar w:left="240" w:top="747"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001-33417</w:t>
      </w:r>
    </w:p>
    <w:p>
      <w:pPr>
        <w:sectPr>
          <w:pgSz w:w="11900" w:h="16838" w:orient="portrait"/>
          <w:cols w:equalWidth="0" w:num="1">
            <w:col w:w="11420"/>
          </w:cols>
          <w:pgMar w:left="240" w:top="747"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236" w:lineRule="exact"/>
        <w:rPr>
          <w:sz w:val="24"/>
          <w:szCs w:val="24"/>
          <w:color w:val="auto"/>
        </w:rPr>
      </w:pPr>
    </w:p>
    <w:tbl>
      <w:tblPr>
        <w:tblLayout w:type="fixed"/>
        <w:tblInd w:w="1700" w:type="dxa"/>
        <w:tblCellMar>
          <w:top w:w="0" w:type="dxa"/>
          <w:left w:w="0" w:type="dxa"/>
          <w:bottom w:w="0" w:type="dxa"/>
          <w:right w:w="0" w:type="dxa"/>
        </w:tblCellMar>
      </w:tblPr>
      <w:tr>
        <w:trPr>
          <w:trHeight w:val="220"/>
        </w:trPr>
        <w:tc>
          <w:tcPr>
            <w:tcW w:w="424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4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22-2535818</w:t>
            </w:r>
          </w:p>
        </w:tc>
      </w:tr>
      <w:tr>
        <w:trPr>
          <w:trHeight w:val="216"/>
        </w:trPr>
        <w:tc>
          <w:tcPr>
            <w:tcW w:w="4240" w:type="dxa"/>
            <w:vAlign w:val="bottom"/>
          </w:tcPr>
          <w:p>
            <w:pPr>
              <w:jc w:val="center"/>
              <w:ind w:right="1930"/>
              <w:spacing w:after="0"/>
              <w:rPr>
                <w:sz w:val="20"/>
                <w:szCs w:val="20"/>
                <w:color w:val="auto"/>
              </w:rPr>
            </w:pPr>
            <w:r>
              <w:rPr>
                <w:rFonts w:ascii="Arial" w:cs="Arial" w:eastAsia="Arial" w:hAnsi="Arial"/>
                <w:sz w:val="18"/>
                <w:szCs w:val="18"/>
                <w:i w:val="1"/>
                <w:iCs w:val="1"/>
                <w:color w:val="auto"/>
                <w:w w:val="93"/>
              </w:rPr>
              <w:t>(State or other jurisdiction of</w:t>
            </w:r>
          </w:p>
        </w:tc>
        <w:tc>
          <w:tcPr>
            <w:tcW w:w="3340" w:type="dxa"/>
            <w:vAlign w:val="bottom"/>
          </w:tcPr>
          <w:p>
            <w:pPr>
              <w:jc w:val="center"/>
              <w:ind w:left="19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240" w:type="dxa"/>
            <w:vAlign w:val="bottom"/>
          </w:tcPr>
          <w:p>
            <w:pPr>
              <w:jc w:val="center"/>
              <w:ind w:right="1930"/>
              <w:spacing w:after="0"/>
              <w:rPr>
                <w:sz w:val="20"/>
                <w:szCs w:val="20"/>
                <w:color w:val="auto"/>
              </w:rPr>
            </w:pPr>
            <w:r>
              <w:rPr>
                <w:rFonts w:ascii="Arial" w:cs="Arial" w:eastAsia="Arial" w:hAnsi="Arial"/>
                <w:sz w:val="18"/>
                <w:szCs w:val="18"/>
                <w:i w:val="1"/>
                <w:iCs w:val="1"/>
                <w:color w:val="auto"/>
                <w:w w:val="94"/>
              </w:rPr>
              <w:t>incorporation or organization)</w:t>
            </w:r>
          </w:p>
        </w:tc>
        <w:tc>
          <w:tcPr>
            <w:tcW w:w="3340" w:type="dxa"/>
            <w:vAlign w:val="bottom"/>
          </w:tcPr>
          <w:p>
            <w:pPr>
              <w:jc w:val="center"/>
              <w:ind w:left="193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MONROE TOWNSHIP, NJ 08831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730-0400</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747" w:right="239" w:bottom="0" w:gutter="0" w:footer="0" w:header="0"/>
          <w:type w:val="continuous"/>
        </w:sectPr>
      </w:pPr>
    </w:p>
    <w:p>
      <w:pPr>
        <w:spacing w:after="0" w:line="22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Common Stock, par value $0.001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Name of Exchange on Which Registered</w:t>
      </w:r>
    </w:p>
    <w:p>
      <w:pPr>
        <w:spacing w:after="0" w:line="50"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The Nasdaq Capital Market</w:t>
      </w:r>
    </w:p>
    <w:p>
      <w:pPr>
        <w:spacing w:after="0" w:line="200" w:lineRule="exact"/>
        <w:rPr>
          <w:sz w:val="24"/>
          <w:szCs w:val="24"/>
          <w:color w:val="auto"/>
        </w:rPr>
      </w:pPr>
    </w:p>
    <w:p>
      <w:pPr>
        <w:sectPr>
          <w:pgSz w:w="11900" w:h="16838" w:orient="portrait"/>
          <w:cols w:equalWidth="0" w:num="2">
            <w:col w:w="6360" w:space="720"/>
            <w:col w:w="4340"/>
          </w:cols>
          <w:pgMar w:left="240" w:top="747"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1" w:lineRule="exact"/>
        <w:rPr>
          <w:sz w:val="24"/>
          <w:szCs w:val="24"/>
          <w:color w:val="auto"/>
        </w:rPr>
      </w:pPr>
    </w:p>
    <w:p>
      <w:pPr>
        <w:spacing w:after="0"/>
        <w:tabs>
          <w:tab w:leader="none" w:pos="2720" w:val="left"/>
          <w:tab w:leader="none" w:pos="5480" w:val="left"/>
          <w:tab w:leader="none" w:pos="822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 ]</w:t>
      </w:r>
      <w:r>
        <w:rPr>
          <w:sz w:val="20"/>
          <w:szCs w:val="20"/>
          <w:color w:val="auto"/>
        </w:rPr>
        <w:tab/>
      </w:r>
      <w:r>
        <w:rPr>
          <w:rFonts w:ascii="Arial" w:cs="Arial" w:eastAsia="Arial" w:hAnsi="Arial"/>
          <w:sz w:val="18"/>
          <w:szCs w:val="18"/>
          <w:color w:val="auto"/>
        </w:rPr>
        <w:t>Non-accelerated filer [ ]</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2018, the last business day of the registrant’s most recently completed second fiscal quarter, was $9.5 million based on the closing sale price of the registrant’s common stock on that date as reported on the Nasdaq Capital Market.</w:t>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registrant’s common stock as of July 15, 2019 was 5,771,747.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40" w:type="dxa"/>
            <w:vAlign w:val="bottom"/>
            <w:gridSpan w:val="9"/>
          </w:tcPr>
          <w:p>
            <w:pPr>
              <w:jc w:val="center"/>
              <w:ind w:right="3080"/>
              <w:spacing w:after="0"/>
              <w:rPr>
                <w:sz w:val="20"/>
                <w:szCs w:val="20"/>
                <w:color w:val="auto"/>
              </w:rPr>
            </w:pPr>
            <w:r>
              <w:rPr>
                <w:rFonts w:ascii="Arial" w:cs="Arial" w:eastAsia="Arial" w:hAnsi="Arial"/>
                <w:sz w:val="18"/>
                <w:szCs w:val="18"/>
                <w:b w:val="1"/>
                <w:bCs w:val="1"/>
                <w:color w:val="auto"/>
              </w:rPr>
              <w:t>OCEAN POWER TECHNOLOGIES,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gridSpan w:val="8"/>
          </w:tcPr>
          <w:p>
            <w:pPr>
              <w:jc w:val="center"/>
              <w:ind w:right="3540"/>
              <w:spacing w:after="0"/>
              <w:rPr>
                <w:sz w:val="20"/>
                <w:szCs w:val="20"/>
                <w:color w:val="auto"/>
              </w:rPr>
            </w:pPr>
            <w:r>
              <w:rPr>
                <w:rFonts w:ascii="Arial" w:cs="Arial" w:eastAsia="Arial" w:hAnsi="Arial"/>
                <w:sz w:val="18"/>
                <w:szCs w:val="18"/>
                <w:b w:val="1"/>
                <w:bCs w:val="1"/>
                <w:color w:val="auto"/>
                <w:w w:val="99"/>
              </w:rPr>
              <w:t>ANNUAL REPORT ON FORM 10-K</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934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2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902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940" w:type="dxa"/>
            <w:vAlign w:val="bottom"/>
            <w:gridSpan w:val="2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92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2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23"/>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94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940" w:type="dxa"/>
            <w:vAlign w:val="bottom"/>
            <w:gridSpan w:val="2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Selected Financial Data</w:t>
              </w:r>
            </w:hyperlink>
          </w:p>
        </w:tc>
        <w:tc>
          <w:tcPr>
            <w:tcW w:w="82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940" w:type="dxa"/>
            <w:vAlign w:val="bottom"/>
            <w:gridSpan w:val="2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940" w:type="dxa"/>
            <w:vAlign w:val="bottom"/>
            <w:gridSpan w:val="23"/>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55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940" w:type="dxa"/>
            <w:vAlign w:val="bottom"/>
            <w:gridSpan w:val="23"/>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46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940" w:type="dxa"/>
            <w:vAlign w:val="bottom"/>
            <w:gridSpan w:val="23"/>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III</w:t>
              </w:r>
            </w:hyperlink>
          </w:p>
        </w:tc>
        <w:tc>
          <w:tcPr>
            <w:tcW w:w="92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940" w:type="dxa"/>
            <w:vAlign w:val="bottom"/>
            <w:gridSpan w:val="2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940" w:type="dxa"/>
            <w:vAlign w:val="bottom"/>
            <w:gridSpan w:val="23"/>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940" w:type="dxa"/>
            <w:vAlign w:val="bottom"/>
            <w:gridSpan w:val="23"/>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Certain Relationships and Related Transactions, and Director Independence</w:t>
              </w:r>
            </w:hyperlink>
          </w:p>
        </w:tc>
        <w:tc>
          <w:tcPr>
            <w:tcW w:w="44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940" w:type="dxa"/>
            <w:vAlign w:val="bottom"/>
            <w:gridSpan w:val="23"/>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940" w:type="dxa"/>
            <w:vAlign w:val="bottom"/>
            <w:gridSpan w:val="23"/>
          </w:tcPr>
          <w:p>
            <w:pPr>
              <w:spacing w:after="0" w:line="17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940" w:type="dxa"/>
            <w:vAlign w:val="bottom"/>
            <w:gridSpan w:val="23"/>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 Financial Statement Schedules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annual report are the property of their respective 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78"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3"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fiscal year ends on April 30. References to fiscal 2019 are to the fiscal year ended April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Reverse Stock Split</w:t>
      </w:r>
    </w:p>
    <w:p>
      <w:pPr>
        <w:spacing w:after="0" w:line="225"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At the special meeting of our stockholders on March 8, 2019, our stockholders approved a proposal to amend our Certificate of Incorporation to affect a reverse split of our common stock at a ratio to be determined by the Company’s Board of Directors within a specific range. After the special meeting of stockholders, the Company’s Board of Directors convened and decided to initiate the reverse split, chose a ratio, and directed management to take the necessary steps to effectuate the reverse split as soon as possible. Pursuant to the direction of the Board, the Company filed a Certificate of Amendment to our Certificate of Incorporation to affect a one-for-twenty reverse stock split of our common stock (the “Reverse Stock Split”). As of the close of markets on March 11, 2019, the effective date of the Reverse Stock Split, every twenty shares of issued and outstanding common stock were combined into one issued and outstanding share of common stock, without any change in the par value per share. Any fractional shares in connection with the Reverse Stock Split were rounded up to the nearest whole share and no cash payments were made to stockholders in lieu of fractional shares. The common stock began trading on a reverse stock split-adjusted basis on the Nasdaq Stock Market (“Nasdaq”) on March 12, 2019. All share and per share data included in this annual report has been retroactively restated to reflect the Reverse Stock Split.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products, may have the ability to save costs over these current systems. Equally important are increases in available power may allow for better sensors, faster data sampling and higher frequency communication intervals up to real-time which could improve scientific and economic returns.</w:t>
      </w:r>
    </w:p>
    <w:p>
      <w:pPr>
        <w:spacing w:after="0" w:line="16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Founded in 1984 and headquartered in Monroe Township,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 In November 2018 the Company announced additional complementary products, the hybrid PowerBuoy® and subsea battery solutions which leverage our existing expertise in offshore power systems while expanding our product line beyond our flagship PB3 PowerBuoy® offering.</w:t>
      </w:r>
    </w:p>
    <w:p>
      <w:pPr>
        <w:spacing w:after="0" w:line="158"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The PB3 PowerBuoy®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78"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73"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Based on our market research and publicly available data, we believe that numerous markets have a direct need for our PowerBuoy® including oil and gas, defense and security, science and research, and communications. Depending on payload power requirements, sensor types and other considerations, we have found that our PowerBuoy® could satisfy several application requirements within these markets. We believe that the PB3 consistently generates sufficient power to meet the requirements of many potential customer applications within our target markets.</w:t>
      </w:r>
    </w:p>
    <w:p>
      <w:pPr>
        <w:spacing w:after="0" w:line="171"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2018 we continued work on projects with the U.S. Department of Defense (“DOD”), Mitsui Engineering and Shipbuilding Co., Ltd. (“MES”), and commenced work with Premier Oil (“PMO”) and Eni S.p.A. (“Eni”). During fiscal 2019 we continued work with PMO and Eni and commenced work with Enel Green Power (“EGP”), the U.S. Navy Small Business Innovation Research (“U.S. SBIR”) program, and a leading oil &amp; gas operator.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both"/>
        <w:ind w:firstLine="495"/>
        <w:spacing w:after="0" w:line="291" w:lineRule="auto"/>
        <w:rPr>
          <w:sz w:val="20"/>
          <w:szCs w:val="20"/>
          <w:color w:val="auto"/>
        </w:rPr>
      </w:pPr>
      <w:r>
        <w:rPr>
          <w:rFonts w:ascii="Arial" w:cs="Arial" w:eastAsia="Arial" w:hAnsi="Arial"/>
          <w:sz w:val="16"/>
          <w:szCs w:val="16"/>
          <w:color w:val="auto"/>
        </w:rPr>
        <w:t>We were incorporated under the laws of the State of New Jersey in April 1984 and began commercial operations in 1994. On April 23, 2007, we reincorporated in Delaware. Our principal executive offices are located at 28 Engelhard Drive, Suite B, Monroe Township, New Jersey 08831, and our telephone number is (609) 730-0400. Our website address is www.oceanpowertechnologies.com. We make available free of charge on our website our Annual Reports on Form 10-K, Quarterly Reports on Form 10-Q, Current Reports on Form 8-K and all amendments to those reports as soon as reasonably practicable after such material is filed electronically with the SEC. The information on our website is not a part of this Annual Report. Our common stock has been listed on Nasdaq since April 24, 2007, and since July 2015, our common stock has been listed on the Nasdaq Capital Market. Our fiscal year begins on May 1 and ends on April 30. When we refer to a particular fiscal year, we are referring to the fiscal year ending on April 30 of that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are commercializing our PB3 PowerBuoy® by targeting customers principally in four markets that require reliable and persistent power sources in remote offshore locations (as discussed in further detail below). We believe that our wave energy products and services, and our existing commercial relationships provide the following competitive advantages in our target markets.</w:t>
      </w:r>
    </w:p>
    <w:p>
      <w:pPr>
        <w:spacing w:after="0" w:line="181" w:lineRule="exact"/>
        <w:rPr>
          <w:sz w:val="20"/>
          <w:szCs w:val="20"/>
          <w:color w:val="auto"/>
        </w:rPr>
      </w:pPr>
    </w:p>
    <w:p>
      <w:pPr>
        <w:jc w:val="both"/>
        <w:ind w:left="460" w:hanging="452"/>
        <w:spacing w:after="0" w:line="264"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Numerous applications within multiple, major market segments. </w:t>
      </w:r>
      <w:r>
        <w:rPr>
          <w:rFonts w:ascii="Arial" w:cs="Arial" w:eastAsia="Arial" w:hAnsi="Arial"/>
          <w:sz w:val="18"/>
          <w:szCs w:val="18"/>
          <w:color w:val="auto"/>
        </w:rPr>
        <w:t>We have designed our PB3 PowerBuoy® to address multiple offshore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 In particular, we are targeting customers with multiple applications within the oil and gas, defense and security, science and research, and communications markets.</w:t>
      </w:r>
    </w:p>
    <w:p>
      <w:pPr>
        <w:spacing w:after="0" w:line="181" w:lineRule="exact"/>
        <w:rPr>
          <w:rFonts w:ascii="Arial" w:cs="Arial" w:eastAsia="Arial" w:hAnsi="Arial"/>
          <w:sz w:val="18"/>
          <w:szCs w:val="18"/>
          <w:i w:val="1"/>
          <w:iCs w:val="1"/>
          <w:color w:val="auto"/>
        </w:rPr>
      </w:pPr>
    </w:p>
    <w:p>
      <w:pPr>
        <w:jc w:val="both"/>
        <w:ind w:left="460" w:hanging="452"/>
        <w:spacing w:after="0" w:line="259"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Considerable life-cycle cost savings over current solutions for many applications. </w:t>
      </w:r>
      <w:r>
        <w:rPr>
          <w:rFonts w:ascii="Arial" w:cs="Arial" w:eastAsia="Arial" w:hAnsi="Arial"/>
          <w:sz w:val="18"/>
          <w:szCs w:val="18"/>
          <w:color w:val="auto"/>
        </w:rPr>
        <w:t>Our PB3 PowerBuoy® is designed to operate over extended intervals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required servicing, compared to several current solutions which we found to require more servicing using offshore vessels. We believe that our PB3 PowerBuoy® reduces costs over multi-year operations compared with current solutions. These cost reductions are mostly due to reduced vessel and personnel servicing activities.</w:t>
      </w:r>
    </w:p>
    <w:p>
      <w:pPr>
        <w:spacing w:after="0" w:line="186" w:lineRule="exact"/>
        <w:rPr>
          <w:rFonts w:ascii="Arial" w:cs="Arial" w:eastAsia="Arial" w:hAnsi="Arial"/>
          <w:sz w:val="18"/>
          <w:szCs w:val="18"/>
          <w:i w:val="1"/>
          <w:iCs w:val="1"/>
          <w:color w:val="auto"/>
        </w:rPr>
      </w:pPr>
    </w:p>
    <w:p>
      <w:pPr>
        <w:jc w:val="both"/>
        <w:ind w:left="460" w:hanging="452"/>
        <w:spacing w:after="0" w:line="276" w:lineRule="auto"/>
        <w:tabs>
          <w:tab w:leader="none" w:pos="4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Real-time data communications. </w:t>
      </w:r>
      <w:r>
        <w:rPr>
          <w:rFonts w:ascii="Arial" w:cs="Arial" w:eastAsia="Arial" w:hAnsi="Arial"/>
          <w:sz w:val="17"/>
          <w:szCs w:val="17"/>
          <w:color w:val="auto"/>
        </w:rPr>
        <w:t>Some current solutions with less available power than our PowerBuoy® may have limited communication capabilities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or may be able to communicate data only over shorter periods due to power limitations. Some current solutions may only make data accessible upon physical retrieval of the sensor. Our PowerBuoy® can be equipped with a variety of communications equipment, such as 4G LTE, satellite (VSAT) and Wi-Fi, which enables the transmission of data on a more frequent basis. We believe that more frequent data communication could enable an end-user to more quickly and proactively make data-driven decisions which could result in economic advantages.</w:t>
      </w:r>
    </w:p>
    <w:p>
      <w:pPr>
        <w:spacing w:after="0" w:line="172" w:lineRule="exact"/>
        <w:rPr>
          <w:rFonts w:ascii="Arial" w:cs="Arial" w:eastAsia="Arial" w:hAnsi="Arial"/>
          <w:sz w:val="17"/>
          <w:szCs w:val="17"/>
          <w:i w:val="1"/>
          <w:iCs w:val="1"/>
          <w:color w:val="auto"/>
        </w:rPr>
      </w:pPr>
    </w:p>
    <w:p>
      <w:pPr>
        <w:jc w:val="both"/>
        <w:ind w:left="460" w:hanging="452"/>
        <w:spacing w:after="0" w:line="257"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power and persistence compared to certain current solutions</w:t>
      </w:r>
      <w:r>
        <w:rPr>
          <w:rFonts w:ascii="Arial" w:cs="Arial" w:eastAsia="Arial" w:hAnsi="Arial"/>
          <w:sz w:val="18"/>
          <w:szCs w:val="18"/>
          <w:color w:val="auto"/>
        </w:rPr>
        <w:t>. We have found that our PowerBuoy® may provide substantially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and persistence than certain existing battery and solar powered systems. We believe that this may allow additional sensors to be employed at the same site, a higher sensor data transmission rate to be achieved, extended operation and reduced downtime, and improved operational costs for the customer. Enabling these new capabilities may contribute to enhanced operations through real-time decision making and increased life-cycle cost savings.</w:t>
      </w:r>
    </w:p>
    <w:p>
      <w:pPr>
        <w:spacing w:after="0" w:line="188" w:lineRule="exact"/>
        <w:rPr>
          <w:rFonts w:ascii="Arial" w:cs="Arial" w:eastAsia="Arial" w:hAnsi="Arial"/>
          <w:sz w:val="18"/>
          <w:szCs w:val="18"/>
          <w:i w:val="1"/>
          <w:iCs w:val="1"/>
          <w:color w:val="auto"/>
        </w:rPr>
      </w:pPr>
    </w:p>
    <w:p>
      <w:pPr>
        <w:jc w:val="both"/>
        <w:ind w:left="460" w:hanging="452"/>
        <w:spacing w:after="0" w:line="259"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Standard transportation and deployment. </w:t>
      </w:r>
      <w:r>
        <w:rPr>
          <w:rFonts w:ascii="Arial" w:cs="Arial" w:eastAsia="Arial" w:hAnsi="Arial"/>
          <w:sz w:val="18"/>
          <w:szCs w:val="18"/>
          <w:color w:val="auto"/>
        </w:rPr>
        <w:t>Our PB3 PowerBuoy® does not require special handling or transportation, and instead uses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handling methods that are economical and readily available in standard marine operations. This may result in lower global transportation and deployment costs than current solutions. Our PB3 PowerBuoy® can be deployed using conventional vessels and conventional marine cranes and lifts.</w:t>
      </w:r>
    </w:p>
    <w:p>
      <w:pPr>
        <w:spacing w:after="0" w:line="186" w:lineRule="exact"/>
        <w:rPr>
          <w:rFonts w:ascii="Arial" w:cs="Arial" w:eastAsia="Arial" w:hAnsi="Arial"/>
          <w:sz w:val="18"/>
          <w:szCs w:val="18"/>
          <w:i w:val="1"/>
          <w:iCs w:val="1"/>
          <w:color w:val="auto"/>
        </w:rPr>
      </w:pPr>
    </w:p>
    <w:p>
      <w:pPr>
        <w:jc w:val="both"/>
        <w:ind w:left="460" w:hanging="452"/>
        <w:spacing w:after="0" w:line="279" w:lineRule="auto"/>
        <w:tabs>
          <w:tab w:leader="none" w:pos="4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Modular and scalable designs. </w:t>
      </w:r>
      <w:r>
        <w:rPr>
          <w:rFonts w:ascii="Arial" w:cs="Arial" w:eastAsia="Arial" w:hAnsi="Arial"/>
          <w:sz w:val="17"/>
          <w:szCs w:val="17"/>
          <w:color w:val="auto"/>
        </w:rPr>
        <w:t>Our PB3 PowerBuoy® is designed with a modular ESS which allows us to tailor its configuration to specific application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including expansion of energy storage capacity, potentially allowing for a more customized solution and potential cost savings for our customers. We believe that our PowerBuoy® is scalable to higher power levels, and multiple PowerBuoys® may also be installed in an array in order to achieve higher levels of aggregate power, although we have not yet demonstrated a PowerBuoy® array.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ind w:left="460" w:hanging="452"/>
        <w:spacing w:after="0" w:line="264"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Flexible electrical, mechanical and communication interfaces for sensors. </w:t>
      </w:r>
      <w:r>
        <w:rPr>
          <w:rFonts w:ascii="Arial" w:cs="Arial" w:eastAsia="Arial" w:hAnsi="Arial"/>
          <w:sz w:val="18"/>
          <w:szCs w:val="18"/>
          <w:color w:val="auto"/>
        </w:rPr>
        <w:t>The PB3 PowerBuoy® can be equipped with payloads, either mounted on or</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PowerBuoy®, or tethered to the PowerBuoy®. The PB3 PowerBuoy® has mechanical and electrical interfaces which allow for simplified integration of payloads, creating flexibility for the end-user.</w:t>
      </w:r>
    </w:p>
    <w:p>
      <w:pPr>
        <w:spacing w:after="0" w:line="181" w:lineRule="exact"/>
        <w:rPr>
          <w:rFonts w:ascii="Arial" w:cs="Arial" w:eastAsia="Arial" w:hAnsi="Arial"/>
          <w:sz w:val="18"/>
          <w:szCs w:val="18"/>
          <w:i w:val="1"/>
          <w:iCs w:val="1"/>
          <w:color w:val="auto"/>
        </w:rPr>
      </w:pPr>
    </w:p>
    <w:p>
      <w:pPr>
        <w:jc w:val="both"/>
        <w:ind w:left="46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Environmentally benign and aesthetically non-intrusive system design. </w:t>
      </w:r>
      <w:r>
        <w:rPr>
          <w:rFonts w:ascii="Arial" w:cs="Arial" w:eastAsia="Arial" w:hAnsi="Arial"/>
          <w:sz w:val="18"/>
          <w:szCs w:val="18"/>
          <w:color w:val="auto"/>
        </w:rPr>
        <w:t>We believe that our PB3 PowerBuoy® does not present significant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marine life, or emit significant levels of pollutants, and therefore has minimal environmental impact as compared to some other current solutions. We believe there is no significant audible impact and our system does not have a negative effect on marine life, as validated by the U.S. Navy and Department of Energy (“DOE”).</w:t>
      </w:r>
    </w:p>
    <w:p>
      <w:pPr>
        <w:spacing w:after="0" w:line="186" w:lineRule="exact"/>
        <w:rPr>
          <w:rFonts w:ascii="Arial" w:cs="Arial" w:eastAsia="Arial" w:hAnsi="Arial"/>
          <w:sz w:val="18"/>
          <w:szCs w:val="18"/>
          <w:i w:val="1"/>
          <w:iCs w:val="1"/>
          <w:color w:val="auto"/>
        </w:rPr>
      </w:pPr>
    </w:p>
    <w:p>
      <w:pPr>
        <w:jc w:val="both"/>
        <w:ind w:left="460" w:hanging="452"/>
        <w:spacing w:after="0" w:line="288"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Ocean and factory-tested technology. </w:t>
      </w:r>
      <w:r>
        <w:rPr>
          <w:rFonts w:ascii="Arial" w:cs="Arial" w:eastAsia="Arial" w:hAnsi="Arial"/>
          <w:sz w:val="16"/>
          <w:szCs w:val="16"/>
          <w:color w:val="auto"/>
        </w:rPr>
        <w:t>Our PB3 PowerBuoy® is designed to be durable, with a three-year interval between required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The PB3 has survived hurricanes and tropical storms during harsh sea conditions. Since 1997 we have conducted ocean tests to demonstrate the viability of our technology. In 2011, we conducted multiple ocean tests of the predecessor PB3 PowerBuoy® under a contract with the U.S. Navy. More recently, we conducted multiple ocean tests of our current generation PB3 PowerBuoy®. Commercial versions of the PB3 have been successfully deployed for MES and Eni. The MES PB3 PowerBuoy® performed well in a challenging shallow-water, high-current environment, and achieved its performance and duration objectives. The Eni PB3 PowerBuoy® deployed in the Adriatic Sea has been in the water for over seven months (as of June 2019) and has generated over one megawatt-hour of energy. In 2015, we instituted factory-based PTO-accelerated life testing which simulates continuous operations under extremely harsh conditions. During the 2018 fiscal year, we also implemented additional features to the PB3 PowerBuoy® design to accommodate heavy top-side payloads and seafloor-based payloads. Further, we continue to focus on standardizing manufacturing and production testing procedures and to work closely with our supply base to ensure production repeatability.</w:t>
      </w:r>
    </w:p>
    <w:p>
      <w:pPr>
        <w:spacing w:after="0" w:line="169" w:lineRule="exact"/>
        <w:rPr>
          <w:rFonts w:ascii="Arial" w:cs="Arial" w:eastAsia="Arial" w:hAnsi="Arial"/>
          <w:sz w:val="16"/>
          <w:szCs w:val="16"/>
          <w:i w:val="1"/>
          <w:iCs w:val="1"/>
          <w:color w:val="auto"/>
        </w:rPr>
      </w:pPr>
    </w:p>
    <w:p>
      <w:pPr>
        <w:jc w:val="both"/>
        <w:ind w:left="460" w:hanging="452"/>
        <w:spacing w:after="0" w:line="297"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Efficient design in harnessing wave energy. </w:t>
      </w:r>
      <w:r>
        <w:rPr>
          <w:rFonts w:ascii="Arial" w:cs="Arial" w:eastAsia="Arial" w:hAnsi="Arial"/>
          <w:sz w:val="16"/>
          <w:szCs w:val="16"/>
          <w:color w:val="auto"/>
        </w:rPr>
        <w:t>We have designed and validated our PB3 PowerBuoy® for maximized power generation in average ocean</w:t>
      </w:r>
      <w:r>
        <w:rPr>
          <w:rFonts w:ascii="Arial" w:cs="Arial" w:eastAsia="Arial" w:hAnsi="Arial"/>
          <w:sz w:val="16"/>
          <w:szCs w:val="16"/>
          <w:i w:val="1"/>
          <w:iCs w:val="1"/>
          <w:color w:val="auto"/>
        </w:rPr>
        <w:t xml:space="preserve"> </w:t>
      </w:r>
      <w:r>
        <w:rPr>
          <w:rFonts w:ascii="Arial" w:cs="Arial" w:eastAsia="Arial" w:hAnsi="Arial"/>
          <w:sz w:val="16"/>
          <w:szCs w:val="16"/>
          <w:color w:val="auto"/>
        </w:rPr>
        <w:t>wave conditions through optimized mechanical to electrical wave energy conversion. We have designed the onboard ESS to provide several days of continuous rated power during periods of low or no wave activity, depending on payload power consumption. The PB3 PowerBuoy® is equipped with a variety of communication capabilities including satellite, cellular, and Wi-Fi that are capable of transmitting payload data in real time (e.g., sensors or equipment that require power and communications capabilities), subject to the limits of the service provider.</w:t>
      </w:r>
    </w:p>
    <w:p>
      <w:pPr>
        <w:spacing w:after="0" w:line="158" w:lineRule="exact"/>
        <w:rPr>
          <w:rFonts w:ascii="Arial" w:cs="Arial" w:eastAsia="Arial" w:hAnsi="Arial"/>
          <w:sz w:val="16"/>
          <w:szCs w:val="16"/>
          <w:i w:val="1"/>
          <w:iCs w:val="1"/>
          <w:color w:val="auto"/>
        </w:rPr>
      </w:pPr>
    </w:p>
    <w:p>
      <w:pPr>
        <w:jc w:val="both"/>
        <w:ind w:left="460" w:hanging="452"/>
        <w:spacing w:after="0" w:line="291"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Prior commercial relationships enabled the development of our technology. </w:t>
      </w:r>
      <w:r>
        <w:rPr>
          <w:rFonts w:ascii="Arial" w:cs="Arial" w:eastAsia="Arial" w:hAnsi="Arial"/>
          <w:sz w:val="16"/>
          <w:szCs w:val="16"/>
          <w:color w:val="auto"/>
        </w:rPr>
        <w:t>Our prior and existing relationships with the U.S. Navy, DOE, U.S.</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Homeland Security, MES, Eni and PMO have allowed us to develop our PB3 PowerBuoy® for a variety of needs in various industries. We believe these relationships have helped position us within the private sector in support of commercialization, which we believe enhances our market visibility and attractiveness to our prospective customers. For example, in 2011 our PowerBuoy® provided persistent power to an integrated radar and sonar system, significantly extending the U.S. Navy’s surveillance range. We have also demonstrated persistent maritime vessel detection with the U.S. Department of Homeland Security by integrating a hydrophone onto our PowerBuoy® and demonstrating enhanced maritime traffic detection. In each instance, the resulting data have informed our next round of design iterations to improve critical operations and reliability.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To achieve this goal, we are pursuing the following business objectives:</w:t>
      </w:r>
    </w:p>
    <w:p>
      <w:pPr>
        <w:spacing w:after="0" w:line="170" w:lineRule="exact"/>
        <w:rPr>
          <w:sz w:val="20"/>
          <w:szCs w:val="20"/>
          <w:color w:val="auto"/>
        </w:rPr>
      </w:pPr>
    </w:p>
    <w:p>
      <w:pPr>
        <w:jc w:val="both"/>
        <w:ind w:left="580" w:hanging="450"/>
        <w:spacing w:after="0" w:line="255" w:lineRule="auto"/>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the PB3 PowerBuoy®. </w:t>
      </w:r>
      <w:r>
        <w:rPr>
          <w:rFonts w:ascii="Arial" w:cs="Arial" w:eastAsia="Arial" w:hAnsi="Arial"/>
          <w:sz w:val="18"/>
          <w:szCs w:val="18"/>
          <w:color w:val="auto"/>
        </w:rPr>
        <w:t>We believe our PB3 PowerBuoy® is well-suited for many remote offshore applications.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investigated potential market demand for both PowerBuoy® sales and leases within our selected markets, and we intend to sell and lease the PB3 PowerBuoy® to these markets. Additionally, we intend to provide services associated with product sales and leases such as maintenance, remote monitoring and diagnostic, application engineering, planning, training, and logistics support required for the PB3 PowerBuoy® life-cycle. We continue to increase our commercial capabilities through new hires in marketing, sales, and application support, and through engagement of expert market consultants in various geographies.</w:t>
      </w:r>
    </w:p>
    <w:p>
      <w:pPr>
        <w:spacing w:after="0" w:line="193" w:lineRule="exact"/>
        <w:rPr>
          <w:rFonts w:ascii="Arial" w:cs="Arial" w:eastAsia="Arial" w:hAnsi="Arial"/>
          <w:sz w:val="18"/>
          <w:szCs w:val="18"/>
          <w:i w:val="1"/>
          <w:iCs w:val="1"/>
          <w:color w:val="auto"/>
        </w:rPr>
      </w:pPr>
    </w:p>
    <w:p>
      <w:pPr>
        <w:jc w:val="both"/>
        <w:ind w:left="580" w:hanging="450"/>
        <w:spacing w:after="0" w:line="287"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product offerings by adding new complimentary products that are cost efficient and designed for shorter and faster deployments, which will create a system solutions approach for our customers. </w:t>
      </w:r>
      <w:r>
        <w:rPr>
          <w:rFonts w:ascii="Arial" w:cs="Arial" w:eastAsia="Arial" w:hAnsi="Arial"/>
          <w:sz w:val="16"/>
          <w:szCs w:val="16"/>
          <w:color w:val="auto"/>
        </w:rPr>
        <w:t>We are currently developing two new complementary products to our PB3 PowerBuoy®, the</w:t>
      </w:r>
      <w:r>
        <w:rPr>
          <w:rFonts w:ascii="Arial" w:cs="Arial" w:eastAsia="Arial" w:hAnsi="Arial"/>
          <w:sz w:val="16"/>
          <w:szCs w:val="16"/>
          <w:i w:val="1"/>
          <w:iCs w:val="1"/>
          <w:color w:val="auto"/>
        </w:rPr>
        <w:t xml:space="preserve"> </w:t>
      </w:r>
      <w:r>
        <w:rPr>
          <w:rFonts w:ascii="Arial" w:cs="Arial" w:eastAsia="Arial" w:hAnsi="Arial"/>
          <w:sz w:val="16"/>
          <w:szCs w:val="16"/>
          <w:color w:val="auto"/>
        </w:rPr>
        <w:t>hybrid PowerBuoy® and subsea battery solutions. These products build on our existing expertise in offshore power systems and are targeted for a near term deployment. The hybrid PowerBuoy® is to be highly complementary to the PB3 PowerBuoy® by providing the Company the opportunity to address a broader spectrum of customer deployment needs, including low-wave environments, with the potential for greater Company integration within each customer project. The hybrid PowerBuoy® is primarily intended for shorter term deployment applications such as eROV and AUV inspections and short-term maintenance, topside surveillance and communications, and subsea equipment and controls. The subsea battery solutions are expected to offer the possibility of creating a sea floor energy storage solution for remote offshore operations. These subsea battery systems will contain lithium ion batteries, which provide high power density to supply power that can enable subsea equipment, sensors, communications, AUVs and electric remotely operated vehicles (eROV) recharge. Ideal for many remote offshore customer applications, these subsea battery systems are anticipated to be high performance, cost-efficient, and quickly deployable.</w:t>
      </w:r>
    </w:p>
    <w:p>
      <w:pPr>
        <w:spacing w:after="0" w:line="172" w:lineRule="exact"/>
        <w:rPr>
          <w:rFonts w:ascii="Arial" w:cs="Arial" w:eastAsia="Arial" w:hAnsi="Arial"/>
          <w:sz w:val="16"/>
          <w:szCs w:val="16"/>
          <w:color w:val="auto"/>
        </w:rPr>
      </w:pPr>
    </w:p>
    <w:p>
      <w:pPr>
        <w:jc w:val="both"/>
        <w:ind w:left="580" w:right="20" w:hanging="450"/>
        <w:spacing w:after="0" w:line="264" w:lineRule="auto"/>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on parts of North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Europe, South America and Asia. We believe that each of these areas has sizable end market opportunities, political and economic stability, and high levels of industrialization and economic development.</w:t>
      </w:r>
    </w:p>
    <w:p>
      <w:pPr>
        <w:spacing w:after="0" w:line="181" w:lineRule="exact"/>
        <w:rPr>
          <w:rFonts w:ascii="Arial" w:cs="Arial" w:eastAsia="Arial" w:hAnsi="Arial"/>
          <w:sz w:val="18"/>
          <w:szCs w:val="18"/>
          <w:i w:val="1"/>
          <w:iCs w:val="1"/>
          <w:color w:val="auto"/>
        </w:rPr>
      </w:pPr>
    </w:p>
    <w:p>
      <w:pPr>
        <w:jc w:val="both"/>
        <w:ind w:left="580" w:hanging="450"/>
        <w:spacing w:after="0" w:line="259" w:lineRule="auto"/>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w:t>
      </w:r>
    </w:p>
    <w:p>
      <w:pPr>
        <w:spacing w:after="0" w:line="186" w:lineRule="exact"/>
        <w:rPr>
          <w:rFonts w:ascii="Arial" w:cs="Arial" w:eastAsia="Arial" w:hAnsi="Arial"/>
          <w:sz w:val="18"/>
          <w:szCs w:val="18"/>
          <w:i w:val="1"/>
          <w:iCs w:val="1"/>
          <w:color w:val="auto"/>
        </w:rPr>
      </w:pPr>
    </w:p>
    <w:p>
      <w:pPr>
        <w:jc w:val="both"/>
        <w:ind w:left="580" w:hanging="450"/>
        <w:spacing w:after="0" w:line="257" w:lineRule="auto"/>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collaborations. </w:t>
      </w:r>
      <w:r>
        <w:rPr>
          <w:rFonts w:ascii="Arial" w:cs="Arial" w:eastAsia="Arial" w:hAnsi="Arial"/>
          <w:sz w:val="18"/>
          <w:szCs w:val="18"/>
          <w:color w:val="auto"/>
        </w:rPr>
        <w:t>We believe that an important element of our business strategy is to collaborate with other organizations to leverage our</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expertise, market presence and access, and core competences across key markets. We have formed such a relationship with several well-known groups, including Modus Seabed Intervention Ltd. (“Modus”), Saab Seaeye Ltd. (“Saab”), NEC Energy Solutions (“NEC”), Acteon Field Life Service Ltd. (“Acteon”), MES, PMO and Eni. We continue to seek other opportunities to collaborate with application experts from within our selected markets.</w:t>
      </w:r>
    </w:p>
    <w:p>
      <w:pPr>
        <w:spacing w:after="0" w:line="188" w:lineRule="exact"/>
        <w:rPr>
          <w:rFonts w:ascii="Arial" w:cs="Arial" w:eastAsia="Arial" w:hAnsi="Arial"/>
          <w:sz w:val="18"/>
          <w:szCs w:val="18"/>
          <w:i w:val="1"/>
          <w:iCs w:val="1"/>
          <w:color w:val="auto"/>
        </w:rPr>
      </w:pPr>
    </w:p>
    <w:p>
      <w:pPr>
        <w:jc w:val="both"/>
        <w:ind w:left="580" w:hanging="450"/>
        <w:spacing w:after="0" w:line="257" w:lineRule="auto"/>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our PowerBuoy® to minimize our capital requirements as we scale our business. Our PTO is a proprietary subsystem and is assembled and tested at our facility. We believe this distributed manufacturing and assembly approach enables us to focus on our core competencies and ensure a cost-effective product by leveraging a larger more established supply base. We also continue to seek strategic partnerships with regard to servicing of our PB3 PowerBuoy®.</w:t>
      </w:r>
    </w:p>
    <w:p>
      <w:pPr>
        <w:spacing w:after="0" w:line="188" w:lineRule="exact"/>
        <w:rPr>
          <w:rFonts w:ascii="Arial" w:cs="Arial" w:eastAsia="Arial" w:hAnsi="Arial"/>
          <w:sz w:val="18"/>
          <w:szCs w:val="18"/>
          <w:i w:val="1"/>
          <w:iCs w:val="1"/>
          <w:color w:val="auto"/>
        </w:rPr>
      </w:pPr>
    </w:p>
    <w:p>
      <w:pPr>
        <w:jc w:val="both"/>
        <w:ind w:left="580" w:hanging="450"/>
        <w:spacing w:after="0" w:line="259" w:lineRule="auto"/>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PB3 cost reduction and PowerBuoy</w:t>
      </w:r>
      <w:r>
        <w:rPr>
          <w:rFonts w:ascii="Arial" w:cs="Arial" w:eastAsia="Arial" w:hAnsi="Arial"/>
          <w:sz w:val="18"/>
          <w:szCs w:val="18"/>
          <w:color w:val="auto"/>
        </w:rPr>
        <w:t>®</w:t>
      </w:r>
      <w:r>
        <w:rPr>
          <w:rFonts w:ascii="Arial" w:cs="Arial" w:eastAsia="Arial" w:hAnsi="Arial"/>
          <w:sz w:val="18"/>
          <w:szCs w:val="18"/>
          <w:i w:val="1"/>
          <w:iCs w:val="1"/>
          <w:color w:val="auto"/>
        </w:rPr>
        <w:t xml:space="preserve"> product development. </w:t>
      </w:r>
      <w:r>
        <w:rPr>
          <w:rFonts w:ascii="Arial" w:cs="Arial" w:eastAsia="Arial" w:hAnsi="Arial"/>
          <w:sz w:val="18"/>
          <w:szCs w:val="18"/>
          <w:color w:val="auto"/>
        </w:rPr>
        <w:t>Our engineering efforts are focused on customer application development for PB3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cost reduction of our PB3 PowerBuoy® and improving the energy output, reliability, maintenance interval and expected operating life of our PowerBuoy®. We continue to optimize manufacturability of our designs with a focus on cost competitiveness, and we believe we will be able to address new applications by developing new products that increase energy output.</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we are developing complementary products, the hybrid PowerBuoy® and subsea battery solutions which leverage our existing expertise in offshore power systems while expanding our product line beyond our flagship PB3 PowerBuoy®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The National Oceanographic and Atmospheric Administration (“NOAA”) Ocean Enterprise Report for 2016 estimated that the annual market for what NOAA describes as the “Ocean Enterprise” is $8.5 billion. The report addressed for-profit and not-for-profit businesses that support ocean measurement, observation and forecasting. Among the market sectors included in the report are oil and gas, defense and security, and science and research. We believe that this report addresses only a segment of the potential market opportunities that we are targeting.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left="140"/>
        <w:spacing w:after="0"/>
        <w:rPr>
          <w:sz w:val="20"/>
          <w:szCs w:val="20"/>
          <w:color w:val="auto"/>
        </w:rPr>
      </w:pPr>
      <w:r>
        <w:rPr>
          <w:rFonts w:ascii="Arial" w:cs="Arial" w:eastAsia="Arial" w:hAnsi="Arial"/>
          <w:sz w:val="18"/>
          <w:szCs w:val="18"/>
          <w:b w:val="1"/>
          <w:bCs w:val="1"/>
          <w:i w:val="1"/>
          <w:iCs w:val="1"/>
          <w:color w:val="auto"/>
        </w:rPr>
        <w:t>Oil and Gas</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We believe the offshore oil and gas industry is undergoing a significant transformation as it continues to invest in new technologies that enable cost savings and the digitization of operations. The industry encompasses more than 10,000 offshore sites, including exploration, production, reservoir management, and sites pending decommissioning based on information from the U.S. Bureau of Safety and Environmental Enforcement and industry organizations and publications. We believe that we have opportunities to implement one or more PB3 PowerBuoys® at a large number of these sites to provide power in applications that are not currently possible, or to displace current power solutions.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Defense and Security</w:t>
      </w:r>
    </w:p>
    <w:p>
      <w:pPr>
        <w:spacing w:after="0" w:line="22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We believe that our PB3 PowerBuoy® is uniquely positioned to be used to provide power and communications for multiple applications within the defense and security markets. The PB3’s ability to power multiple payloads may be an attractive feature for these markets, as their systems can be easily integrated into other PowerBuoy® applications allowing their operation to be concealed. An example application for domestic and international defense departments and defense contractors includes forward deployed energy and communications outposts (which is a current U.S. Department of Defense program), both above and below sea surface. Other example applications include early detection and warning systems, remote sensing stations, high frequency radar, sonar, electro-optical and infrared sensors for maritime security, network communications systems, and unmanned underwater vehicle docking stations. According to a 2014 Frost and Sullivan report, market expenditures for global security reached $29.0 billion in 2012 and are projected to reach $56.5 billion in 2022. Maritime security expenditures were approximately 45% of the global security market.</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Science and Research</w:t>
      </w:r>
    </w:p>
    <w:p>
      <w:pPr>
        <w:spacing w:after="0" w:line="225"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The science and research market provides environmental intelligence to the entire ocean enterprise, which supports ocean measurement, observation and forecasting, and is an important provider of information to maritime commerce and the entire “blue economy.” Maritime commerce and the scientific community depend on information in areas such as meteorology, climate change, ocean currents, and biological processes to inform operations and development. These groups often require a power and communications solution in remote offshore locations. According to NOAA’s 2016 Ocean Enterprise report, the total U.S. available ocean observing market from 2017 through 2021 for ocean-based systems infrastructure is projected to be $2.0 billion.</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Communications</w:t>
      </w:r>
    </w:p>
    <w:p>
      <w:pPr>
        <w:spacing w:after="0" w:line="225"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We believe that opportunities also exist in other markets such as communications. The addition of near shore and offshore cellular and Wi-Fi platforms with reliable and persistent power could open new market opportunities for telecommunications carriers by displacing a portion of the maritime satellite communications market, while potentially decreasing communications costs for the marine and offshore oil and gas industries. According to an industry research paper titled “Prospects for Maritime Satellite Communications” in 2015 the global maritime satellite communications market had already reached close to 338,000 terminals, with $1.7 billion in revenue at the satellite communications service provider level. The report also noted that the value of the maritime satellite communications market is expected to continue to grow over the next decade, with a 10-year compound annual growth rate of 5% in terminals and revenue, primarily due to the increasing need for maritime data communications.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Implementation Strategy</w:t>
      </w:r>
    </w:p>
    <w:p>
      <w:pPr>
        <w:spacing w:after="0" w:line="229"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We have made significant progress in redesigning and validating our commercial-ready PB3 PowerBuoy® for use in remote offshore applications. Since 2015, we have brought the PB3 from initial concept to a full-scale design. We have performed multiple prototype iterations. During this time, we have conducted a number of in-ocean tests in combination with our facility-based accelerated life testing to validate our commercial-ready PB3 PowerBuoy® and to prepare for low rate initial production. In 2017, we relocated our corporate headquarters to Monroe Township, New Jersey. We believe that this new facility will allow us to expand our manufacturing capabilities and to move toward higher volume PowerBuoy® production. In fiscal 2019 we made progress in marketing our PB3 PowerBuoy®, as evidenced by the volume of proposals submitted to customers and requests for proposals from customers. In addition, during fiscal 2019 we introduced two new products, the hybrid PowerBuoy® and subsea battery solutions with prototypes set for release in Fall 2019. We have made substantial progress in transitioning from R&amp;D to a commercialization focus with SELL, BUILD, SHIP as our motto and we intend to build on our success by implementing processes and solutions that cover the entire life cycle, from demand generation to closing the contract, and from channel strategies to customer care.</w:t>
      </w:r>
    </w:p>
    <w:p>
      <w:pPr>
        <w:spacing w:after="0" w:line="178"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Since 2015, we have had initial introductions or meetings with nearly 200 companies and organizations within our target markets. A large proportion of these engagements (approximately 75%) were U.S.-based, while the remaining engagements occurred in Europe, Australia, and parts of Asia including Japan. One-third of all engagements have transitioned from initial introductions to advanced, confidential discussions around specific customer applications. Many of these discussions occur at the executive, decision-making level, as well as the implementation level.</w:t>
      </w:r>
    </w:p>
    <w:p>
      <w:pPr>
        <w:spacing w:after="0" w:line="171"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As previously noted, several of these customer application discussions have resulted in requests for proposals. Many proposal requests are for projects where our PB3 PowerBuoy® is part of a larger solution demonstration, and typically include the potential lease or sale of one or more PB3 PowerBuoys®, as well as required services and maintenance support. Demonstration projects are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the PB3 PowerBuoy® upon successful conclusion of the demonstration project.</w:t>
      </w:r>
    </w:p>
    <w:p>
      <w:pPr>
        <w:spacing w:after="0" w:line="178"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believe this is an accurate depiction of the overall sales cycle for new technology in each of our target markets, including the PB3 PowerBuoy®. However, cycle times for each step of the sales cycle will vary depending on several customer factors, including, but not limited to, technical evaluation, project priorities, the funding approval process, and alignment of new technology integration with the customer’s broader operational strategy. We believe that the resulting evidence of potential demand, vis-à-vis specific application proposal requests, are indicative of significant progress in our commercialization strategy. We believe that we have the potential for growth as a result of our positioning for higher volume production of our PB3 PowerBuoy® and the initial indications of demand for our PB3 PowerBuoy® in multiple customer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Technologies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development and history of our current PowerBuoy® product and our technologies.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Wave Energy</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The energy contained in ocean waves is a form of renewable energy that can be harnessed to generate electricity. The interaction between the wind and the ocean surface causes energy to be transferred from the wind to the water. At first, small waves occur on the ocean surface. As this process continues, the waves become larger and the distance between the top of the waves becomes longer. Wave heights, and the amount of kinetic wave energy, depends on wind speed, wind duration and the distance covered. The vertical water motion caused by the passage of the waves moves the float component of our PowerBuoy®, creating mechanical energy which our proprietary technologies convert into usable electricity.</w:t>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We believe that using wave energy for electricity generation has the following potential benefits, compared to existing incumbent solutions.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left="580" w:hanging="450"/>
        <w:spacing w:after="0" w:line="257" w:lineRule="auto"/>
        <w:tabs>
          <w:tab w:leader="none" w:pos="5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multiple PowerBuoys® may be aggregated in an array</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occupy a reasonably small area to supply electricity to larger payloads. We believe the aggregation of a larger number of PowerBuoys® could offer end users a variety of advantages in availability, reliability and scalability. To date, we have not deployed an array of PowerBuoys® to test and validate our hypothesis, and we cannot assure that a PowerBuoy® array would generate the energy required to meet the needs of every prospective customer.</w:t>
      </w:r>
    </w:p>
    <w:p>
      <w:pPr>
        <w:spacing w:after="0" w:line="188" w:lineRule="exact"/>
        <w:rPr>
          <w:rFonts w:ascii="Arial" w:cs="Arial" w:eastAsia="Arial" w:hAnsi="Arial"/>
          <w:sz w:val="18"/>
          <w:szCs w:val="18"/>
          <w:i w:val="1"/>
          <w:iCs w:val="1"/>
          <w:color w:val="auto"/>
        </w:rPr>
      </w:pPr>
    </w:p>
    <w:p>
      <w:pPr>
        <w:jc w:val="both"/>
        <w:ind w:left="580" w:hanging="450"/>
        <w:spacing w:after="0" w:line="302" w:lineRule="auto"/>
        <w:tabs>
          <w:tab w:leader="none" w:pos="5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Predictability. </w:t>
      </w:r>
      <w:r>
        <w:rPr>
          <w:rFonts w:ascii="Arial" w:cs="Arial" w:eastAsia="Arial" w:hAnsi="Arial"/>
          <w:sz w:val="16"/>
          <w:szCs w:val="16"/>
          <w:color w:val="auto"/>
        </w:rPr>
        <w:t>The generation of power from wave energy can be forecasted several days in advance. Available wave energy can be calculated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high degree of accuracy based on satellite images and meteorological data, even when the wave field is hundreds of miles away and days from reaching a PowerBuoy®. Therefore, we believe end-users relying on PowerBuoys® for power may be able to proactively plan their logistics, payload scheduling and other operational activities based on such data and proactively, although actual testing has not yet been conducted.</w:t>
      </w:r>
    </w:p>
    <w:p>
      <w:pPr>
        <w:spacing w:after="0" w:line="154" w:lineRule="exact"/>
        <w:rPr>
          <w:rFonts w:ascii="Arial" w:cs="Arial" w:eastAsia="Arial" w:hAnsi="Arial"/>
          <w:sz w:val="16"/>
          <w:szCs w:val="16"/>
          <w:i w:val="1"/>
          <w:iCs w:val="1"/>
          <w:color w:val="auto"/>
        </w:rPr>
      </w:pPr>
    </w:p>
    <w:p>
      <w:pPr>
        <w:jc w:val="both"/>
        <w:ind w:left="580" w:hanging="450"/>
        <w:spacing w:after="0" w:line="264" w:lineRule="auto"/>
        <w:tabs>
          <w:tab w:leader="none" w:pos="5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occurrence of waves at certain specific sites can be relatively constant and defined with relatively high</w:t>
      </w:r>
      <w:r>
        <w:rPr>
          <w:rFonts w:ascii="Arial" w:cs="Arial" w:eastAsia="Arial" w:hAnsi="Arial"/>
          <w:sz w:val="18"/>
          <w:szCs w:val="18"/>
          <w:i w:val="1"/>
          <w:iCs w:val="1"/>
          <w:color w:val="auto"/>
        </w:rPr>
        <w:t xml:space="preserve"> </w:t>
      </w:r>
      <w:r>
        <w:rPr>
          <w:rFonts w:ascii="Arial" w:cs="Arial" w:eastAsia="Arial" w:hAnsi="Arial"/>
          <w:sz w:val="18"/>
          <w:szCs w:val="18"/>
          <w:color w:val="auto"/>
        </w:rPr>
        <w:t>accuracy. Based on our studies and analyses of various sites of interest, we believe that we will be able to deploy our PowerBuoys® in locations where the waves could produce usable electricity for the majority of the year.</w:t>
      </w:r>
    </w:p>
    <w:p>
      <w:pPr>
        <w:spacing w:after="0" w:line="181"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Methods for generating electricity from wave energy can be divided into two general categories: onshore systems and offshore systems. Our PowerBuoys® are the offshore type. Many offshore systems, including our PowerBuoy®, utilize a flotation device to harness wave energy. The heaving or pitching of the flotation device due to the force of the waves creates mechanical energy, which is converted into electricity by various technologies. Onshore and near shore systems are often located on a shore cliff or a breakwater, or a short distance at sea from the shore line, and typically must concentrate the wave energy before using it to drive an electrical generator. Although maintenance costs of onshore systems may be less than those associated with offshore systems, we believe there are a variety of disadvantages to the former. As waves approach the shore, their energy decreases, therefore, onshore and near shore wave power stations are not capable of exploiting the same amount of energy produced by waves in deeper water. In addition, suitable sites for onshore and near shore systems are limited and potential environmental and aesthetic issues may impede development of these systems due to wave power station size and proximity to communities.</w:t>
      </w:r>
    </w:p>
    <w:p>
      <w:pPr>
        <w:spacing w:after="0" w:line="182" w:lineRule="exact"/>
        <w:rPr>
          <w:sz w:val="20"/>
          <w:szCs w:val="20"/>
          <w:color w:val="auto"/>
        </w:rPr>
      </w:pPr>
    </w:p>
    <w:p>
      <w:pPr>
        <w:jc w:val="both"/>
        <w:ind w:firstLine="396"/>
        <w:spacing w:after="0" w:line="293" w:lineRule="auto"/>
        <w:rPr>
          <w:sz w:val="20"/>
          <w:szCs w:val="20"/>
          <w:color w:val="auto"/>
        </w:rPr>
      </w:pPr>
      <w:r>
        <w:rPr>
          <w:rFonts w:ascii="Arial" w:cs="Arial" w:eastAsia="Arial" w:hAnsi="Arial"/>
          <w:sz w:val="16"/>
          <w:szCs w:val="16"/>
          <w:color w:val="auto"/>
        </w:rPr>
        <w:t>Our principal product is our PB3 PowerBuoy®, which is designed to generate power for use independent of the power grid in remote offshore locations. It consists of a main hull structure loosely moored to the seabed and surrounded by a floating buoy-like device that can freely move up and down in response to the passage of the waves. The PTO device that includes an electrical generator, a power electronics system, our control system, and our ESS are sealed within the hull. As ocean waves pass the PowerBuoy®, the mechanical stroke action created by the rising and falling of the waves is converted into rotational mechanical energy by the PTO, which in turn, drives the electrical generator. The power electronics system then conditions the electrical output which is collected within an ESS. The operation of the PowerBuoy® is controlled by our customized, proprietary control system.</w:t>
      </w:r>
    </w:p>
    <w:p>
      <w:pPr>
        <w:spacing w:after="0" w:line="16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control system uses sensors and an onboard computer to continuously monitor the PowerBuoy® subsystems as well as the characteristics of the waves which interact with the PowerBuoy®. The control system collects data from the sensors and the payloads and uses proprietary algorithms to electronically adjust the performance of the PowerBuoy®. We believe that this ability to optimize and manage the electric power output of the PowerBuoy® is a significant advantage of our technology.</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the event of large storm waves, the control system automatically locks the PowerBuoy® and electricity generation is suspended. However, the load center (either the on-board payload or one in the vicinity of the PowerBuoy®) may continue to receive power from the on-board ESS. When wave heights return to normal operating conditions, the control system automatically unlocks the PowerBuoy® and electricity generation and ESS replenishment recommences. This safety feature helps to prevent the PowerBuoy® from being damaged by storms.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495"/>
        <w:spacing w:after="0" w:line="257" w:lineRule="auto"/>
        <w:rPr>
          <w:sz w:val="20"/>
          <w:szCs w:val="20"/>
          <w:color w:val="auto"/>
        </w:rPr>
      </w:pPr>
      <w:r>
        <w:rPr>
          <w:rFonts w:ascii="Arial" w:cs="Arial" w:eastAsia="Arial" w:hAnsi="Arial"/>
          <w:sz w:val="18"/>
          <w:szCs w:val="18"/>
          <w:color w:val="auto"/>
        </w:rPr>
        <w:t>In March 2016, we announced a rebranding of our PowerBuoy® systems as part of our commercialization efforts and to closely align our PowerBuoy® products with the perceived best practices of analogous industries based on power generation and on-board energy storage capabilities. Under our new naming conventions, our current PowerBuoy® is referred to as the “PB3,” corresponding to “PowerBuoy® with a nominal name-plated capacity rating of three kilowatts.” References to the “APB350” on our website, and in our SEC filings including this Annual Report refers to earlier prototype PowerBuoys® containing earlier generation PTOs and other earlier technologies.</w:t>
      </w:r>
    </w:p>
    <w:p>
      <w:pPr>
        <w:spacing w:after="0" w:line="188"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The PB3 has undergone design iterations focused on improving its reliability and survivability in the anticipated operating ocean environment and will continue to undergo further enhancements through customary product life cycle management. The PB3-A1 was an initial prototype that has now undergone in-ocean and accelerated life testing, and we believe that the PB3 achieved a maturity level for use by early adopters in fiscal 2017. We continue the process of commercialization of our product and we cannot assure you that we will be successful in our efforts to do so. We believe that the PB3 will generate and store sufficient power to address some application requirements in our target markets. Our engineering efforts are focused, in part, on increasing the energy output and efficiency of our PowerBuoys® and, if we are able to do so, we believe the PowerBuoy® would then be useful for additional applications where cost savings and additional power are required by our potential customers. We continue to explore opportunities in these target markets, although we have not yet developed any integrated solutions and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more incumbent solutions, and become a viable power source for additional applications in our target market segments.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140"/>
        <w:spacing w:after="0"/>
        <w:rPr>
          <w:sz w:val="20"/>
          <w:szCs w:val="20"/>
          <w:color w:val="auto"/>
        </w:rPr>
      </w:pPr>
      <w:r>
        <w:rPr>
          <w:rFonts w:ascii="Arial" w:cs="Arial" w:eastAsia="Arial" w:hAnsi="Arial"/>
          <w:sz w:val="18"/>
          <w:szCs w:val="18"/>
          <w:b w:val="1"/>
          <w:bCs w:val="1"/>
          <w:i w:val="1"/>
          <w:iCs w:val="1"/>
          <w:color w:val="auto"/>
        </w:rPr>
        <w:t>Deployments</w:t>
      </w:r>
    </w:p>
    <w:p>
      <w:pPr>
        <w:spacing w:after="0" w:line="225"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We continue to receive important feedback from in-ocean trial deployments of our PowerBuoys®, as is customary in the marine industry for new vessels and products prior to final acceptance by their customers. If we are able to increase PowerBuoy® production, we anticipate that the need for in-ocean trials of our mature products will diminish. Deployment sites are selected based on minimum ocean depth, appropriate wave activity for power generation requirements of associated deployment payloads, and proximity to end-user operations. 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 Recent deployments include off the coast of Kozushima Island, Japan for MES in April 2017 and in the Adriatic Sea for Eni in November 2018. The Company is planning to deploy in August 2019 a PB3 in the Central North Sea for PMO.</w:t>
      </w:r>
    </w:p>
    <w:p>
      <w:pPr>
        <w:spacing w:after="0" w:line="195"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i w:val="1"/>
          <w:iCs w:val="1"/>
          <w:color w:val="auto"/>
        </w:rPr>
        <w:t xml:space="preserve">Product Insurance. </w:t>
      </w:r>
      <w:r>
        <w:rPr>
          <w:rFonts w:ascii="Arial" w:cs="Arial" w:eastAsia="Arial" w:hAnsi="Arial"/>
          <w:sz w:val="18"/>
          <w:szCs w:val="18"/>
          <w:color w:val="auto"/>
        </w:rPr>
        <w:t>We currently have a property loss and liability insurance policy underwritten by Lloyd’s Underwriters that covers the deployment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storage of our PowerBuoys®.</w:t>
      </w:r>
    </w:p>
    <w:p>
      <w:pPr>
        <w:spacing w:after="0" w:line="170"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i w:val="1"/>
          <w:iCs w:val="1"/>
          <w:color w:val="auto"/>
        </w:rPr>
        <w:t xml:space="preserve">Site Approval. </w:t>
      </w:r>
      <w:r>
        <w:rPr>
          <w:rFonts w:ascii="Arial" w:cs="Arial" w:eastAsia="Arial" w:hAnsi="Arial"/>
          <w:sz w:val="17"/>
          <w:szCs w:val="17"/>
          <w:color w:val="auto"/>
        </w:rPr>
        <w:t>In the U.S., federal agencies regulate the siting of long-term renewable energy projects and related-uses located on the outer continental</w:t>
      </w:r>
      <w:r>
        <w:rPr>
          <w:rFonts w:ascii="Arial" w:cs="Arial" w:eastAsia="Arial" w:hAnsi="Arial"/>
          <w:sz w:val="17"/>
          <w:szCs w:val="17"/>
          <w:i w:val="1"/>
          <w:iCs w:val="1"/>
          <w:color w:val="auto"/>
        </w:rPr>
        <w:t xml:space="preserve"> </w:t>
      </w:r>
      <w:r>
        <w:rPr>
          <w:rFonts w:ascii="Arial" w:cs="Arial" w:eastAsia="Arial" w:hAnsi="Arial"/>
          <w:sz w:val="17"/>
          <w:szCs w:val="17"/>
          <w:color w:val="auto"/>
        </w:rPr>
        <w:t>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spacing w:after="0" w:line="178"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i w:val="1"/>
          <w:iCs w:val="1"/>
          <w:color w:val="auto"/>
        </w:rPr>
        <w:t xml:space="preserve">Environmental Approval and Compliance. </w:t>
      </w:r>
      <w:r>
        <w:rPr>
          <w:rFonts w:ascii="Arial" w:cs="Arial" w:eastAsia="Arial" w:hAnsi="Arial"/>
          <w:sz w:val="18"/>
          <w:szCs w:val="18"/>
          <w:color w:val="auto"/>
        </w:rPr>
        <w:t>We are subject to various foreign, federal, state and local environmental protection and health and safety</w:t>
      </w:r>
      <w:r>
        <w:rPr>
          <w:rFonts w:ascii="Arial" w:cs="Arial" w:eastAsia="Arial" w:hAnsi="Arial"/>
          <w:sz w:val="18"/>
          <w:szCs w:val="18"/>
          <w:i w:val="1"/>
          <w:iCs w:val="1"/>
          <w:color w:val="auto"/>
        </w:rPr>
        <w:t xml:space="preserve"> </w:t>
      </w:r>
      <w:r>
        <w:rPr>
          <w:rFonts w:ascii="Arial" w:cs="Arial" w:eastAsia="Arial" w:hAnsi="Arial"/>
          <w:sz w:val="18"/>
          <w:szCs w:val="18"/>
          <w:color w:val="auto"/>
        </w:rPr>
        <w:t>laws and regulations governing, among other things: the generation, storage, handling, use and transportation of hazardous materials; the emission and discharge of hazardous materials into the ground, air or water; and the health and safety of our employees. In addition, in the U.S., the construction and operation of PowerBuoys® offshore would require permits and approvals from the U.S. Coast Guard, the U.S. Army Corps of Engineers and other governmental authorities. These required permits and approvals evaluate, among other things, whether a project is in the public interest and ensure that the project would not create a hazard to navigation. Other foreign and international laws may require similar approvals. We provide you with additional information under “Regulation” below.</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Our team has a broad range of experience in mechanical, electrical, and ocean engineering. We have engaged in extensive efforts to develop the PowerBuoy®, improve PowerBuoy® efficiency, reliability and power output, and improve manufacturability while reducing cost and complexity. Our recent efforts have been focused on optimizing our PowerBuoys® in order to balance customer cost (both capital and operating expenses) with power output of our PowerBuoys®. Such efforts include the development of scalable, higher efficiency, lower cost, higher reliability and less customized PTO systems, and the use of higher energy density and lower weight energy storage technologies. We continue to seek to increase the capabilities of our PowerBuoy® systems by designing flexible interfaces and rendering them sensor and payload agnostic.</w:t>
      </w:r>
    </w:p>
    <w:p>
      <w:pPr>
        <w:spacing w:after="0" w:line="178"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We have also focused on the development and implementation of accelerated testing regimens and techniques known as accelerated life testing. Such methods accelerate failures in a laboratory environment, as compared to more lengthy and expensive full-scale ocean deployments during normal use and extreme conditions. This testing allows us to quantify the life characteristics of critical components and subsystems which would normally require several years of operation in ocean conditions to achieve similar levels of wear and tear. Accelerated life testing is used successfully in other industries such as automotive and aerospace and is a critical enabler for rapid product and technology development and maturation.</w:t>
      </w:r>
    </w:p>
    <w:p>
      <w:pPr>
        <w:spacing w:after="0" w:line="173"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It is our intent to fund the majority of our future research and development expenses with sources of external funding, including cost sharing obligations under customer contracts. However, we cannot assure you that we will be successful in our efforts to secure additional contracts. If we are unable to obtain external funding, we may curtail our research and development expenses or reduce the scope of our operations as necessary to lower our operating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495"/>
        <w:spacing w:after="0" w:line="264" w:lineRule="auto"/>
        <w:rPr>
          <w:sz w:val="20"/>
          <w:szCs w:val="20"/>
          <w:color w:val="auto"/>
        </w:rPr>
      </w:pPr>
      <w:r>
        <w:rPr>
          <w:rFonts w:ascii="Arial" w:cs="Arial" w:eastAsia="Arial" w:hAnsi="Arial"/>
          <w:sz w:val="18"/>
          <w:szCs w:val="18"/>
          <w:color w:val="auto"/>
        </w:rPr>
        <w:t>In addition to improving and optimizing our PB3 PowerBuoy® we have spent considerable effort in developing two new complementary products, the hybrid PowerBuoy®, and subsea battery solutions. These products build on our existing expertise in offshore power systems and are targeted for first deployment in Fall 2019.</w:t>
      </w:r>
    </w:p>
    <w:p>
      <w:pPr>
        <w:spacing w:after="0" w:line="181" w:lineRule="exact"/>
        <w:rPr>
          <w:sz w:val="20"/>
          <w:szCs w:val="20"/>
          <w:color w:val="auto"/>
        </w:rPr>
      </w:pPr>
    </w:p>
    <w:p>
      <w:pPr>
        <w:jc w:val="both"/>
        <w:ind w:left="1160" w:hanging="315"/>
        <w:spacing w:after="0" w:line="269"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hybrid PowerBuoy® - </w:t>
      </w:r>
      <w:r>
        <w:rPr>
          <w:rFonts w:ascii="Arial" w:cs="Arial" w:eastAsia="Arial" w:hAnsi="Arial"/>
          <w:sz w:val="17"/>
          <w:szCs w:val="17"/>
          <w:color w:val="auto"/>
        </w:rPr>
        <w:t>The Company is in the process of creating a hybrid PowerBuoy® that will be a smaller liquid-fueled surface buoy,</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wave power based PB3 PowerBuoy®, capable of providing reliable power in remote offshore locations. This product is to be highly complementary to the PB3 PowerBuoy® by providing the Company the opportunity to address a broader spectrum of customer deployment needs, with the potential for greater Company integration within each customer project. It is primarily intended for shorter term deployment applications such as eROV and AUV inspections and short-term maintenance, topside surveillance and communications, and subsea equipment and controls. The hybrid PowerBuoy® is anticipated to be a lightweight, quickly deployable and cost-effective solution. The design is also anticipated to have a high payload capacity for communications and surveillance, with the capability of being tethered to subsea payloads and battery packs or with a conventional anchor mooring system. The Company intends to design the hybrid PowerBuoy®, with a Stirling engine, to outperform traditional diesel buoys, which we believe to have more frequent service and refueling intervals. We believe the hybrid PowerBuoy® will be able to operate in an environmentally safer manner using more robust fuels, while operating over a wider temperature range than diesel buoys.</w:t>
      </w:r>
    </w:p>
    <w:p>
      <w:pPr>
        <w:spacing w:after="0" w:line="182" w:lineRule="exact"/>
        <w:rPr>
          <w:rFonts w:ascii="Arial" w:cs="Arial" w:eastAsia="Arial" w:hAnsi="Arial"/>
          <w:sz w:val="17"/>
          <w:szCs w:val="17"/>
          <w:color w:val="auto"/>
        </w:rPr>
      </w:pPr>
    </w:p>
    <w:p>
      <w:pPr>
        <w:jc w:val="both"/>
        <w:ind w:left="1160" w:hanging="315"/>
        <w:spacing w:after="0" w:line="271"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Subsea battery solutions - </w:t>
      </w:r>
      <w:r>
        <w:rPr>
          <w:rFonts w:ascii="Arial" w:cs="Arial" w:eastAsia="Arial" w:hAnsi="Arial"/>
          <w:sz w:val="17"/>
          <w:szCs w:val="17"/>
          <w:color w:val="auto"/>
        </w:rPr>
        <w:t>The Company is in the process of creating a sea floor energy storage solution for remote offshore operations. These</w:t>
      </w:r>
      <w:r>
        <w:rPr>
          <w:rFonts w:ascii="Arial" w:cs="Arial" w:eastAsia="Arial" w:hAnsi="Arial"/>
          <w:sz w:val="17"/>
          <w:szCs w:val="17"/>
          <w:i w:val="1"/>
          <w:iCs w:val="1"/>
          <w:color w:val="auto"/>
        </w:rPr>
        <w:t xml:space="preserve"> </w:t>
      </w:r>
      <w:r>
        <w:rPr>
          <w:rFonts w:ascii="Arial" w:cs="Arial" w:eastAsia="Arial" w:hAnsi="Arial"/>
          <w:sz w:val="17"/>
          <w:szCs w:val="17"/>
          <w:color w:val="auto"/>
        </w:rPr>
        <w:t>subsea battery systems will contain lithium ion batteries, which provide high power density, to supply power that can enable subsea equipment, sensors, communications, AUVs and electric remotely operated vehicles (eROV) recharge. The Company’s PB3 PowerBuoy® is complimentary to subsea battery systems by providing a means for recharging during longer term deployments, or the subsea battery systems can be used independently for shorter term deployments. Ideal for many remote offshore customer applications, these subsea battery systems are anticipated to be high performance, cost-efficient, and quickly deployable. Given the Company’s expertise in offshore energy storage systems from existing PB3 PowerBuoy® technology, the subsea battery solutions will provide an opportunity for the Company to differentiate through technical, cost and delivery leadership.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Activities</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shows the percentage of our revenue we derived from significant customers for the periods indicated:</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1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Office of Naval Research</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In order to achieve success in commercializing our products, we must expand our customer base and obtain commercial contracts to lease or sell our PowerBuoy® and related services to customers. Our potential customer base for our PowerBuoys®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Current Customers</w:t>
      </w:r>
    </w:p>
    <w:p>
      <w:pPr>
        <w:spacing w:after="0" w:line="229" w:lineRule="exact"/>
        <w:rPr>
          <w:sz w:val="20"/>
          <w:szCs w:val="20"/>
          <w:color w:val="auto"/>
        </w:rPr>
      </w:pPr>
    </w:p>
    <w:p>
      <w:pPr>
        <w:ind w:left="800" w:hanging="319"/>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2019 we entered into an agreement with a leading oil and gas operator to conduct a detailed feasibility study of using the Company’s technology to monitor subsea wells.</w:t>
      </w:r>
    </w:p>
    <w:p>
      <w:pPr>
        <w:spacing w:after="0" w:line="170" w:lineRule="exact"/>
        <w:rPr>
          <w:rFonts w:ascii="Arial" w:cs="Arial" w:eastAsia="Arial" w:hAnsi="Arial"/>
          <w:sz w:val="18"/>
          <w:szCs w:val="18"/>
          <w:color w:val="auto"/>
        </w:rPr>
      </w:pPr>
    </w:p>
    <w:p>
      <w:pPr>
        <w:ind w:left="800" w:hanging="319"/>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70" w:lineRule="exact"/>
        <w:rPr>
          <w:rFonts w:ascii="Arial" w:cs="Arial" w:eastAsia="Arial" w:hAnsi="Arial"/>
          <w:sz w:val="18"/>
          <w:szCs w:val="18"/>
          <w:color w:val="auto"/>
        </w:rPr>
      </w:pPr>
    </w:p>
    <w:p>
      <w:pPr>
        <w:ind w:left="800" w:hanging="319"/>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2018 we entered into an agreement with EGP to evaluate a PB3 PowerBuoy® deployment along the coast of Chile through a detailed feasibility study of the PowerBuoy® as an offshore autonomous platform hosting oceanographic sensor systems.</w:t>
      </w:r>
    </w:p>
    <w:p>
      <w:pPr>
        <w:spacing w:after="0" w:line="170" w:lineRule="exact"/>
        <w:rPr>
          <w:rFonts w:ascii="Arial" w:cs="Arial" w:eastAsia="Arial" w:hAnsi="Arial"/>
          <w:sz w:val="18"/>
          <w:szCs w:val="18"/>
          <w:color w:val="auto"/>
        </w:rPr>
      </w:pPr>
    </w:p>
    <w:p>
      <w:pPr>
        <w:ind w:left="800" w:hanging="319"/>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June 2018, we entered into a contract with PMO for the lease (for at least three months and a maximum of twelve months) of a PB3 PowerBuoy® to be deployed in one of PMO’s offshore fields in the North Sea.</w:t>
      </w:r>
    </w:p>
    <w:p>
      <w:pPr>
        <w:spacing w:after="0" w:line="170" w:lineRule="exact"/>
        <w:rPr>
          <w:rFonts w:ascii="Arial" w:cs="Arial" w:eastAsia="Arial" w:hAnsi="Arial"/>
          <w:sz w:val="18"/>
          <w:szCs w:val="18"/>
          <w:color w:val="auto"/>
        </w:rPr>
      </w:pPr>
    </w:p>
    <w:p>
      <w:pPr>
        <w:ind w:left="800" w:hanging="319"/>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2018, we entered into an agreement with Eni that provides for a minimum 24-month contract that includes an 18-month PB3 PowerBuoy® lease and associated project management.</w:t>
      </w:r>
    </w:p>
    <w:p>
      <w:pPr>
        <w:spacing w:after="0" w:line="170" w:lineRule="exact"/>
        <w:rPr>
          <w:rFonts w:ascii="Arial" w:cs="Arial" w:eastAsia="Arial" w:hAnsi="Arial"/>
          <w:sz w:val="18"/>
          <w:szCs w:val="18"/>
          <w:color w:val="auto"/>
        </w:rPr>
      </w:pPr>
    </w:p>
    <w:p>
      <w:pPr>
        <w:jc w:val="both"/>
        <w:ind w:left="800" w:hanging="319"/>
        <w:spacing w:after="0" w:line="255"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2016, we entered into a contract with U.S.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 The Company is waiting for ONR funding of Phase 2, Option 1 to be approved.</w:t>
      </w:r>
    </w:p>
    <w:p>
      <w:pPr>
        <w:spacing w:after="0" w:line="193" w:lineRule="exact"/>
        <w:rPr>
          <w:rFonts w:ascii="Arial" w:cs="Arial" w:eastAsia="Arial" w:hAnsi="Arial"/>
          <w:sz w:val="18"/>
          <w:szCs w:val="18"/>
          <w:color w:val="auto"/>
        </w:rPr>
      </w:pPr>
    </w:p>
    <w:p>
      <w:pPr>
        <w:jc w:val="both"/>
        <w:ind w:left="800" w:hanging="319"/>
        <w:spacing w:after="0" w:line="288"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PowerBuoy®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PowerBuoy®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Partnerships</w:t>
      </w:r>
    </w:p>
    <w:p>
      <w:pPr>
        <w:spacing w:after="0" w:line="229" w:lineRule="exact"/>
        <w:rPr>
          <w:sz w:val="20"/>
          <w:szCs w:val="20"/>
          <w:color w:val="auto"/>
        </w:rPr>
      </w:pPr>
    </w:p>
    <w:p>
      <w:pPr>
        <w:jc w:val="both"/>
        <w:ind w:left="800" w:hanging="319"/>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2019, we signed a memorandum of understanding with Modus, Ltd. for the purpose of developing and delivering commercial market solutions that offer a step-change in innovation and market value against conventional methodologies, specifically through development and marketing of a combined Hybrid Autonomous Underwater Vehicle (HAUV) charging station which will be able to utilize the PowerBuoy® system for topside charging and communications.</w:t>
      </w:r>
    </w:p>
    <w:p>
      <w:pPr>
        <w:spacing w:after="0" w:line="186" w:lineRule="exact"/>
        <w:rPr>
          <w:rFonts w:ascii="Arial" w:cs="Arial" w:eastAsia="Arial" w:hAnsi="Arial"/>
          <w:sz w:val="18"/>
          <w:szCs w:val="18"/>
          <w:color w:val="auto"/>
        </w:rPr>
      </w:pPr>
    </w:p>
    <w:p>
      <w:pPr>
        <w:ind w:left="800" w:hanging="319"/>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2019, we signed a memorandum of understanding with Acteon to develop, explore and exploit mutual opportunities in the global oil and gas and renewable markets.</w:t>
      </w:r>
    </w:p>
    <w:p>
      <w:pPr>
        <w:spacing w:after="0" w:line="170" w:lineRule="exact"/>
        <w:rPr>
          <w:rFonts w:ascii="Arial" w:cs="Arial" w:eastAsia="Arial" w:hAnsi="Arial"/>
          <w:sz w:val="18"/>
          <w:szCs w:val="18"/>
          <w:color w:val="auto"/>
        </w:rPr>
      </w:pPr>
    </w:p>
    <w:p>
      <w:pPr>
        <w:ind w:left="800" w:hanging="319"/>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2019, we entered into a Joint System Solution Development and Marketing Agreement with Saab. The agreement anticipates a preliminary focus on AUV and eROV charging and communications systems.</w:t>
      </w:r>
    </w:p>
    <w:p>
      <w:pPr>
        <w:spacing w:after="0" w:line="170" w:lineRule="exact"/>
        <w:rPr>
          <w:rFonts w:ascii="Arial" w:cs="Arial" w:eastAsia="Arial" w:hAnsi="Arial"/>
          <w:sz w:val="18"/>
          <w:szCs w:val="18"/>
          <w:color w:val="auto"/>
        </w:rPr>
      </w:pPr>
    </w:p>
    <w:p>
      <w:pPr>
        <w:jc w:val="both"/>
        <w:ind w:left="800" w:hanging="319"/>
        <w:spacing w:after="0" w:line="26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2018 we signed a letter of intent to enter into a non-exclusive long-term supply agreement with NEC Energy Solutions (“NEC ES”), a pioneer and global leader in utility scale energy storage. Under the terms of the supply agreement, NEC ES will be a supplier of lithium ion batteries for our subsea battery systems.</w:t>
      </w:r>
    </w:p>
    <w:p>
      <w:pPr>
        <w:spacing w:after="0" w:line="181" w:lineRule="exact"/>
        <w:rPr>
          <w:rFonts w:ascii="Arial" w:cs="Arial" w:eastAsia="Arial" w:hAnsi="Arial"/>
          <w:sz w:val="18"/>
          <w:szCs w:val="18"/>
          <w:color w:val="auto"/>
        </w:rPr>
      </w:pPr>
    </w:p>
    <w:p>
      <w:pPr>
        <w:jc w:val="both"/>
        <w:ind w:left="800" w:right="20" w:hanging="319"/>
        <w:spacing w:after="0" w:line="26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2016, we entered into a Joint Marketing Agreement with Sonalysts to explore and pursue mutual opportunities in defense and oil and gas applications. The agreement includes the exploration and assessment of the use of the PB3 as a platform to provide power and communications for these markets.</w:t>
      </w:r>
    </w:p>
    <w:p>
      <w:pPr>
        <w:spacing w:after="0" w:line="181" w:lineRule="exact"/>
        <w:rPr>
          <w:rFonts w:ascii="Arial" w:cs="Arial" w:eastAsia="Arial" w:hAnsi="Arial"/>
          <w:sz w:val="18"/>
          <w:szCs w:val="18"/>
          <w:color w:val="auto"/>
        </w:rPr>
      </w:pPr>
    </w:p>
    <w:p>
      <w:pPr>
        <w:jc w:val="both"/>
        <w:ind w:left="800" w:hanging="319"/>
        <w:spacing w:after="0" w:line="276"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May 2016, we entered into a Memorandum of Agreement (“MOA”) with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of the coast of New Jersey which sought to establish a baseline acoustic survey. The deployment proceeded for approximately three months and met all project objectives.</w:t>
      </w:r>
    </w:p>
    <w:p>
      <w:pPr>
        <w:spacing w:after="0" w:line="172" w:lineRule="exact"/>
        <w:rPr>
          <w:rFonts w:ascii="Arial" w:cs="Arial" w:eastAsia="Arial" w:hAnsi="Arial"/>
          <w:sz w:val="17"/>
          <w:szCs w:val="17"/>
          <w:color w:val="auto"/>
        </w:rPr>
      </w:pPr>
    </w:p>
    <w:p>
      <w:pPr>
        <w:jc w:val="both"/>
        <w:ind w:left="800" w:hanging="319"/>
        <w:spacing w:after="0" w:line="25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2016, we entered into a cooperative research and development agreement (“CRADA”) with the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Historic Projects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relationships and projects during recent years include, but are not limited to, the following:</w:t>
      </w:r>
    </w:p>
    <w:p>
      <w:pPr>
        <w:spacing w:after="0" w:line="225" w:lineRule="exact"/>
        <w:rPr>
          <w:sz w:val="20"/>
          <w:szCs w:val="20"/>
          <w:color w:val="auto"/>
        </w:rPr>
      </w:pPr>
    </w:p>
    <w:p>
      <w:pPr>
        <w:ind w:left="580" w:hanging="450"/>
        <w:spacing w:after="0"/>
        <w:tabs>
          <w:tab w:leader="none" w:pos="5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U.S. Navy and Department of Homeland Security.</w:t>
      </w:r>
    </w:p>
    <w:p>
      <w:pPr>
        <w:spacing w:after="0" w:line="225"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In 2012, we executed a CRADA with the U.S. Department of Homeland Security to collaborate and demonstrate persistent maritime vessel detection. The vessel detection ocean demonstration in 2013 utilized the same PowerBuoy® under the LEAP contract with additional sensors. This additional deployment provided critical data which informed our next design iteration, and which incorporated major modifications to address critical operations and reliability improvements. This project concluded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-557530</wp:posOffset>
            </wp:positionV>
            <wp:extent cx="18034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163195"/>
                    </a:xfrm>
                    <a:prstGeom prst="rect">
                      <a:avLst/>
                    </a:prstGeom>
                    <a:noFill/>
                  </pic:spPr>
                </pic:pic>
              </a:graphicData>
            </a:graphic>
          </wp:anchor>
        </w:drawing>
      </w:r>
    </w:p>
    <w:p>
      <w:pPr>
        <w:spacing w:after="0" w:line="167" w:lineRule="exact"/>
        <w:rPr>
          <w:sz w:val="20"/>
          <w:szCs w:val="20"/>
          <w:color w:val="auto"/>
        </w:rPr>
      </w:pPr>
    </w:p>
    <w:p>
      <w:pPr>
        <w:jc w:val="both"/>
        <w:ind w:left="900"/>
        <w:spacing w:after="0" w:line="264" w:lineRule="auto"/>
        <w:rPr>
          <w:sz w:val="20"/>
          <w:szCs w:val="20"/>
          <w:color w:val="auto"/>
        </w:rPr>
      </w:pPr>
      <w:r>
        <w:rPr>
          <w:rFonts w:ascii="Arial" w:cs="Arial" w:eastAsia="Arial" w:hAnsi="Arial"/>
          <w:sz w:val="18"/>
          <w:szCs w:val="18"/>
          <w:color w:val="auto"/>
        </w:rPr>
        <w:t>From 2009 to 2011, we ocean-tested our utility-scale PowerBuoy® at the U.S. Marine Corps Base, Hawaii at Kaneohe Bay. The PowerBuoy® was launched under our program with the U.S. Navy for ocean testing and demonstration of a prior iteration of our PowerBuoy®, including connection to the Oahu power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-424180</wp:posOffset>
            </wp:positionV>
            <wp:extent cx="18034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163195"/>
                    </a:xfrm>
                    <a:prstGeom prst="rect">
                      <a:avLst/>
                    </a:prstGeom>
                    <a:noFill/>
                  </pic:spPr>
                </pic:pic>
              </a:graphicData>
            </a:graphic>
          </wp:anchor>
        </w:drawing>
      </w:r>
    </w:p>
    <w:p>
      <w:pPr>
        <w:spacing w:after="0" w:line="161" w:lineRule="exact"/>
        <w:rPr>
          <w:sz w:val="20"/>
          <w:szCs w:val="20"/>
          <w:color w:val="auto"/>
        </w:rPr>
      </w:pPr>
    </w:p>
    <w:p>
      <w:pPr>
        <w:jc w:val="both"/>
        <w:ind w:left="900"/>
        <w:spacing w:after="0" w:line="253" w:lineRule="auto"/>
        <w:rPr>
          <w:sz w:val="20"/>
          <w:szCs w:val="20"/>
          <w:color w:val="auto"/>
        </w:rPr>
      </w:pPr>
      <w:r>
        <w:rPr>
          <w:rFonts w:ascii="Arial" w:cs="Arial" w:eastAsia="Arial" w:hAnsi="Arial"/>
          <w:sz w:val="18"/>
          <w:szCs w:val="18"/>
          <w:color w:val="auto"/>
        </w:rPr>
        <w:t>In 2009 and 2010, we were awarded $2.4 million and $2.75 million, respectively, from the U.S. Navy to develop a Littoral Expeditionary Autonomous PowerBuoy® (“LEAP”) prototype. The LEAP contract was developed to enhance the U.S. Navy’s territorial protection capability by providing potential persistent power at sea for port maritime surveillance in the near coast, harbor, piers and offshore areas. During the LEAP contract, we designed, built and deployed in 2011 a PowerBuoy® structure incorporating a new PTO system. The system was deployed by a U.S. Coast Guard vessel and was ocean-tested approximately 20 miles off the coast of New Jersey. It was integrated with a Rutgers University-operated land-based radar network that provided ocean current mapping data for the National Oceanographic and Atmospheric Administration (“NOAA”) and U.S. Coast Guard Search and Rescue (“SAR”) operations. The ocean test of the LEAP vessel detection system demonstrated dual-use capability of the radar network and helped to verify our technology as a potential persistent power source for systems requiring remote power at sea. During the ocean testing under these contracts, our PowerBuoy® withstood the high storm waves of Hurricane Irene which occurred in August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-1376045</wp:posOffset>
            </wp:positionV>
            <wp:extent cx="1803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163195"/>
                    </a:xfrm>
                    <a:prstGeom prst="rect">
                      <a:avLst/>
                    </a:prstGeom>
                    <a:noFill/>
                  </pic:spPr>
                </pic:pic>
              </a:graphicData>
            </a:graphic>
          </wp:anchor>
        </w:drawing>
      </w:r>
    </w:p>
    <w:p>
      <w:pPr>
        <w:spacing w:after="0" w:line="175" w:lineRule="exact"/>
        <w:rPr>
          <w:sz w:val="20"/>
          <w:szCs w:val="20"/>
          <w:color w:val="auto"/>
        </w:rPr>
      </w:pPr>
    </w:p>
    <w:p>
      <w:pPr>
        <w:jc w:val="both"/>
        <w:ind w:left="900" w:right="20"/>
        <w:spacing w:after="0" w:line="277" w:lineRule="auto"/>
        <w:rPr>
          <w:sz w:val="20"/>
          <w:szCs w:val="20"/>
          <w:color w:val="auto"/>
        </w:rPr>
      </w:pPr>
      <w:r>
        <w:rPr>
          <w:rFonts w:ascii="Arial" w:cs="Arial" w:eastAsia="Arial" w:hAnsi="Arial"/>
          <w:sz w:val="18"/>
          <w:szCs w:val="18"/>
          <w:color w:val="auto"/>
        </w:rPr>
        <w:t>From 2007 to 2013, we worked on two separate contracts to fabricate and deploy two autonomous PowerBuoys®, which were subsequently deemed obsolete, as an alternate power source for the U.S. Navy’s Deep Water Active Detection System (“DWADS”).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-293370</wp:posOffset>
            </wp:positionV>
            <wp:extent cx="18034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340" cy="163195"/>
                    </a:xfrm>
                    <a:prstGeom prst="rect">
                      <a:avLst/>
                    </a:prstGeom>
                    <a:noFill/>
                  </pic:spPr>
                </pic:pic>
              </a:graphicData>
            </a:graphic>
          </wp:anchor>
        </w:drawing>
      </w:r>
    </w:p>
    <w:p>
      <w:pPr>
        <w:spacing w:after="0" w:line="150" w:lineRule="exact"/>
        <w:rPr>
          <w:sz w:val="20"/>
          <w:szCs w:val="20"/>
          <w:color w:val="auto"/>
        </w:rPr>
      </w:pPr>
    </w:p>
    <w:p>
      <w:pPr>
        <w:ind w:left="580" w:hanging="450"/>
        <w:spacing w:after="0"/>
        <w:tabs>
          <w:tab w:leader="none" w:pos="5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Lockheed Martin</w:t>
      </w:r>
      <w:r>
        <w:rPr>
          <w:rFonts w:ascii="Arial" w:cs="Arial" w:eastAsia="Arial" w:hAnsi="Arial"/>
          <w:sz w:val="18"/>
          <w:szCs w:val="18"/>
          <w:color w:val="auto"/>
        </w:rPr>
        <w:t>. From 2004 to 2014, we had several project teaming agreements and license agreements with Lockheed Martin.</w:t>
      </w:r>
    </w:p>
    <w:p>
      <w:pPr>
        <w:spacing w:after="0" w:line="225" w:lineRule="exact"/>
        <w:rPr>
          <w:rFonts w:ascii="Arial" w:cs="Arial" w:eastAsia="Arial" w:hAnsi="Arial"/>
          <w:sz w:val="18"/>
          <w:szCs w:val="18"/>
          <w:i w:val="1"/>
          <w:iCs w:val="1"/>
          <w:color w:val="auto"/>
        </w:rPr>
      </w:pPr>
    </w:p>
    <w:p>
      <w:pPr>
        <w:jc w:val="both"/>
        <w:ind w:left="580" w:hanging="450"/>
        <w:spacing w:after="0" w:line="268" w:lineRule="auto"/>
        <w:tabs>
          <w:tab w:leader="none" w:pos="5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Australia. </w:t>
      </w:r>
      <w:r>
        <w:rPr>
          <w:rFonts w:ascii="Arial" w:cs="Arial" w:eastAsia="Arial" w:hAnsi="Arial"/>
          <w:sz w:val="17"/>
          <w:szCs w:val="17"/>
          <w:color w:val="auto"/>
        </w:rPr>
        <w:t>In 2008, we announced a Joint Development Agreement with Leighton Contractors Pty. Ltd. (“Leighton”) for the development of wave</w:t>
      </w:r>
      <w:r>
        <w:rPr>
          <w:rFonts w:ascii="Arial" w:cs="Arial" w:eastAsia="Arial" w:hAnsi="Arial"/>
          <w:sz w:val="17"/>
          <w:szCs w:val="17"/>
          <w:i w:val="1"/>
          <w:iCs w:val="1"/>
          <w:color w:val="auto"/>
        </w:rPr>
        <w:t xml:space="preserve"> </w:t>
      </w:r>
      <w:r>
        <w:rPr>
          <w:rFonts w:ascii="Arial" w:cs="Arial" w:eastAsia="Arial" w:hAnsi="Arial"/>
          <w:sz w:val="17"/>
          <w:szCs w:val="17"/>
          <w:color w:val="auto"/>
        </w:rPr>
        <w:t>power projects off the coast of Australia. In 2009,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we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The Initial Funding was returned to ARENA. We do not currently have any projects in Australia.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ind w:left="580" w:hanging="450"/>
        <w:spacing w:after="0" w:line="288" w:lineRule="auto"/>
        <w:tabs>
          <w:tab w:leader="none" w:pos="58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Reedsport, Oregon Project. </w:t>
      </w:r>
      <w:r>
        <w:rPr>
          <w:rFonts w:ascii="Arial" w:cs="Arial" w:eastAsia="Arial" w:hAnsi="Arial"/>
          <w:sz w:val="16"/>
          <w:szCs w:val="16"/>
          <w:color w:val="auto"/>
        </w:rPr>
        <w:t>We obtained a permit in 2007 from the Federal Regulatory Commission (“FERC”) for a multi-stage wave power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were taking the steps necessary to close out this project with the DOE. In May 2014, we filed an application to surrender the FERC permit for the remaining phases. In August 2014, in cooperation with the State of Oregon Department of State Lands, we removed anchoring and mooring equipment from the seabed off the coast of Oregon. In fiscal 2016, we dispositioned the PowerBuoy®. In late fiscal 2016 and early fiscal 2017, we disposed of the remaining anchoring and mooring equipment through a local entity and by June 2017 the project was closed out.</w:t>
      </w:r>
    </w:p>
    <w:p>
      <w:pPr>
        <w:spacing w:after="0" w:line="169" w:lineRule="exact"/>
        <w:rPr>
          <w:rFonts w:ascii="Arial" w:cs="Arial" w:eastAsia="Arial" w:hAnsi="Arial"/>
          <w:sz w:val="16"/>
          <w:szCs w:val="16"/>
          <w:i w:val="1"/>
          <w:iCs w:val="1"/>
          <w:color w:val="auto"/>
        </w:rPr>
      </w:pPr>
    </w:p>
    <w:p>
      <w:pPr>
        <w:jc w:val="both"/>
        <w:ind w:left="580" w:hanging="450"/>
        <w:spacing w:after="0" w:line="254" w:lineRule="auto"/>
        <w:tabs>
          <w:tab w:leader="none" w:pos="5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PowerBuoy® Development Projects. </w:t>
      </w:r>
      <w:r>
        <w:rPr>
          <w:rFonts w:ascii="Arial" w:cs="Arial" w:eastAsia="Arial" w:hAnsi="Arial"/>
          <w:sz w:val="18"/>
          <w:szCs w:val="18"/>
          <w:color w:val="auto"/>
        </w:rPr>
        <w:t>In April 2010, we received a $1.5 million award from the DOE for a feasibility study of a PowerBuoy®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produce up to 500kW of power (referred to as the “PB500”). In fiscal 2011, we received additional awards totaling $4.7 million for the PB500 structure and PTO optimization study, $2.3 million from the U.K. Government’s Technology Strategy Board and $2.4 million from the DOE. In fiscal 2014, upon completion of the concept design and associated trade studies that included detailed mechanical analyses, manufacturability and overall projected performance, the study concluded that a PB500 would not be technically feasible or economically viable. In March 2015, we successfully completed a stage gate review and a review of project deliverables with the DOE where advancements related to PTO design aspects such as reliability, cost take out, manufacturability and scalability were reviewed. Following a stage gate review, the project was successfully completed in fiscal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engage in two types of manufacturing activities: 1) the manufacturing of the high value-added PTO components for systems control, power generation and conversion, and energy storage for each PowerBuoy®; and 2) contracting with outside companies for the fabrication of the buoy structure, mooring system, and cabling.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firstLine="495"/>
        <w:spacing w:after="0" w:line="257" w:lineRule="auto"/>
        <w:rPr>
          <w:sz w:val="20"/>
          <w:szCs w:val="20"/>
          <w:color w:val="auto"/>
        </w:rPr>
      </w:pPr>
      <w:r>
        <w:rPr>
          <w:rFonts w:ascii="Arial" w:cs="Arial" w:eastAsia="Arial" w:hAnsi="Arial"/>
          <w:sz w:val="18"/>
          <w:szCs w:val="18"/>
          <w:color w:val="auto"/>
        </w:rPr>
        <w:t>Our core in-house manufacturing activity is the assembly, final systems integration and testing of the PTO and its components, which is conducted at our New Jersey facility. The power generation system consists of electro-mechanical components, and the control modules include the critical electrical and electronic systems that convert the mechanical energy into usable electricity. The sensors and control systems use sophisticated technology to optimize the performance of the PowerBuoy® in response to changing operating conditions and payload power demand. We maintain a portfolio of patents, including those that cover our power generation, power conversion and control technologies.</w:t>
      </w:r>
    </w:p>
    <w:p>
      <w:pPr>
        <w:spacing w:after="0" w:line="188"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We purchase the remaining components and materials for each PowerBuoy® from various vendors. We provide specifications to each vendor, and they are responsible for performing quality analysis and quality control over the course of construction, subject to our review of the quality and test procedure results. After the vendor completes the testing of the buoy structure, it is transported to our facility for final integration of the PTO. After each vendor completes testing of the remaining components, they are transported ready-to-install to the project site. We do not believe that we are dependent on any single vendor for manufacturing the components of and materials for our PowerBuoy®, and we believe that there are many available manufacturers for our component parts if a particular manufacturing partner should become unavailable or expensive. However, we have only manufactured our PowerBuoys® in limited quantities for use in development and testing and have limited commercial manufacturing experience, and our work with our vendors has not included work on multiple orders on time-critical deadlines. Moreover, we do not have long-term contracts with our third-party manufacturers or vendors. In order to be successful in our efforts to commercialize our PowerBuoys®, we will need to secure stable relationships with a variety of manufacturers and vendors that can supply component parts and materials for our PowerBuoy® products.</w:t>
      </w:r>
    </w:p>
    <w:p>
      <w:pPr>
        <w:spacing w:after="0" w:line="178"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In December 2017, we relocated our corporate headquarters and manufacturing operations from Pennington, New Jersey to Monroe, New Jersey. Our new facility offers approximately 56,000 square feet of manufacturing and office space, which is more than double the size of our prior facility. This larger space supports our increased operational needs, and also allows for our anticipated growth over the next several years. We believe this new facility will enable us to implement world class assembly and testing processes, emphasizing product quality and employee safety, while significantly improving our ability to increase product throughput. We believe that our decision to relocate our operations is integral to our overall business growth strategy.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We continue to enhance our marketing capabilities across our target markets and we have begun actively marketing our PowerBuoys®. We currently use a direct sales force consisting of employees and industry expert consultants. Because our PowerBuoys® use technology which is not yet considered mature by our target markets, we expect that the customer decision process could require us to spend substantial time educating end-users and stakeholders, which may result in a lengthy sales cycle.</w:t>
      </w:r>
    </w:p>
    <w:p>
      <w:pPr>
        <w:spacing w:after="0" w:line="187" w:lineRule="exact"/>
        <w:rPr>
          <w:sz w:val="20"/>
          <w:szCs w:val="20"/>
          <w:color w:val="auto"/>
        </w:rPr>
      </w:pPr>
    </w:p>
    <w:p>
      <w:pPr>
        <w:jc w:val="both"/>
        <w:ind w:firstLine="492"/>
        <w:spacing w:after="0" w:line="276" w:lineRule="auto"/>
        <w:rPr>
          <w:sz w:val="20"/>
          <w:szCs w:val="20"/>
          <w:color w:val="auto"/>
        </w:rPr>
      </w:pPr>
      <w:r>
        <w:rPr>
          <w:rFonts w:ascii="Arial" w:cs="Arial" w:eastAsia="Arial" w:hAnsi="Arial"/>
          <w:sz w:val="17"/>
          <w:szCs w:val="17"/>
          <w:color w:val="auto"/>
        </w:rPr>
        <w:t>We attend and display our products at trade shows and conferences that represent our pursued markets. In May 2019, the Company was an exhibitor at the Offshore Technology Conference in Houston, Texas. In May 2019, the Company was an exhibitor at the U.S. Navy League’s Sea-Air-Space Exposition in National Harbor, Maryland. In August 2018, the Company was an exhibitor at the Offshore North Sea 2018 Conference in Stavanger, Norway. In May 2018, we displayed our full-size PB3 PowerBuoy® at the Offshore Technology Conference in Houston, Texas. In April 2018, we highlighted our Anchorless PowerBuoy® at the Navy Forum for SBIR/STTR Transition in National Harbor, Maryland.</w:t>
      </w:r>
    </w:p>
    <w:p>
      <w:pPr>
        <w:spacing w:after="0" w:line="173" w:lineRule="exact"/>
        <w:rPr>
          <w:sz w:val="20"/>
          <w:szCs w:val="20"/>
          <w:color w:val="auto"/>
        </w:rPr>
      </w:pPr>
    </w:p>
    <w:p>
      <w:pPr>
        <w:jc w:val="both"/>
        <w:ind w:firstLine="492"/>
        <w:spacing w:after="0" w:line="279" w:lineRule="auto"/>
        <w:rPr>
          <w:sz w:val="20"/>
          <w:szCs w:val="20"/>
          <w:color w:val="auto"/>
        </w:rPr>
      </w:pPr>
      <w:r>
        <w:rPr>
          <w:rFonts w:ascii="Arial" w:cs="Arial" w:eastAsia="Arial" w:hAnsi="Arial"/>
          <w:sz w:val="17"/>
          <w:szCs w:val="17"/>
          <w:color w:val="auto"/>
        </w:rPr>
        <w:t>We market our PowerBuoys® to companies and entities requiring remote offshore power and communications; for example, oil and gas companies for potential applications such as remote sensing, trace heating, or autonomous site monitoring, power and communications for remotely operated vehicles or autonomous underwater vehicle charging stations. We also see opportunities for defense and security applications using active sensors such as high frequency radar and acoustic systems with significant processing and communications requirements.</w:t>
      </w:r>
    </w:p>
    <w:p>
      <w:pPr>
        <w:spacing w:after="0" w:line="17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Additionally, we continue to seek to enter into strategic relationships to develop application solutions with commercial and military sensor and equipment manufacturers, where we might grant licenses to manufacture, market or operate PowerBuoys® or PowerBuoy® subsystems.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As of April 30, 2019, our backlog was $0.9 million.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We expect to compete with other providers of in-ocean autonomous power sources, primarily consisting of subsea batteries, solar and fossil-fuel power sources, where many of the providers are substantially larger than OPT and may have access to greater financial resources. Incumbent sources of in-ocean power may also represent established and reliable power sources and may have already gained customer acceptance. Our ability to compete successfully for business from applications seeking in-ocean power will depend on our ability to produce and store energy reliably and at a total cost that is competitive with or lower than that of other sources, and on the on-going reliability of our product and customer perception of our company. Our ability to compete effectively may be adversely affected by our current need for additional financing and our future customers’ concerns about our long-term viability.</w:t>
      </w:r>
    </w:p>
    <w:p>
      <w:pPr>
        <w:spacing w:after="0" w:line="16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We also may eventually compete against other renewable wave generated power providers. As of June 2018, there were more than nearly 260 companies, some with institutional funding, listed in the DOE’s Marine and Hydrokinetic (“MHK”) Technology Database. This DOE database provides up-to-date information on marine and hydrokinetic renewable energy technologies and companies, both in the U.S. and around the world. Many of these companies are located in the U.K., continental Europe, Japan, Israel, the U.S. and Australia, and many of those companies are pursuing the utility, grid-connected energy market. The MHK industry is both highly competitive and continually evolving as participants strive to differentiate themselves by promoting their specific technology focusing on cost and efficiency. The companies are subdivided by implementation: wave power, current power, tidal and ocean thermal energy conversion. Within wave power, the technologies are classified as point absorber, oscillating wave column, overtopping device, attenuator and oscillating wave surge converter. Our PowerBuoy® wave energy converter is classified as a point absorber.</w:t>
      </w:r>
    </w:p>
    <w:p>
      <w:pPr>
        <w:spacing w:after="0" w:line="179"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The vast majority of the companies in the DOE’s database are small, start-up type companies with a small number of employees and in early stage development that do not have our in-ocean validation experience. Only a few of these companies have conducted testing similar to us, such as accelerated life testing and extensive wave tank testing on reduced scale models of their devices. We believe our in-ocean experience is critical in proving the reliability, survivability and performance of any wave energy system, which we believe our future customers will require before adopting any wave generated energy solution. We believe our experience gained through full scale in-ocean deployments, coupled with other types of factory and laboratory testing, and our resulting understanding of risks and failure modes provides us with an advantage compared to potential wave energy competitors.</w:t>
      </w:r>
    </w:p>
    <w:p>
      <w:pPr>
        <w:spacing w:after="0" w:line="16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Our analysis of the DOE database indicates that approximately 20 wave energy technologies were selected for further evaluation by the DOE, primarily based on company financial capability, type of system and potential to compete in autonomous (non-grid connected) markets. Of these, there are three companies that we believe may have the technical capability and financial viability to compete in the offshore autonomous power market; however, their technologies are still in early stage development with limited ocean testing. We believe that none of these technologies are at the maturity level of our current PB3 PowerBuoy®, and because of this we believe that we continue to maintain a first mover advantage.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We believe that our technology differentiates us from other providers of wave energy conversion technologies. As a result, our success depends in part on our ability to obtain and maintain proprietary protection for our products, technology and know-how, to operate without infringing upon the proprietary rights of others and to prevent others from infringing upon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193"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As of June 2019, we have been issued 66 U.S. patents, of which 47 are active and 18 have expired and 1 was abandoned. Outside of the U.S. we have been issued 237 patents across 13 countries with 37 of the active U.S. patents having at least one corresponding issued foreign patent. We have filed for 4 additional U.S. patents and none of the U.S. patents applications have corresponding foreign patent applications. Our patent portfolio includes patents and patent applications with claims directed to:</w:t>
      </w:r>
    </w:p>
    <w:p>
      <w:pPr>
        <w:spacing w:after="0" w:line="187" w:lineRule="exact"/>
        <w:rPr>
          <w:sz w:val="20"/>
          <w:szCs w:val="20"/>
          <w:color w:val="auto"/>
        </w:rPr>
      </w:pPr>
    </w:p>
    <w:p>
      <w:pPr>
        <w:ind w:left="580" w:hanging="45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3" w:lineRule="exact"/>
        <w:rPr>
          <w:rFonts w:ascii="Arial" w:cs="Arial" w:eastAsia="Arial" w:hAnsi="Arial"/>
          <w:sz w:val="18"/>
          <w:szCs w:val="18"/>
          <w:color w:val="auto"/>
        </w:rPr>
      </w:pPr>
    </w:p>
    <w:p>
      <w:pPr>
        <w:ind w:left="580" w:hanging="45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9" w:lineRule="exact"/>
        <w:rPr>
          <w:rFonts w:ascii="Arial" w:cs="Arial" w:eastAsia="Arial" w:hAnsi="Arial"/>
          <w:sz w:val="18"/>
          <w:szCs w:val="18"/>
          <w:color w:val="auto"/>
        </w:rPr>
      </w:pPr>
    </w:p>
    <w:p>
      <w:pPr>
        <w:ind w:left="580" w:hanging="45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9" w:lineRule="exact"/>
        <w:rPr>
          <w:rFonts w:ascii="Arial" w:cs="Arial" w:eastAsia="Arial" w:hAnsi="Arial"/>
          <w:sz w:val="18"/>
          <w:szCs w:val="18"/>
          <w:color w:val="auto"/>
        </w:rPr>
      </w:pPr>
    </w:p>
    <w:p>
      <w:pPr>
        <w:ind w:left="580" w:hanging="45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9" w:lineRule="exact"/>
        <w:rPr>
          <w:rFonts w:ascii="Arial" w:cs="Arial" w:eastAsia="Arial" w:hAnsi="Arial"/>
          <w:sz w:val="18"/>
          <w:szCs w:val="18"/>
          <w:color w:val="auto"/>
        </w:rPr>
      </w:pPr>
    </w:p>
    <w:p>
      <w:pPr>
        <w:ind w:left="580" w:hanging="45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11"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expiration dates for our issued U.S. patents range from 2019 to 2037.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use trademarks on nearly all our products and believe that having distinctive marks is an important factor in marketing our products. We have</w:t>
      </w:r>
    </w:p>
    <w:p>
      <w:pPr>
        <w:spacing w:after="0" w:line="35" w:lineRule="exact"/>
        <w:rPr>
          <w:sz w:val="20"/>
          <w:szCs w:val="20"/>
          <w:color w:val="auto"/>
        </w:rPr>
      </w:pPr>
    </w:p>
    <w:p>
      <w:pPr>
        <w:jc w:val="both"/>
        <w:spacing w:after="0" w:line="182" w:lineRule="auto"/>
        <w:rPr>
          <w:sz w:val="20"/>
          <w:szCs w:val="20"/>
          <w:color w:val="auto"/>
        </w:rPr>
      </w:pPr>
      <w:r>
        <w:rPr>
          <w:rFonts w:ascii="Arial" w:cs="Arial" w:eastAsia="Arial" w:hAnsi="Arial"/>
          <w:sz w:val="17"/>
          <w:szCs w:val="17"/>
          <w:color w:val="auto"/>
        </w:rPr>
        <w:t xml:space="preserve">registered our PB-Vue </w:t>
      </w:r>
      <w:r>
        <w:rPr>
          <w:rFonts w:ascii="Arial" w:cs="Arial" w:eastAsia="Arial" w:hAnsi="Arial"/>
          <w:sz w:val="27"/>
          <w:szCs w:val="27"/>
          <w:color w:val="auto"/>
          <w:vertAlign w:val="superscript"/>
        </w:rPr>
        <w:t>®</w:t>
      </w:r>
      <w:r>
        <w:rPr>
          <w:rFonts w:ascii="Arial" w:cs="Arial" w:eastAsia="Arial" w:hAnsi="Arial"/>
          <w:sz w:val="17"/>
          <w:szCs w:val="17"/>
          <w:color w:val="auto"/>
        </w:rPr>
        <w:t xml:space="preserve">, OPTMicrobuoy </w:t>
      </w:r>
      <w:r>
        <w:rPr>
          <w:rFonts w:ascii="Arial" w:cs="Arial" w:eastAsia="Arial" w:hAnsi="Arial"/>
          <w:sz w:val="27"/>
          <w:szCs w:val="27"/>
          <w:color w:val="auto"/>
          <w:vertAlign w:val="superscript"/>
        </w:rPr>
        <w:t>®</w:t>
      </w:r>
      <w:r>
        <w:rPr>
          <w:rFonts w:ascii="Arial" w:cs="Arial" w:eastAsia="Arial" w:hAnsi="Arial"/>
          <w:sz w:val="17"/>
          <w:szCs w:val="17"/>
          <w:color w:val="auto"/>
        </w:rPr>
        <w:t xml:space="preserve">, CellBuoy </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PowerTower </w:t>
      </w:r>
      <w:r>
        <w:rPr>
          <w:rFonts w:ascii="Arial" w:cs="Arial" w:eastAsia="Arial" w:hAnsi="Arial"/>
          <w:sz w:val="27"/>
          <w:szCs w:val="27"/>
          <w:color w:val="auto"/>
          <w:vertAlign w:val="superscript"/>
        </w:rPr>
        <w:t>®</w:t>
      </w:r>
      <w:r>
        <w:rPr>
          <w:rFonts w:ascii="Arial" w:cs="Arial" w:eastAsia="Arial" w:hAnsi="Arial"/>
          <w:sz w:val="17"/>
          <w:szCs w:val="17"/>
          <w:color w:val="auto"/>
        </w:rPr>
        <w:t xml:space="preserve">, Making Waves in Power </w:t>
      </w:r>
      <w:r>
        <w:rPr>
          <w:rFonts w:ascii="Arial" w:cs="Arial" w:eastAsia="Arial" w:hAnsi="Arial"/>
          <w:sz w:val="27"/>
          <w:szCs w:val="27"/>
          <w:color w:val="auto"/>
          <w:vertAlign w:val="superscript"/>
        </w:rPr>
        <w:t>®</w:t>
      </w:r>
      <w:r>
        <w:rPr>
          <w:rFonts w:ascii="Arial" w:cs="Arial" w:eastAsia="Arial" w:hAnsi="Arial"/>
          <w:sz w:val="17"/>
          <w:szCs w:val="17"/>
          <w:color w:val="auto"/>
        </w:rPr>
        <w:t xml:space="preserve">, Talk on Water </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w:t>
      </w:r>
      <w:r>
        <w:rPr>
          <w:sz w:val="1"/>
          <w:szCs w:val="1"/>
          <w:color w:val="auto"/>
        </w:rPr>
        <w:drawing>
          <wp:inline distT="0" distB="0" distL="0" distR="0">
            <wp:extent cx="643255" cy="1117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3255" cy="111760"/>
                    </a:xfrm>
                    <a:prstGeom prst="rect">
                      <a:avLst/>
                    </a:prstGeom>
                    <a:noFill/>
                    <a:ln>
                      <a:noFill/>
                    </a:ln>
                  </pic:spPr>
                </pic:pic>
              </a:graphicData>
            </a:graphic>
          </wp:inline>
        </w:drawing>
      </w:r>
      <w:r>
        <w:rPr>
          <w:rFonts w:ascii="Arial" w:cs="Arial" w:eastAsia="Arial" w:hAnsi="Arial"/>
          <w:sz w:val="27"/>
          <w:szCs w:val="27"/>
          <w:color w:val="auto"/>
          <w:vertAlign w:val="superscript"/>
        </w:rPr>
        <w:t xml:space="preserve">® </w:t>
      </w:r>
      <w:r>
        <w:rPr>
          <w:rFonts w:ascii="Arial" w:cs="Arial" w:eastAsia="Arial" w:hAnsi="Arial"/>
          <w:sz w:val="17"/>
          <w:szCs w:val="17"/>
          <w:color w:val="auto"/>
        </w:rPr>
        <w:t>marks in the</w:t>
      </w:r>
      <w:r>
        <w:rPr>
          <w:rFonts w:ascii="Arial" w:cs="Arial" w:eastAsia="Arial" w:hAnsi="Arial"/>
          <w:sz w:val="27"/>
          <w:szCs w:val="27"/>
          <w:color w:val="auto"/>
        </w:rPr>
        <w:t xml:space="preserve"> </w:t>
      </w:r>
      <w:r>
        <w:rPr>
          <w:rFonts w:ascii="Arial" w:cs="Arial" w:eastAsia="Arial" w:hAnsi="Arial"/>
          <w:sz w:val="17"/>
          <w:szCs w:val="17"/>
          <w:color w:val="auto"/>
        </w:rPr>
        <w:t>United States. Trademark ownership is generally of indefinite duration when marks are properly maintained in commercial use.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PowerBuoys® are subject to regulation in the U.S. and in foreign jurisdictions concerning, among other areas, site approval and environmental approval and compliance. In order to encourage the adoption of offshore power solutions, many governments offer subsidies and other financial incentives and have mandated renewable energy targets which some of our customers may be able to leverage. However, these subsidies, incentives and targets may not be applicable to our technology and therefore may not be available to our customers.</w:t>
      </w:r>
    </w:p>
    <w:p>
      <w:pPr>
        <w:spacing w:after="0" w:line="187"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The renewable energy industry has also been subject to increasing regulation. As the renewable energy industry continues to evolve and as the wave energy industry continues to evolve, we anticipate that wave energy technology and our PowerBuoys® and their deployment will be subject to increased oversight and regulation in accordance with international, national and local regulations relating to safety, sites, and environmental protection.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Site Approval, Environmental Approval and Compliance</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We present additional information regarding the regulatory requirements relating to our in-ocean deployments above, under “Product and Technologies - Deployments.”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left="240"/>
        <w:spacing w:after="0"/>
        <w:rPr>
          <w:sz w:val="20"/>
          <w:szCs w:val="20"/>
          <w:color w:val="auto"/>
        </w:rPr>
      </w:pPr>
      <w:r>
        <w:rPr>
          <w:rFonts w:ascii="Arial" w:cs="Arial" w:eastAsia="Arial" w:hAnsi="Arial"/>
          <w:sz w:val="18"/>
          <w:szCs w:val="18"/>
          <w:b w:val="1"/>
          <w:bCs w:val="1"/>
          <w:i w:val="1"/>
          <w:iCs w:val="1"/>
          <w:color w:val="auto"/>
        </w:rPr>
        <w:t>Subsidies and Incentives</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Renewable energy subsidies and incentives are generally applicable only to electric generation and supply to the utility grid. However, our autonomous applications may permit a customer to reduce its carbon emissions, which our potential customers may be able to publicize in their environmental stewardship reports.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As of April 30, 2019, we had 39 full-time employees. Of these employees, 38 are located in the United States and one is located in the United Kingdom. We believe that our future success will depend in part on our continued ability to attract, hire and retain qualified personnel. None of our employees are represented by a labor union, and we believe our employee relations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You should carefully consider the following risk factors together with the other information contained in this Annual Report on Form 10-K, and in prior reports pursuant to the Securities Exchange Act of 1934,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Our financial statements have been prepared assuming we will continue as a going concern. Due to the significant engineering and product development costs associated with our business and operations, we have experienced substantial and recurring losses from operations, which have contributed to an accumulated deficit of $209.8 million at April 30, 2019. At April 30, 2019, the Company had approximately $17.2 million in cash, cash equivalents and restricted cash on hand. The Company generated revenues of only $0.6 million and $0.5 million during the twelve months ended April 30, 2019 and 2018. Based on the Company’s cash, cash equivalents and restrictive cash balances as of April 30, 2019, the Company believes that it will be able to finance its capital requirements and operations into the quarter ending July 31, 2020.</w:t>
      </w:r>
    </w:p>
    <w:p>
      <w:pPr>
        <w:spacing w:after="0" w:line="178"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We continue to experience operating losses and currently have four revenue producing contracts. During fiscal 2019, our net burn rate (cash used in operations less cash generated by operations) including product development spending was approximately $1.0 million per month.</w:t>
      </w:r>
    </w:p>
    <w:p>
      <w:pPr>
        <w:spacing w:after="0" w:line="147"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$14.4 million in fiscal 2020 including product development spending of more than $7.4 million. However, we may choose to reduce our operating expenses through personnel reductions, and reductions in our research and development and other operating costs during fiscal year 2020, if we are not successful in our efforts to sell enough products. We cannot assure our stockholders that we will be able to increase our revenues and cash flow to a level which would support our operations and provide sufficient funds to pay our obligations for the foreseeable future. Further, we cannot assure our stockholders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Historically, we have funded our business operations through sales of equity securities. We do not know whether we will be able to secure additional funding or, if secured, whether the terms will be favorable to us or our investors. Our ability to obtain additional funding will be subject to a number of factors, including market conditions, our operating performance, pending litigation and investor sentiment. These factors may make additional funding unavailability, or the timing, dollar amount, and terms and conditions of additional funding unattractive.</w:t>
      </w:r>
    </w:p>
    <w:p>
      <w:pPr>
        <w:spacing w:after="0" w:line="187"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If we issue additional securities to raise capital, our existing stockholders could experience dilution or may be subordinated to any rights, preferences or privileges granted to the new security holders.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 and we may be unable to continue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We have incurred net losses since we began operations in 1994, including net losses of $12.2 million and $10.2 million in fiscal 2019 and 2018, respectively. As of April 30, 2019, we had an accumulated deficit of $209.8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58"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25"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193" w:lineRule="exact"/>
        <w:rPr>
          <w:sz w:val="20"/>
          <w:szCs w:val="20"/>
          <w:color w:val="auto"/>
        </w:rPr>
      </w:pPr>
    </w:p>
    <w:p>
      <w:pPr>
        <w:ind w:left="780" w:hanging="65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timing of contract awards and determinations of work scope;</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25"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successfully develop and market new products;</w:t>
      </w:r>
    </w:p>
    <w:p>
      <w:pPr>
        <w:spacing w:after="0" w:line="225"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inherent uncertainties in our manufacturing processes.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25"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sale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for substantially all of our revenues. The loss of, or a significant reduction in revenues from, any of these customers could significantly reduce our revenues and harm our operating results.</w:t>
      </w:r>
    </w:p>
    <w:p>
      <w:pPr>
        <w:spacing w:after="0" w:line="170"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Historically, a small number of customers have provided substantially all of our revenues and we expect that such concentration will continue for the foreseeable future. In fiscal 2019 commercial contracts accounted for 92% of our revenues and governmental contracts accounted for 8%. In fiscal 2018, revenues from commercial contacts accounted for 86% of our revenues and governmental contracts accounted for 14%. Because we currently have a small number of customers and contracts, problems with a single contract would adversely affect our business, financial condition and results of operations.</w:t>
      </w:r>
    </w:p>
    <w:p>
      <w:pPr>
        <w:spacing w:after="0" w:line="154"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A customer’s payment default, or the loss of a customer as a result of competition, creditworthiness, our failure to perform, our inability to negotiate extensions or replacements of contracts, or otherwise, would adversely affect our business, financial condition and results of operations. We cannot assure you that we will be successful in our efforts to secure additional commercial customers, or additional revenue-generating contracts.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even if achieved, sustain profitability.</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70" w:lineRule="exact"/>
        <w:rPr>
          <w:sz w:val="20"/>
          <w:szCs w:val="20"/>
          <w:color w:val="auto"/>
        </w:rPr>
      </w:pPr>
    </w:p>
    <w:p>
      <w:pPr>
        <w:ind w:left="780" w:hanging="650"/>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reliability and cost-effectiveness of wave energy technology compared to conventional sources and products;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economic and market conditions, such as increases or decreases in the prices of oil and other fossil fuels;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of new and profitable applications requiring the type of remote electric power provided by our autonomous wave energy systems.</w:t>
      </w:r>
    </w:p>
    <w:p>
      <w:pPr>
        <w:spacing w:after="0" w:line="248"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If wave energy technology does not gain broad commercial acceptance, it is unlikely that we will be able to commercialize our PowerBuoy® and our business will be materially harmed, in which case, we may curtail or cease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If sufficient demand for our PowerBuoy® or new products does not develop or takes longer to develop than we anticipate, our revenue generation will be limited, and it is unlikely that we will be able to achieve and, if achieved, then sustain profitability.</w:t>
      </w:r>
    </w:p>
    <w:p>
      <w:pPr>
        <w:spacing w:after="0" w:line="170"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Even if wave energy technology achieves broad commercial acceptance, our PowerBuoys® may not prove to be a commercially viable technology for generating electricity from ocean waves. We have invested a significant portion of our time and financial resources since our inception in the development of our PowerBuoys® but have not yet achieved successful commercialization of our PowerBuoys®. As we seek to manufacture, market, sell and deploy our PowerBuoys® in greater quantities, we may encounter unforeseen hurdles that would limit the commercial viability of our PowerBuoys®, including unanticipated manufacturing, deployment, operating, maintenance and other costs. Our target customers and we may also encounter technical obstacles to deploying, operating and maintaining PowerBuoys®.</w:t>
      </w:r>
    </w:p>
    <w:p>
      <w:pPr>
        <w:spacing w:after="0" w:line="193"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If demand for our PowerBuoys® or new products fails to develop sufficiently, it is unlikely that we will be able to grow our business or generate sufficient revenues to achieve and then sustain profitability. In addition, demand for PowerBuoys® in our presently targeted markets, including parts of North America, Europe, South America and Asia, may not develop or may develop to a lesser extent than we anticipate.</w:t>
      </w:r>
    </w:p>
    <w:p>
      <w:pPr>
        <w:spacing w:after="0" w:line="18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If we are not successful in commercializing our PowerBuoy® or new products, or are significantly delayed in doing so, our business, financial condition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and retain management and other qualified personnel, we may not be able to achieve our business objectives.</w:t>
      </w:r>
    </w:p>
    <w:p>
      <w:pPr>
        <w:spacing w:after="0" w:line="237"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Our success depends on the skills, experience and efforts of our senior management and other key product development, manufacturing, and sales and marketing employees. We have limited financial resources and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the new executives gain detailed knowledge of our operations and due to cultural differences, that may result from changes in strategy and style. Without consistent and experienced leadership, customers, employees, creditors, stockholders and others may lose confidence in us.</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To be successful, we need to retain key personnel. Qualified individuals, including engineers and project managers, are in high demand, and we may incur significant costs to attract and retain them. With the exception of our President and Chief Executive Officer, all of our officers and other employees are at-will employees, which means they can terminate their employment relationship with us at any time, and their knowledge of our business and industry would be difficult to replace. If we lose the services of key personnel, or do not hire or retain other personnel for key positions, our business, results of operations and stock price could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this could adversely affect our business and operations.</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The scope of our operations to date has been limited, and we do not have experience operating on the scale that we believe may be necessary to achieve profitable operations. Our current personnel, facilities, systems and internal procedures and controls may not be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desired growth, we may need to add sales, marketing and engineering offices in our existing and/or additional locations, which may include areas such as Australia, Japan, and continental Europe, and which may result in additional organizational complexity.</w:t>
      </w:r>
    </w:p>
    <w:p>
      <w:pPr>
        <w:spacing w:after="0" w:line="178"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To manage the expansion of our operations, we may be required to improve our operational and financial systems, procedures and controls, increase our manufacturing capacity and throughput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70"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An important element of our business strategy is to enter into service contracts with our customers under which we would be paid fees for services related to the maintenance and operation of the PowerBuoys® purchased from us. In addition, we may offer to lease PowerBuoys®, sell power generated by PowerBuoys® or sell data gathered by sensors on our PowerBuoys®. Even if customers purchase or lease our PowerBuoys®, they may not enter into service contracts with us. We may not be able to negotiate service, power sale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the PowerBuoys® could be impaired. Any one of these outcomes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Since our PowerBuoys® can only be deployed in certain geographic locations, our ability to grow our business could be adversely affected.</w:t>
      </w:r>
    </w:p>
    <w:p>
      <w:pPr>
        <w:spacing w:after="0" w:line="237"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Our PowerBuoys® are designed for use offshore, but not all offshore areas worldwide have appropriate natural resources for our PowerBuoys® to harness wave energy. Seasonal and local variations, water depth and the effect of particular locations of islands and other geographical features may limit our ability to deploy our PowerBuoys® in certain coastal areas. If we are unable to identify and deploy PowerBuoys® at sufficient sites with appropriate natural resources to permit our PowerBuoys® to capture wave energy, our ability to grow our business could be adversely affected.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70"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have been and expect to continue to be highly dependent on third parties to supply or manufacture components of our PowerBuoys®. If, for any reason, our third-party manufacturers or vendors are not willing or able to provide us with components or supplies in a timely fashion, or at all, our ability to manufacture and sell many of our products could be impaired.</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81"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In addition, we rely on third parties, under our oversight, for the deployment and mooring of our PowerBuoys®. We have utilized several different deployment methods, including towing the PowerBuoy® to the deployment location and transporting the PowerBuoy® to the deployment location by barge or ocean workboat. If these third parties do not properly deploy our systems, cannot effectively deploy the PowerBuoy®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in joint ventures could be adversely affected by our lack of sole decision-making authority, our reliance on a co-venture’s financial condition and disputes between us and our co-venture partners.</w:t>
      </w:r>
    </w:p>
    <w:p>
      <w:pPr>
        <w:spacing w:after="0" w:line="170"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It is part of our strategy that we may co-invest with third parties through joint ventures or by acquiring non-controlling interests in special purpose entities. In these situations, we may not be in a position to exercise sole decision-making authority regarding the joint venture. Our co-ventures may have economic or other business interests or goals that may not be consistent with our own and may be in a position to take actions that are contrary to our policies or objectives. Additionally, investments in joint ventures involve risks that would not be present were a third party not involved, including the possibility that our co-ventures might become bankrupt or fail to fund their share of required capital contributions. Disputes between us and our co-venture partners may result in litigation or arbitration that would increase our expenses and prevent our officers and/or directors from focusing their time and effort on our business. In addition, we may not be able to identify appropriate strategic partners, or successfully negotiate, finance or operate any joint ventures or other collaborative projects to advance this aspect of our strategy. Consequently, both the entrance into a joint venture itself, or the failure to identify appropriate potential opportunities, could materially and adversely affect our business, financial condition and results of operations.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targeted markets are highly competitive. We compete against incumbent solutions already being utilized by our customers and potential customers. If we are unable to compete effectively, we may be unable to increase our revenues and achieve or maintain profitability.</w:t>
      </w:r>
    </w:p>
    <w:p>
      <w:pPr>
        <w:spacing w:after="0" w:line="147"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In our targeted markets, which are highly competitive, we compete against incumbent power solutions already being utilized by our customers and potential customers. If we are unable to demonstrate to our customers and our potential customers that our PowerBuoy® is cost competitive to their existing alternative power solutions, or if it takes us longer to do so than we anticipate, we may be unable to expand our business, maintain our competitive position, satisfy our contractual obligations, continue to commercialize our PowerBuoy®, or become profitable. In addition, if the cost associated with these development efforts exceeds our projections, our results of operations could be materially and adversely affected.</w:t>
      </w:r>
    </w:p>
    <w:p>
      <w:pPr>
        <w:spacing w:after="0" w:line="173"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In addition,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power, we may not be able to respond effectively to competitive pressures from other renewable energy technologies or improvements to existing technologies.</w:t>
      </w:r>
    </w:p>
    <w:p>
      <w:pPr>
        <w:spacing w:after="0" w:line="17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market and plan to market our products in multiple international markets. If we are unable to manage our international operations effectively, our business, financial condition and results of operations could be adversely affected.</w:t>
      </w:r>
    </w:p>
    <w:p>
      <w:pPr>
        <w:spacing w:after="0" w:line="170"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We market and plan to market our products in multiple global regions, including parts of North America, Europe, South America and Asia, and we are therefore subject to risks associated with having international operations. Revenues from customers who are based outside of the U.S. accounted for 92% of our revenues in fiscal 2019 and 86% of our revenues in fiscal 2018. Risks inherent in international operations include, but are not limited to, the following:</w:t>
      </w:r>
    </w:p>
    <w:p>
      <w:pPr>
        <w:spacing w:after="0" w:line="147" w:lineRule="exact"/>
        <w:rPr>
          <w:sz w:val="20"/>
          <w:szCs w:val="20"/>
          <w:color w:val="auto"/>
        </w:rPr>
      </w:pPr>
    </w:p>
    <w:p>
      <w:pPr>
        <w:ind w:left="780" w:hanging="650"/>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25" w:lineRule="exact"/>
        <w:rPr>
          <w:rFonts w:ascii="Arial" w:cs="Arial" w:eastAsia="Arial" w:hAnsi="Arial"/>
          <w:sz w:val="18"/>
          <w:szCs w:val="18"/>
          <w:color w:val="auto"/>
        </w:rPr>
      </w:pPr>
    </w:p>
    <w:p>
      <w:pPr>
        <w:ind w:left="780" w:right="20" w:hanging="650"/>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left="780" w:hanging="650"/>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PowerBuoys® and make us less competitive in some countries;</w:t>
      </w:r>
    </w:p>
    <w:p>
      <w:pPr>
        <w:spacing w:after="0" w:line="170"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exchange rates may affect demand for our PowerBuoys® and may adversely affect our profitability in U.S. dollars to the extent the price of our PowerBuoys® and cost of raw materials and labor are denominated in a foreign currency;</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25"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PowerBuoys®;</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anticipate that our contracts with our customers will generally include cancellation for convenience clauses that permit our customers to terminate the contract for their convenience; if a customer were to terminate its contract with us for convenience, this could materially adversely affect our business.</w:t>
      </w:r>
    </w:p>
    <w:p>
      <w:pPr>
        <w:spacing w:after="0" w:line="181" w:lineRule="exact"/>
        <w:rPr>
          <w:sz w:val="20"/>
          <w:szCs w:val="20"/>
          <w:color w:val="auto"/>
        </w:rPr>
      </w:pPr>
    </w:p>
    <w:p>
      <w:pPr>
        <w:jc w:val="both"/>
        <w:ind w:firstLine="492"/>
        <w:spacing w:after="0" w:line="302" w:lineRule="auto"/>
        <w:rPr>
          <w:sz w:val="20"/>
          <w:szCs w:val="20"/>
          <w:color w:val="auto"/>
        </w:rPr>
      </w:pPr>
      <w:r>
        <w:rPr>
          <w:rFonts w:ascii="Arial" w:cs="Arial" w:eastAsia="Arial" w:hAnsi="Arial"/>
          <w:sz w:val="16"/>
          <w:szCs w:val="16"/>
          <w:color w:val="auto"/>
        </w:rPr>
        <w:t>We anticipate that our contracts with our customers will be structured as capital equipment contracts or capital equipment leases, and could include a cancellation for convenience clause, which we believe is relatively standard in these types of contracts. Cancellation for convenience clauses allow the customer to cancel the contract or lease at their option without cause prior to defined points in time, generally subject to a reasonable notice period. If any of our current or future customers were to cancel their contracts with us for convenience, such cancellation could adversely affect our business.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Cyber-security breaches of our systems and information technology could adversely impact our ability to operate.</w:t>
      </w:r>
    </w:p>
    <w:p>
      <w:pPr>
        <w:spacing w:after="0" w:line="225" w:lineRule="exact"/>
        <w:rPr>
          <w:sz w:val="20"/>
          <w:szCs w:val="20"/>
          <w:color w:val="auto"/>
        </w:rPr>
      </w:pPr>
    </w:p>
    <w:p>
      <w:pPr>
        <w:jc w:val="both"/>
        <w:ind w:left="40" w:firstLine="365"/>
        <w:spacing w:after="0" w:line="268" w:lineRule="auto"/>
        <w:rPr>
          <w:sz w:val="20"/>
          <w:szCs w:val="20"/>
          <w:color w:val="auto"/>
        </w:rPr>
      </w:pPr>
      <w:r>
        <w:rPr>
          <w:rFonts w:ascii="Arial" w:cs="Arial" w:eastAsia="Arial" w:hAnsi="Arial"/>
          <w:sz w:val="17"/>
          <w:szCs w:val="17"/>
          <w:color w:val="auto"/>
        </w:rPr>
        <w:t>We utilize, develop, install and maintain a number of information technology systems both for us and for others. Various privacy and security laws require us to protect sensitive and confidential information from disclosure. In addition, we are bound by our client and other contracts, as well as our own business practices, to protect confidential and proprietary information (whether it be ours or a third party’s information entrusted to us) from disclosure. Our computer systems, as well as those of our clients, contractors and other vendors, face the threat of unauthorized access, computer hackers, viruses, malicious code, cyber-attacks, phishing and other security incursions and system disruptions, including attempts to improperly access our confidential and proprietary information as well as the confidential and proprietary information of our clients and other business partners. While we endeavor to maintain industry-accepted security measures and technology to secure our computer systems and while we endeavor to ensure our cloud vendors that store our data maintain similar measures, these systems and the information stored on these systems may still be subject to threats. There can be no assurance that our efforts will prevent these threats. Further, as these security threats continue to evolve, we may be required to devote additional resources to protect, prevent, detect and respond against such threats. A party who circumvents our security measures, or those of our clients, contractors or other vendors, could misappropriate confidential or proprietary information, improperly manipulate data, or cause damage or interruptions to systems. Any of these events could damage our reputation, result in litigation and regulatory fines and penalties, or have a material adverse effect on our business,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engineering and product development costs are substantial and may increase in the future.</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Our engineering and product development costs primarily relate to our efforts to increase the output, durability and commercial viability of our PowerBuoy®. Our engineering and product development costs were $5.0 million and $4.3 million in fiscal 2019 and 2018, respectively. It is our goal to fund the majority of our engineering and product development expenses, including cost sharing obligations under some of our customer contracts, over the next several years with sources of external funding, but we do not currently have any such committed sources of funding, and we may not be able to secure any such funding in the future. If we are unable to obtain external funding, our operations may be materially and adversely affected, and we may be required to curtail our engineering and product development expenses, among other consequences.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b w:val="1"/>
          <w:bCs w:val="1"/>
          <w:i w:val="1"/>
          <w:iCs w:val="1"/>
          <w:color w:val="auto"/>
        </w:rPr>
        <w:t>We have only manufactured a limited number of PowerBuoys® and to date we have not produced PowerBuoys® in any significant quantity or for commercial production. Our PowerBuoys® have been used for testing and development and may not have a sufficient operating history to confirm how they will perform over their estimated useful life.</w:t>
      </w:r>
    </w:p>
    <w:p>
      <w:pPr>
        <w:spacing w:after="0" w:line="181"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We began developing and testing wave energy technology over 15 years ago. However, to date, we have only manufactured a limited number of PowerBuoys® for use in ocean testing and development. The longest continuous in-ocean deployment of our PowerBuoy® was from December 2009 to January 2012. As a result, our PowerBuoys® may not have a sufficient operating history to confirm how they will perform over their estimated useful life. Our technology may not yet have demonstrated that our engineering and test results can be duplicated in volume or in commercial production. We have conducted and plan to continue to conduct practical testing of our PowerBuoy®. If our PowerBuoy® is ultimately proven ineffective or unfeasible, we may not be able to engage in commercial production of our products or we may become liable to our customers for quantities we are obligated but are unable to produce. If our PowerBuoys® perform below expectations, we could lose customers and face substantial repair and replacement expenses which could in turn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numerous accident and safety risks and hazards, including extreme environmental hazards, which are inherent in offshore operations.</w:t>
      </w:r>
    </w:p>
    <w:p>
      <w:pPr>
        <w:spacing w:after="0" w:line="248"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PowerBuoys®. These hazards and risks could result in personal injuries, loss of life, liberation of a PowerBuoy® from its mooring due to extreme environmental conditions and damage caused by its drifting, and other damages which may include damage to our properties, including our PowerBuoy®,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that we will be able to maintain adequate insurance in the future at reasonable rates.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70"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An important element of our business strategy is to enter into application development agreements and strategic alliances with companies committed to providing products and services which require in-ocean energy sources. Generally, these types of relationships obligate us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revenues or sources of financing. If we are unable to reach agreements with additional suitable alliance partners, we may fail to meet our business objectives for the commercialization of our PowerBuoys®.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There can be no assurance that we will receive such additional funding. In addition, strategic relationships may not be successful, and we may be unable to sell and market our PowerBuoys® to these companies, their affiliates and customers in the future, or growth opportunities may not materialize. Any of which could adversely affect our business, financial condition and results of operations.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70"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We plan to manufacture key components of our PowerBuoys®, including the PTO advanced control and generation systems, while outsourcing the manufacturing for other components of our PowerBuoys®, including the structure itself. However, we have only manufactured our PowerBuoys® in limited quantities for use in development and testing and have limited commercial manufacturing experience, and our work with our vendors has not included work on multiple orders on time-critical deadlines. Our future success depends on our ability to significantly increase both our manufacturing capacity and production throughput in a cost-effective and efficient manner, and to manage multiple vendors with several orders on specific deadlines. In order to meet our growth objectives, we will need to increase our engineering, contract management, and manufacturing staff. There is intense competition for hiring qualified technical and engineering personnel, and we have limited funding available to retain such additional staff. Therefore, we may not be able to hire a sufficient number of qualified personnel to allow us to meet our growth objectives.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firstLine="495"/>
        <w:spacing w:after="0" w:line="279" w:lineRule="auto"/>
        <w:rPr>
          <w:sz w:val="20"/>
          <w:szCs w:val="20"/>
          <w:color w:val="auto"/>
        </w:rPr>
      </w:pPr>
      <w:r>
        <w:rPr>
          <w:rFonts w:ascii="Arial" w:cs="Arial" w:eastAsia="Arial" w:hAnsi="Arial"/>
          <w:sz w:val="17"/>
          <w:szCs w:val="17"/>
          <w:color w:val="auto"/>
        </w:rPr>
        <w:t>We may be unable to develop efficient, low-cost manufacturing capabilities and processes that enable us to meet the quality, price, engineering, design and production standards or production volumes necessary to successfully commercialize our PowerBuoys®.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Problems with the quality or performance of our PowerBuoys® would adversely affect our business, financial condition and results of operations.</w:t>
      </w:r>
    </w:p>
    <w:p>
      <w:pPr>
        <w:spacing w:after="0" w:line="248"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Our agreements with customers will generally include guarantees with respect to the quality and performance of our PowerBuoys®. Because of the limited operating history of our PowerBuoys®,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PowerBuoys®, causing us to incur substantial expense to repair or replace defective systems in the future. We will bear the risk of claims long after we have sold our PowerBuoys® and recognized revenue. Moreover, any widespread product failures could adversely affect our business, financial condition and results of operations.</w:t>
      </w:r>
    </w:p>
    <w:p>
      <w:pPr>
        <w:spacing w:after="0" w:line="16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not yet deployed a wave power array of two or more PowerBuoys® in a single geographic location. If we are unable to successfully deploy a multiple-system wave power array, our capability to generate revenues may be limited, and we may be unable to achieve and then maintain profitability.</w:t>
      </w:r>
    </w:p>
    <w:p>
      <w:pPr>
        <w:spacing w:after="0" w:line="101"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We have not yet deployed a wave power array of two or more PowerBuoys®. Whether we are able to do so is contingent upon, among other things, our ability to manufacture and produce multiple PowerBuoys® in a short period of time, receipt of required governmental permits, obtaining adequate financing, successful array design and implementation and, finally, successful deployment and connection of the PowerBuoys®.</w:t>
      </w:r>
    </w:p>
    <w:p>
      <w:pPr>
        <w:spacing w:after="0" w:line="166"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We have not yet conducted ocean testing or otherwise installed in the ocean a multiple-system wave power array. In particular, unlike single-system wave power arrays, multiple-system wave power arrays may require the use of an underwater substation to connect the power transmission cables from, and collect the electricity generated by, each PowerBuoy® in the array. We have not yet deployed an underwater substation connected to multiple PowerBuoys®. In addition, unanticipated issues may arise with the logistics and mechanics of deploying and maintaining multiple PowerBuoys® at a single site and the additional equipment associated with these multiple system wave power arrays.</w:t>
      </w:r>
    </w:p>
    <w:p>
      <w:pPr>
        <w:spacing w:after="0" w:line="188"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development and deployment of an array of PowerBuoys® could require us to incur significant expenses for preliminary engineering, permitting and other expenses before we can determine whether a project is feasible, economically attractive or capable of being financed. We may be unsuccessful in accomplishing any of these tasks or doing so on a timely basis.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future success in our selected markets depends in part on our ability to achieve cost savings over existing and incumbent solutions. If we are unable to achieve cost savings relating to our PowerBuoy®, the commercial prospects for our PowerBuoy® may be adversely affected.</w:t>
      </w:r>
    </w:p>
    <w:p>
      <w:pPr>
        <w:spacing w:after="0" w:line="124"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Our goal is to commercialize our PowerBuoy®. Our success in meeting this objective depends, in part, on our ability to provide energy to our prospective customers at a cost savings over existing and incumbent power solutions already being utilized by our customers and potential customers. We have experienced problems and delays in the development and deployment of our PowerBuoy® in the past and could experience similar delays or other difficulties in the future. If we are unable to demonstrate to our prospective customers that our PowerBuoy® is cost competitive with existing alternative power sources, or if it takes us longer to do so than we anticipate, we may be unable to continue our business, achieve commercialization of our PowerBuoy®, achieve a competitive position, satisfy our contractual obligations, or become profitable. In addition, if the costs associated with these development efforts exceed our projections, our results of operations will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Examples of this include our subsea battery solution and our hybrid PowerBuoy®.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67"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4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budget overruns or delays in R&amp;D efforts; or</w:t>
      </w:r>
    </w:p>
    <w:p>
      <w:pPr>
        <w:spacing w:after="0" w:line="225" w:lineRule="exact"/>
        <w:rPr>
          <w:rFonts w:ascii="Arial" w:cs="Arial" w:eastAsia="Arial" w:hAnsi="Arial"/>
          <w:sz w:val="18"/>
          <w:szCs w:val="18"/>
          <w:color w:val="auto"/>
        </w:rPr>
      </w:pPr>
    </w:p>
    <w:p>
      <w:pPr>
        <w:ind w:left="5620" w:right="2060" w:hanging="5612"/>
        <w:spacing w:after="0" w:line="528"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24"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and we do not know what the cost to do so would be.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70"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Foreign laws may not afford us sufficient protections for our intellectual property, and we may not be able to obtain patent protection outside of the United States.</w:t>
      </w:r>
    </w:p>
    <w:p>
      <w:pPr>
        <w:spacing w:after="0" w:line="170"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Intellectual property rights protection continues to present significant challenges to foreign businesses in many countries around the world. The body of law is often relatively undeveloped compared to the commercial law in the United States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70"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Our products or use of our trademarks may infringe, or be claimed to infringe, upon patents, patent applications or trademarks under which we do not hold licenses or other rights. Third parties may own or control these patents, patent applications or trademarks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ind w:firstLine="495"/>
        <w:spacing w:after="0" w:line="297" w:lineRule="auto"/>
        <w:rPr>
          <w:sz w:val="20"/>
          <w:szCs w:val="20"/>
          <w:color w:val="auto"/>
        </w:rPr>
      </w:pPr>
      <w:r>
        <w:rPr>
          <w:rFonts w:ascii="Arial" w:cs="Arial" w:eastAsia="Arial" w:hAnsi="Arial"/>
          <w:sz w:val="16"/>
          <w:szCs w:val="16"/>
          <w:color w:val="auto"/>
        </w:rPr>
        <w:t>As a result of patent or trademark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spacing w:after="0" w:line="158"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70"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Our prior agreements with government agencies in large part funded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92"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 Foreign governments with which we contract to provide funding for our research and development may seek similar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all necessary regulatory permits and approvals, it could be possible we will not be able to implement our planned projects or business plan.</w:t>
      </w:r>
    </w:p>
    <w:p>
      <w:pPr>
        <w:spacing w:after="0" w:line="170"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Offshore deployment of our PowerBuoy® is heavily regulated. Each of our deployments is subject to multiple permitting and approval requirements. We are dependent on state, federal and regional government agencies for such permits and approvals. Due to the unique nature of in-ocean power generation and the associated potential for environmental hazards of PowerBuoy® deployment, we expect our projects to receive close scrutiny by permitting agencies, approval authorities and the public, which could result in substantial delay in the permitting process. Successful challenges by any parties opposed to our deployments could result in increased costs, or in the denial of necessary permits and approvals.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ind w:firstLine="495"/>
        <w:spacing w:after="0" w:line="259"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70"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as a result of the United Kingdom’s decision to end its membership in the European Union.</w:t>
      </w:r>
    </w:p>
    <w:p>
      <w:pPr>
        <w:spacing w:after="0" w:line="22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The decision of the United Kingdom (U.K.) to exit from the European Union (E.U.) (generally referred to as “BREXIT”) could cause disruptions to and create uncertainty surrounding our business, including affecting our relationships with existing and potential customers, suppliers and employees. The effects of BREXIT will depend on any agreements the U.K. makes to retain access to E.U. markets either during a transitional period or more permanently.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U.K. determines which E.U. laws to replace or replicate. BREXIT also may create global economic uncertainty, which may cause our customers and potential customers to monitor their costs and reduce their budgets for our products and services. Any of these effects of BREXIT, among others, could materially adversely affect our business, business opportunities, results of operations, financial condition and cash flows.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portion of products we acquire from our suppliers are manufactured in foreign countries, making the price and availability of these products subject to international trade risks and other international conditions.</w:t>
      </w:r>
    </w:p>
    <w:p>
      <w:pPr>
        <w:spacing w:after="0" w:line="170"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A portion of our parts for our products are sourced from foreign countries, some of which in the future are or could become subject to trade restrictions, including increased tariffs or quotas, embargoes and customs restrictions, which would increase the cost or could reduce the supply of products available to us, and could have a material adverse effect on our business, financial condition and results of operations. Tariffs on imports from foreign countries, as well as changes in tax and trade policies, such as a border adjustment tax or disallowance of certain tax deductions for imported product, could materially increase our manufacturing costs, the costs of our imported products or our income tax expense, which would have a material adverse effect on our financial condition and results of operations. Tariffs imposed by foreign countries on imports of our products could also adversely affect our international sales. Any increase in manufacturing costs, the cost of our products or limitation on the amount of products we are able to purchase, could have a material adverse effect on our financial condition and results of operations.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81"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Our manufacturing operations, particularly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7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the subject of pending litigation, which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81"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We are the subject of certain pending litigation. Any litigation is costly, and time consuming to defend and may distract our management from the daily operations of our business. We may be the subject of additional future litigation, which could adversely affect our company, our business and our liquidity. Although we maintain insurance coverage, we cannot assure you that this insurance coverage will be sufficient to cover the substantial fees of lawyers and other professionals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these actions have caused our insurance premiums and retention amounts to increase, and we may be subject to additional increases in the future or be subjected to other changes in our insurance coverages.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the target of additional securities litigation, which is costly and time-consuming to defend.</w:t>
      </w:r>
    </w:p>
    <w:p>
      <w:pPr>
        <w:spacing w:after="0" w:line="225"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In the past, companies that experience significant volatility in the market price of their publicly-traded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14 “Commitments and Contingencies - Litigation” in the accompanying consolidated financial statements for the fiscal year ended April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issue additional shares of our equity securities in the future, our stockholders may experience substantial dilution in the value of their investment or their ownership interest.</w:t>
      </w:r>
    </w:p>
    <w:p>
      <w:pPr>
        <w:spacing w:after="0" w:line="170"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Our certificate of incorporation currently authorizes us to issue up to 100,000,000 shares of our common stock and to issue and designate the rights of, without stockholder approval, up to 5,000,000 shares of preferred stock. In the future, in order to raise additional capital, we may offer additional shares of our common stock or other securities convertible into or exchangeable for our common stock at prices that may not be the same as the price per share paid by other investors, and dilution to our stockholders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both"/>
        <w:ind w:firstLine="495"/>
        <w:spacing w:after="0" w:line="297" w:lineRule="auto"/>
        <w:rPr>
          <w:sz w:val="20"/>
          <w:szCs w:val="20"/>
          <w:color w:val="auto"/>
        </w:rPr>
      </w:pPr>
      <w:r>
        <w:rPr>
          <w:rFonts w:ascii="Arial" w:cs="Arial" w:eastAsia="Arial" w:hAnsi="Arial"/>
          <w:sz w:val="16"/>
          <w:szCs w:val="16"/>
          <w:color w:val="auto"/>
        </w:rPr>
        <w:t>In addition, we have a significant number of stock options and warrants outstanding. To the extent that outstanding stock options or warrants have been or may be exercised or other shares issued, current stockholders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stockholders or result in downward pressure on the price of our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Historically, our stock price has been volatile, and this is likely to continue; purchasers of our common stock could incur substantial losses as a result.</w:t>
      </w:r>
    </w:p>
    <w:p>
      <w:pPr>
        <w:spacing w:after="0" w:line="260"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For the fiscal year ended April 30, 2019, the 52-week low and high prices for our common stock was $2.45 and $24.00, respectively. Also,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9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our business or with respect to our projects;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the conventional and renewable energy industries and issuance of new or changed securities analysts’ reports or recommendations;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perception of our company and of our targeted markets;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70"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8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firstLine="495"/>
        <w:spacing w:after="0" w:line="264"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spacing w:after="0" w:line="181"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70"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common stock, and we do not anticipate paying any cash dividends in the foreseeable future.</w:t>
      </w:r>
    </w:p>
    <w:p>
      <w:pPr>
        <w:spacing w:after="0" w:line="237"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Our corporate headquarters are currently located in Monroe Township, New Jersey, where we occupy approximately 56,000 square feet under a lease expiring on October 31, 2024. We use this facility for administration, research and development, as well as assembly and testing of the generators and control models for our PowerBuoy®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were identified as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alleged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sought unspecified monetary damages and other relief.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495"/>
        <w:spacing w:after="0" w:line="259" w:lineRule="auto"/>
        <w:rPr>
          <w:sz w:val="20"/>
          <w:szCs w:val="20"/>
          <w:color w:val="auto"/>
        </w:rPr>
      </w:pPr>
      <w:r>
        <w:rPr>
          <w:rFonts w:ascii="Arial" w:cs="Arial" w:eastAsia="Arial" w:hAnsi="Arial"/>
          <w:sz w:val="18"/>
          <w:szCs w:val="18"/>
          <w:color w:val="auto"/>
        </w:rPr>
        <w:t xml:space="preserve">On July 10, 2015, a second derivative lawsuit, captioned </w:t>
      </w:r>
      <w:r>
        <w:rPr>
          <w:rFonts w:ascii="Arial" w:cs="Arial" w:eastAsia="Arial" w:hAnsi="Arial"/>
          <w:sz w:val="18"/>
          <w:szCs w:val="18"/>
          <w:i w:val="1"/>
          <w:iCs w:val="1"/>
          <w:color w:val="auto"/>
        </w:rPr>
        <w:t>Rywolt v. Dunleavy, et al.,</w:t>
      </w:r>
      <w:r>
        <w:rPr>
          <w:rFonts w:ascii="Arial" w:cs="Arial" w:eastAsia="Arial" w:hAnsi="Arial"/>
          <w:sz w:val="18"/>
          <w:szCs w:val="18"/>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8"/>
          <w:szCs w:val="18"/>
          <w:i w:val="1"/>
          <w:iCs w:val="1"/>
          <w:color w:val="auto"/>
        </w:rPr>
        <w:t>Rywolt</w:t>
      </w:r>
      <w:r>
        <w:rPr>
          <w:rFonts w:ascii="Arial" w:cs="Arial" w:eastAsia="Arial" w:hAnsi="Arial"/>
          <w:sz w:val="18"/>
          <w:szCs w:val="18"/>
          <w:color w:val="auto"/>
        </w:rPr>
        <w:t xml:space="preserve"> complaint also sought unspecified monetary damages and other relief.</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On April 21, 2016, a third derivative lawsuit, captioned </w:t>
      </w:r>
      <w:r>
        <w:rPr>
          <w:rFonts w:ascii="Arial" w:cs="Arial" w:eastAsia="Arial" w:hAnsi="Arial"/>
          <w:sz w:val="18"/>
          <w:szCs w:val="18"/>
          <w:i w:val="1"/>
          <w:iCs w:val="1"/>
          <w:color w:val="auto"/>
        </w:rPr>
        <w:t>LaCalamito v. Dunleavy, et al.</w:t>
      </w:r>
      <w:r>
        <w:rPr>
          <w:rFonts w:ascii="Arial" w:cs="Arial" w:eastAsia="Arial" w:hAnsi="Arial"/>
          <w:sz w:val="18"/>
          <w:szCs w:val="18"/>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8"/>
          <w:szCs w:val="18"/>
          <w:i w:val="1"/>
          <w:iCs w:val="1"/>
          <w:color w:val="auto"/>
        </w:rPr>
        <w:t>LaCalamito</w:t>
      </w:r>
      <w:r>
        <w:rPr>
          <w:rFonts w:ascii="Arial" w:cs="Arial" w:eastAsia="Arial" w:hAnsi="Arial"/>
          <w:sz w:val="18"/>
          <w:szCs w:val="18"/>
          <w:color w:val="auto"/>
        </w:rPr>
        <w:t xml:space="preserve"> complaint sought unspecified monetary damages and other relief.</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On June 9, 2016, a fourth derivative lawsuit, captioned </w:t>
      </w:r>
      <w:r>
        <w:rPr>
          <w:rFonts w:ascii="Arial" w:cs="Arial" w:eastAsia="Arial" w:hAnsi="Arial"/>
          <w:sz w:val="18"/>
          <w:szCs w:val="18"/>
          <w:i w:val="1"/>
          <w:iCs w:val="1"/>
          <w:color w:val="auto"/>
        </w:rPr>
        <w:t>Pucillo v. Dunleavy, et al.</w:t>
      </w:r>
      <w:r>
        <w:rPr>
          <w:rFonts w:ascii="Arial" w:cs="Arial" w:eastAsia="Arial" w:hAnsi="Arial"/>
          <w:sz w:val="18"/>
          <w:szCs w:val="18"/>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complaint sought unspecified monetary damages and other relief.</w:t>
      </w:r>
    </w:p>
    <w:p>
      <w:pPr>
        <w:spacing w:after="0" w:line="187"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 xml:space="preserve">On October 25, 2016, the Court approved and entered a Stipulation and Order that, among other things, (i) consolidated the </w:t>
      </w:r>
      <w:r>
        <w:rPr>
          <w:rFonts w:ascii="Arial" w:cs="Arial" w:eastAsia="Arial" w:hAnsi="Arial"/>
          <w:sz w:val="17"/>
          <w:szCs w:val="17"/>
          <w:i w:val="1"/>
          <w:iCs w:val="1"/>
          <w:color w:val="auto"/>
        </w:rPr>
        <w:t>LaBare, Rywolt,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LaCalamito </w:t>
      </w:r>
      <w:r>
        <w:rPr>
          <w:rFonts w:ascii="Arial" w:cs="Arial" w:eastAsia="Arial" w:hAnsi="Arial"/>
          <w:sz w:val="17"/>
          <w:szCs w:val="17"/>
          <w:color w:val="auto"/>
        </w:rPr>
        <w:t>and</w:t>
      </w:r>
      <w:r>
        <w:rPr>
          <w:rFonts w:ascii="Arial" w:cs="Arial" w:eastAsia="Arial" w:hAnsi="Arial"/>
          <w:sz w:val="17"/>
          <w:szCs w:val="17"/>
          <w:i w:val="1"/>
          <w:iCs w:val="1"/>
          <w:color w:val="auto"/>
        </w:rPr>
        <w:t xml:space="preserve"> Pucillo </w:t>
      </w:r>
      <w:r>
        <w:rPr>
          <w:rFonts w:ascii="Arial" w:cs="Arial" w:eastAsia="Arial" w:hAnsi="Arial"/>
          <w:sz w:val="17"/>
          <w:szCs w:val="17"/>
          <w:color w:val="auto"/>
        </w:rPr>
        <w:t>derivative actions; (ii) identified plaintiff</w:t>
      </w:r>
      <w:r>
        <w:rPr>
          <w:rFonts w:ascii="Arial" w:cs="Arial" w:eastAsia="Arial" w:hAnsi="Arial"/>
          <w:sz w:val="17"/>
          <w:szCs w:val="17"/>
          <w:i w:val="1"/>
          <w:iCs w:val="1"/>
          <w:color w:val="auto"/>
        </w:rPr>
        <w:t xml:space="preserve"> Pucillo </w:t>
      </w:r>
      <w:r>
        <w:rPr>
          <w:rFonts w:ascii="Arial" w:cs="Arial" w:eastAsia="Arial" w:hAnsi="Arial"/>
          <w:sz w:val="17"/>
          <w:szCs w:val="17"/>
          <w:color w:val="auto"/>
        </w:rPr>
        <w:t>as the lead plaintiff in the consolidated actions; and (iii) stayed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actions pending the November 14, 2016 settlement hearing in the now-settled securities class action and further order of the Court.</w:t>
      </w:r>
    </w:p>
    <w:p>
      <w:pPr>
        <w:spacing w:after="0" w:line="166"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On October 23, 2017, the parties entered into a Stipulation and Agreement of Settlement to resolve the four consolidated derivative lawsuits. The settlement provided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9, 2018. On May 14, 2018, the Court held a final settlement approval hearing at which the Court stated that it was approving the settlement. On June 13, 2018, the Court issued a Final Order and Judgment, approving the Stipulation and Agreement of Settlement. The Company had accrued $350,000 related to this matter as a probable and reasonably estimable loss contingency during the twelve months ended April 30, 2018. The Company also recorded a receivable of $350,000 from its insurance carrier with the offset to the Statement of Operations. The Company’s insurance carrier made a payment of $350,000 to the plaintiffs’ attorneys on May 3, 2018. As a result, the consolidated derivatives lawsuits are now completely resolved, the releases are operative, and the matter is closed.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Employment Arbitration</w:t>
      </w:r>
    </w:p>
    <w:p>
      <w:pPr>
        <w:spacing w:after="0" w:line="229"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litigation. The securities class action was resolved in November 2017 and the derivatives litigation was resolved in June 2018.</w:t>
      </w:r>
    </w:p>
    <w:p>
      <w:pPr>
        <w:spacing w:after="0" w:line="16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On August 28, 2018, counsel for Mr. Dunleavy filed a demand for arbitration, captioned </w:t>
      </w:r>
      <w:r>
        <w:rPr>
          <w:rFonts w:ascii="Arial" w:cs="Arial" w:eastAsia="Arial" w:hAnsi="Arial"/>
          <w:sz w:val="17"/>
          <w:szCs w:val="17"/>
          <w:i w:val="1"/>
          <w:iCs w:val="1"/>
          <w:color w:val="auto"/>
        </w:rPr>
        <w:t>Charles F. Dunleavy v. Ocean Power Technologies, Inc.,</w:t>
      </w:r>
      <w:r>
        <w:rPr>
          <w:rFonts w:ascii="Arial" w:cs="Arial" w:eastAsia="Arial" w:hAnsi="Arial"/>
          <w:sz w:val="17"/>
          <w:szCs w:val="17"/>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three-member arbitration panel scheduled the discovery process to run from April 12, 2019 until November 9, 2019, set a pre-hearing case management conference for October 14, 2019, and set the hearing for December 9-13, 2019 in Princeton, New Jersey. As of April 30, 2019, the Company has not accrued any provision related to this matter since it cannot reasonably estimate the loss contingency.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 Runner Marine, Inc. Lawsuit</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 xml:space="preserve">On June 13, 2018, Tide Runner Marine, Inc. (“Tide Runner”) filed a lawsuit in the United States District Court for the District of New Jersey captioned </w:t>
      </w:r>
      <w:r>
        <w:rPr>
          <w:rFonts w:ascii="Arial" w:cs="Arial" w:eastAsia="Arial" w:hAnsi="Arial"/>
          <w:sz w:val="17"/>
          <w:szCs w:val="17"/>
          <w:i w:val="1"/>
          <w:iCs w:val="1"/>
          <w:color w:val="auto"/>
        </w:rPr>
        <w:t>Tide Runner Marine, Inc. v. Ocean Power Technologies, Inc.</w:t>
      </w:r>
      <w:r>
        <w:rPr>
          <w:rFonts w:ascii="Arial" w:cs="Arial" w:eastAsia="Arial" w:hAnsi="Arial"/>
          <w:sz w:val="17"/>
          <w:szCs w:val="17"/>
          <w:color w:val="auto"/>
        </w:rPr>
        <w:t>, Case No. 1:18-cv-10496. The complaint names the Company as defendant and alleges claims</w:t>
      </w:r>
      <w:r>
        <w:rPr>
          <w:rFonts w:ascii="Arial" w:cs="Arial" w:eastAsia="Arial" w:hAnsi="Arial"/>
          <w:sz w:val="17"/>
          <w:szCs w:val="17"/>
          <w:i w:val="1"/>
          <w:iCs w:val="1"/>
          <w:color w:val="auto"/>
        </w:rPr>
        <w:t xml:space="preserve"> </w:t>
      </w:r>
      <w:r>
        <w:rPr>
          <w:rFonts w:ascii="Arial" w:cs="Arial" w:eastAsia="Arial" w:hAnsi="Arial"/>
          <w:sz w:val="17"/>
          <w:szCs w:val="17"/>
          <w:color w:val="auto"/>
        </w:rPr>
        <w:t>for 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During the initial scheduling conference held on September 13, 2018, the parties agreed to engage in mediation in an effort to resolve this matter and also agreed to include Tide Runner’s subcontractor, Wittich Bros. Marine Inc. (“Wittich”) in the mediation process. The parties participated in mediation on November 15, 2018 but were unable to reach an agreement. However, the parties agreed to continue the mediation process and on February 11, 2019 reached a settlement agreement. On February 22, 2019, the parties executed a Settlement Agreement and Release (“Settlement”). Under the Settlement, the Company will pay to Wittich (i) $50,000 within 10 days after the final execution of the Settlement and (ii) another $150,000 on or before May 1, 2019. Subsequently, the parties filed a stipulation of dismissal of both Tide Runner’s complaint and the Company’s counterclaim with prejudice and without costs and the Court granted the dismissal and terminated the case. The parties have also provided mutual releases for the matters in dispute in the litigation and will indemnify each other for future similar claims. As of April 30, 2019, the Company made the two required payments to Wittich.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Compliance</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August 9, 2018, the Company received written notification from Nasdaq indicating that the closing bid price of the Company’s common stock had been below $1.00 per share for a period of 30 consecutive trading days, and as a result, the Company was not in compliance with the minimum bid price requirement for continued listing. Under the Nasdaq Listing Rules, the Company was provided with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the grace period. If the Company did not regain compliance before February 5, 2019, Nasdaq stated that it would provide the Company with written notice that its securities are subject to delisting. At that time, the Company could appeal Nasdaq’s determination to a Nasdaq Listing Qualifications Panel, which would stay any further delisting action by Nasdaq pending a final decision by the panel. Alternatively, the Company could have been eligible for an additional 180 calendar day grace period if it met the continued listing standards, with the exception of bid price, for the Nasdaq Capital Market, and if the Company stated its intent to affect a reverse split, if necessary, to cure such deficiency.</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February 11, 2019, the Company received another written notification from Nasdaq indicating that the Company had not regained compliance with the minimum bid price requirement and that the Company’s stockholders’ equity, as reported in the Company’s Quarterly Report on Form 10-Q for the quarter ended October 31, 2018, did not qualify the Company for an additional 180 calendar day extension period for compliance. On February 19, 2019, the Company appealed Nasdaq’s determination to a Hearings Panel (the “Panel”), pursuant to the procedures set forth in the Nasdaq Listing Rule 5800 Series. The appeal stayed the suspension of the Company’s securities pending the Panel’s decision, during which time the Company’s common stock will continue to be listed on Nasdaq, and the Company’s common stock will continue to trade under the symbol “OPTT”.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both"/>
        <w:ind w:firstLine="486"/>
        <w:spacing w:after="0" w:line="264" w:lineRule="auto"/>
        <w:rPr>
          <w:sz w:val="20"/>
          <w:szCs w:val="20"/>
          <w:color w:val="auto"/>
        </w:rPr>
      </w:pPr>
      <w:r>
        <w:rPr>
          <w:rFonts w:ascii="Arial" w:cs="Arial" w:eastAsia="Arial" w:hAnsi="Arial"/>
          <w:sz w:val="18"/>
          <w:szCs w:val="18"/>
          <w:color w:val="auto"/>
        </w:rPr>
        <w:t>On March 14, 2019, the Company received another written notification from Nasdaq indicating that the Company did not comply with the minimum stockholders’ equity requirement for continued listing. The earlier-filed appeal of the minimum bid price requirement was sufficient to encompass the minimum stockholder’s equity requirement, and the stay of suspension continued pending the Panel hearing and decision.</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Panel held its hearing on March 28, 2019. On April 4, 2019, the Panel issued the following two decisions: (i) the Panel concluded that the Company was in compliance with the minimum bid price rule; and (ii) the Panel granted the Company’s request to cure its stockholder equity deficiency by conducting a public offering that was estimated to raise $10 million by no later than April 30, 2019. On April 24, 2019, the Company provided the Panel with an update following a public offering that raised approximately $15.7 million (after deducting underwriter fees, commissions and other offering expenses) and closed on April 8, 2019. The update included revised projections of stockholder equity based upon the actual amount of proceeds raised during the public offering, which in the Company’s opinion was sufficient to cure the stockholder equity deficiency.</w:t>
      </w:r>
    </w:p>
    <w:p>
      <w:pPr>
        <w:spacing w:after="0" w:line="17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May 20, 2019 the Company received a letter from Nasdaq confirming that the Company has regained compliance with the minimum shareholders’ equity rule, as required by the Panel’s decision dated April 4, 2019, and is in compliance with other applicable requirements as set forth in the decision and required for listing on Nasdaq. Accordingly, the Panel has determined to continue the listing of the Company’s securities on Nasdaq and closed the matter.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 Review</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4, 2019, FINRA notified the Company that it was conducting a routine review of the Company’s stock associated with two public announcements and asked several questions regarding: (i) an April 3, 2019 announcement that the Company had won a contract with a leading oil and gas operator; and (ii) an April 4, 2019 announcement of the pricing of an underwritten public offering. The Company provided its response to the FINRA questions on Tuesday, April 9, 2019. As of July 22, 2019, FINRA has not provided any follow-up.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 Income Tax Audit</w:t>
      </w:r>
    </w:p>
    <w:p>
      <w:pPr>
        <w:spacing w:after="0" w:line="229"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during the year-ended April 30, 2018 the Spanish tax inspector has now raised questions with respect to the Company’s recognition of funds received in 2011 to 2014 from a governmental grant from the European Commission in connection with the Waveport project. It is anticipated that we will be assessed a penalty relating to these tax years. The Company has estimated this penalty to be $177,000 and as of April 30, 2019 and 2018 has recorded the penalty in Accrued expenses in the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840" w:hanging="836"/>
        <w:spacing w:after="0" w:line="277" w:lineRule="auto"/>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“OPTT.” As of June 28, 2019, there were 142 holders of record for shares of our common stock. Since a portion of our common stock is held in “street” or nominee name, we are unable to determine the exact number of beneficial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Information</w:t>
      </w:r>
    </w:p>
    <w:p>
      <w:pPr>
        <w:spacing w:after="0" w:line="229" w:lineRule="exact"/>
        <w:rPr>
          <w:sz w:val="20"/>
          <w:szCs w:val="20"/>
          <w:color w:val="auto"/>
        </w:rPr>
      </w:pPr>
    </w:p>
    <w:p>
      <w:pPr>
        <w:jc w:val="both"/>
        <w:ind w:right="20" w:firstLine="495"/>
        <w:spacing w:after="0" w:line="308" w:lineRule="auto"/>
        <w:rPr>
          <w:sz w:val="20"/>
          <w:szCs w:val="20"/>
          <w:color w:val="auto"/>
        </w:rPr>
      </w:pPr>
      <w:r>
        <w:rPr>
          <w:rFonts w:ascii="Arial" w:cs="Arial" w:eastAsia="Arial" w:hAnsi="Arial"/>
          <w:sz w:val="17"/>
          <w:szCs w:val="17"/>
          <w:color w:val="auto"/>
        </w:rPr>
        <w:t xml:space="preserve">Our transfer agent is Computershare Trust Company, N.A. Computershare is located at 250 Royall Street, Canton, MA 02021-1011. Its contact information is: United States and Canada: (800) 662 - 7232, International (781) 575 - 4238 and its website is located at </w:t>
      </w:r>
      <w:r>
        <w:rPr>
          <w:rFonts w:ascii="Arial" w:cs="Arial" w:eastAsia="Arial" w:hAnsi="Arial"/>
          <w:sz w:val="17"/>
          <w:szCs w:val="17"/>
          <w:u w:val="single" w:color="auto"/>
          <w:color w:val="auto"/>
        </w:rPr>
        <w:t>www.computershare.com</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680" w:type="dxa"/>
            <w:vAlign w:val="bottom"/>
            <w:gridSpan w:val="4"/>
          </w:tcPr>
          <w:p>
            <w:pPr>
              <w:spacing w:after="0"/>
              <w:rPr>
                <w:sz w:val="20"/>
                <w:szCs w:val="20"/>
                <w:color w:val="auto"/>
              </w:rPr>
            </w:pPr>
            <w:r>
              <w:rPr>
                <w:rFonts w:ascii="Arial" w:cs="Arial" w:eastAsia="Arial" w:hAnsi="Arial"/>
                <w:sz w:val="18"/>
                <w:szCs w:val="18"/>
                <w:b w:val="1"/>
                <w:bCs w:val="1"/>
                <w:color w:val="auto"/>
              </w:rPr>
              <w:t>Purchases of Equity Securities by the Issuer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40" w:type="dxa"/>
            <w:vAlign w:val="bottom"/>
            <w:gridSpan w:val="9"/>
          </w:tcPr>
          <w:p>
            <w:pPr>
              <w:jc w:val="right"/>
              <w:ind w:right="200"/>
              <w:spacing w:after="0"/>
              <w:rPr>
                <w:sz w:val="20"/>
                <w:szCs w:val="20"/>
                <w:color w:val="auto"/>
              </w:rPr>
            </w:pPr>
            <w:r>
              <w:rPr>
                <w:rFonts w:ascii="Arial" w:cs="Arial" w:eastAsia="Arial" w:hAnsi="Arial"/>
                <w:sz w:val="18"/>
                <w:szCs w:val="18"/>
                <w:color w:val="auto"/>
                <w:w w:val="96"/>
              </w:rPr>
              <w:t>The following table details our share repurchases for the three months ended April 30, 2019:</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4"/>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Number of</w:t>
            </w:r>
          </w:p>
        </w:tc>
        <w:tc>
          <w:tcPr>
            <w:tcW w:w="192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Purchased</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7"/>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 Part of</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0"/>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left="17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Average Price</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Publicly</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37"/>
        </w:trPr>
        <w:tc>
          <w:tcPr>
            <w:tcW w:w="2980" w:type="dxa"/>
            <w:vAlign w:val="bottom"/>
            <w:gridSpan w:val="3"/>
          </w:tcPr>
          <w:p>
            <w:pPr>
              <w:spacing w:after="0"/>
              <w:rPr>
                <w:sz w:val="20"/>
                <w:szCs w:val="20"/>
                <w:color w:val="auto"/>
              </w:rPr>
            </w:pPr>
            <w:r>
              <w:rPr>
                <w:rFonts w:ascii="Arial" w:cs="Arial" w:eastAsia="Arial" w:hAnsi="Arial"/>
                <w:sz w:val="18"/>
                <w:szCs w:val="18"/>
                <w:color w:val="auto"/>
              </w:rPr>
              <w:t>Period</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w w:val="86"/>
              </w:rPr>
              <w:t>Shares Purchased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color w:val="auto"/>
              </w:rPr>
              <w:t>Paid per Share</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Announced Plans</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0"/>
              </w:rPr>
              <w:t>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 February 28</w:t>
            </w:r>
          </w:p>
        </w:tc>
        <w:tc>
          <w:tcPr>
            <w:tcW w:w="17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March 1 - March 31</w:t>
            </w:r>
          </w:p>
        </w:tc>
        <w:tc>
          <w:tcPr>
            <w:tcW w:w="17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7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See “Part III, Item 12- Security Ownership of Certain Beneficial Owners, Management and Related Stockholder Matters- 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unregistered sales of equity securities or purchases of equity securities that are required to be disclosed.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2019 are to the fiscal year ended April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We are commercializing proprietary systems that generate electricity predominantly by harnessing the renewable energy of ocean waves. Our PB3 PowerBuoy® systems use proprietary technologies to convert the mechanical energy created by the rising and falling of ocean waves into electricity. We currently have developed our PB3 PowerBuoy® product and are in process of developing two new complementary products, the hybrid PowerBuoy® and subsea battery solutions. Since fiscal 2002, government agencies have accounted for a significant portion of our revenues. These revenues were largely for the support of our product development efforts relating to our technology. Today our goal is to generate the majority of revenue from the sale of products and services, and sales and services to support our business operations. As we continue to develop and commercialize our products and services, we expect to have a net use of cash in operating activities unless or until we achieve positive cash flow from the commercialization of our products and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both"/>
        <w:ind w:firstLine="495"/>
        <w:spacing w:after="0" w:line="264" w:lineRule="auto"/>
        <w:rPr>
          <w:sz w:val="20"/>
          <w:szCs w:val="20"/>
          <w:color w:val="auto"/>
        </w:rPr>
      </w:pPr>
      <w:r>
        <w:rPr>
          <w:rFonts w:ascii="Arial" w:cs="Arial" w:eastAsia="Arial" w:hAnsi="Arial"/>
          <w:sz w:val="18"/>
          <w:szCs w:val="18"/>
          <w:color w:val="auto"/>
        </w:rPr>
        <w:t>We are marketing our PowerBuoy®, which is designed to generate power for use independent of the power grid, to customers that require electricity in remote locations. We believe there are a variety of potential applications for our PowerBuoy®, within markets such as oil and gas, defense and security, science and research and communications, which we refer to collectively as autonomous application markets.</w:t>
      </w:r>
    </w:p>
    <w:p>
      <w:pPr>
        <w:spacing w:after="0" w:line="181"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Ocean Power Technologies (Australasia) Pty Ltd (“OPTA”), organized under the laws of Australia. OPTA owns 100% of Victorian Wave Partners Pty. Ltd. (“VWP”), which is also organized under the laws of Australia.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development of our technology has been funded by capital we raised, by development engineering contracts we received starting in fiscal 1995, including projects with the DOE, the U.S. Navy, the Department of Homeland Security, and revenue generating projects with MES, PMO and Eni. Please see Item 1 of this Annual Report- “Business - Customers” and “Business - Historic Projects” for more information.</w:t>
      </w:r>
    </w:p>
    <w:p>
      <w:pPr>
        <w:spacing w:after="0" w:line="18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During fiscal 2019, we continued to focus on the commercialization of our PowerBuoy® technology, while expanding the application of our PB3 product in autonomous application markets. In March 2018, we entered into an agreement with Eni that provides for a minimum 24-month contract that includes a lease and associated project management. In June 2018, we entered into a contract with PMO for the lease of a PB3 PowerBuoy® to be deployed in one of PMO’s offshore fields in the North Sea. In August 2018, we entered into an agreement with EGP to evaluate a PB3 PowerBuoy® deployment along the coast of Chile through a detailed feasibility study as an offshore autonomous platform hosting oceanographic sensor systems. 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78" w:lineRule="exact"/>
        <w:rPr>
          <w:sz w:val="20"/>
          <w:szCs w:val="20"/>
          <w:color w:val="auto"/>
        </w:rPr>
      </w:pPr>
    </w:p>
    <w:p>
      <w:pPr>
        <w:jc w:val="both"/>
        <w:ind w:left="80" w:firstLine="407"/>
        <w:spacing w:after="0" w:line="259" w:lineRule="auto"/>
        <w:rPr>
          <w:sz w:val="20"/>
          <w:szCs w:val="20"/>
          <w:color w:val="auto"/>
        </w:rPr>
      </w:pPr>
      <w:r>
        <w:rPr>
          <w:rFonts w:ascii="Arial" w:cs="Arial" w:eastAsia="Arial" w:hAnsi="Arial"/>
          <w:sz w:val="18"/>
          <w:szCs w:val="18"/>
          <w:color w:val="auto"/>
        </w:rPr>
        <w:t>In November 2017 we completed the Phase I work under the contract with ONR which focused on the initial concept design and development of a mass-on-spring PTO-based PowerBuoy®. We are waiting for ONR funding to be approved for the next phase. Working closely with potential customers, we also continued to analyze and further develop new applications for the PowerBuoy® including subsea well monitoring for oil and gas, Autonomous Underwater Vehicle (“AUV”) charging, and independent telecommunications platforms.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486"/>
        <w:spacing w:after="0" w:line="264" w:lineRule="auto"/>
        <w:rPr>
          <w:sz w:val="20"/>
          <w:szCs w:val="20"/>
          <w:color w:val="auto"/>
        </w:rPr>
      </w:pPr>
      <w:r>
        <w:rPr>
          <w:rFonts w:ascii="Arial" w:cs="Arial" w:eastAsia="Arial" w:hAnsi="Arial"/>
          <w:sz w:val="18"/>
          <w:szCs w:val="18"/>
          <w:color w:val="auto"/>
        </w:rPr>
        <w:t>In addition to the PB3 commercial product validation activities, a concerted effort has been underway which focuses on proactively implementing additional features driven by extensive and direct discussions with potential users, customers, marketing partners and end users in our target markets. Such features include:</w:t>
      </w:r>
    </w:p>
    <w:p>
      <w:pPr>
        <w:spacing w:after="0" w:line="181" w:lineRule="exact"/>
        <w:rPr>
          <w:sz w:val="20"/>
          <w:szCs w:val="20"/>
          <w:color w:val="auto"/>
        </w:rPr>
      </w:pPr>
    </w:p>
    <w:p>
      <w:pPr>
        <w:ind w:left="780" w:hanging="650"/>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development and implementation of a versatile mooring interface that allows the PB3 to accommodate various types of mooring configurations depending on the specifics and the needs of the customer, eliminating the need for a redesign of the device.</w:t>
      </w:r>
    </w:p>
    <w:p>
      <w:pPr>
        <w:spacing w:after="0" w:line="170" w:lineRule="exact"/>
        <w:rPr>
          <w:rFonts w:ascii="Arial" w:cs="Arial" w:eastAsia="Arial" w:hAnsi="Arial"/>
          <w:sz w:val="18"/>
          <w:szCs w:val="18"/>
          <w:color w:val="auto"/>
        </w:rPr>
      </w:pPr>
    </w:p>
    <w:p>
      <w:pPr>
        <w:ind w:left="780" w:hanging="650"/>
        <w:spacing w:after="0" w:line="34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23" w:lineRule="exact"/>
        <w:rPr>
          <w:rFonts w:ascii="Arial" w:cs="Arial" w:eastAsia="Arial" w:hAnsi="Arial"/>
          <w:sz w:val="16"/>
          <w:szCs w:val="16"/>
          <w:color w:val="auto"/>
        </w:rPr>
      </w:pPr>
    </w:p>
    <w:p>
      <w:pPr>
        <w:ind w:left="780" w:right="20" w:hanging="650"/>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and development of a combined power and communications single point mooring solution that allows for quick deployment of the PowerBuoy®.</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commercial PB3, we further enhanced this feature to achieve faster and more cost effective PB3 deployments and retrievals.</w:t>
      </w:r>
    </w:p>
    <w:p>
      <w:pPr>
        <w:spacing w:after="0" w:line="170"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We believe that by demonstrating the capability of our PowerBuoy® in oil &amp; gas and telecommunications applications, we can advance our technology and gain further adoption from our target markets. We continue to improve design and manufacturing of the PB3 to enhance our ability to improve customer value, displace incumbent solutions, and become the preferred power source for new and existing applications in our target markets.</w:t>
      </w:r>
    </w:p>
    <w:p>
      <w:pPr>
        <w:spacing w:after="0" w:line="16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We are utilizing our experience with multiple commercial PB3 deployments globally to continually improve our product so that we have higher energy efficiency, additional mooring capability, platform flexibility and higher reliability. For example, the redesigned PB3 leverages our knowledge base from past designs to incorporate new design features which we believe will improve its reliability and efficiency.</w:t>
      </w:r>
    </w:p>
    <w:p>
      <w:pPr>
        <w:spacing w:after="0" w:line="18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In November 2018, the Company announced several new product offerings including the hybrid PowerBuoy®, subsea battery solutions and support services.</w:t>
      </w:r>
    </w:p>
    <w:p>
      <w:pPr>
        <w:spacing w:after="0" w:line="170" w:lineRule="exact"/>
        <w:rPr>
          <w:sz w:val="20"/>
          <w:szCs w:val="20"/>
          <w:color w:val="auto"/>
        </w:rPr>
      </w:pPr>
    </w:p>
    <w:p>
      <w:pPr>
        <w:jc w:val="both"/>
        <w:ind w:left="980" w:hanging="324"/>
        <w:spacing w:after="0" w:line="269"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hybrid PowerBuoy® - </w:t>
      </w:r>
      <w:r>
        <w:rPr>
          <w:rFonts w:ascii="Arial" w:cs="Arial" w:eastAsia="Arial" w:hAnsi="Arial"/>
          <w:sz w:val="17"/>
          <w:szCs w:val="17"/>
          <w:color w:val="auto"/>
        </w:rPr>
        <w:t>The Company is in the process of creating a hybrid PowerBuoy® that will be a smaller liquid-fueled surface buoy,</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wave power based PB3 PowerBuoy®, capable of providing reliable power in remote offshore locations. This product is to be highly complementary to the PB3 PowerBuoy® by providing the Company the opportunity to address a broader spectrum of customer deployment needs, with the potential for greater Company integration within each customer project. It is primarily intended for shorter term deployment applications such as eROV and AUV inspections and short-term maintenance, topside surveillance and communications, and subsea equipment and controls. The hybrid PowerBuoy® is anticipated to be a lightweight, quickly deployable and cost-effective solution. The design is also anticipated to have a high payload capacity for communications and surveillance, with the capability of being tethered to subsea payloads and battery packs, or with a conventional anchor mooring system. The Company intends to design the hybrid PowerBuoy®, with a Stirling engine, to outperform traditional diesel buoys, which we believe to have more frequent service and refueling intervals. We believe the hybrid PowerBuoy® will be able to operate in an environmentally safer manner using more robust fuels, while operating over a wider temperature range than diesel buoys.</w:t>
      </w:r>
    </w:p>
    <w:p>
      <w:pPr>
        <w:spacing w:after="0" w:line="182" w:lineRule="exact"/>
        <w:rPr>
          <w:rFonts w:ascii="Arial" w:cs="Arial" w:eastAsia="Arial" w:hAnsi="Arial"/>
          <w:sz w:val="17"/>
          <w:szCs w:val="17"/>
          <w:color w:val="auto"/>
        </w:rPr>
      </w:pPr>
    </w:p>
    <w:p>
      <w:pPr>
        <w:jc w:val="both"/>
        <w:ind w:left="980" w:hanging="324"/>
        <w:spacing w:after="0" w:line="271"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Subsea battery solutions - </w:t>
      </w:r>
      <w:r>
        <w:rPr>
          <w:rFonts w:ascii="Arial" w:cs="Arial" w:eastAsia="Arial" w:hAnsi="Arial"/>
          <w:sz w:val="17"/>
          <w:szCs w:val="17"/>
          <w:color w:val="auto"/>
        </w:rPr>
        <w:t>The Company is in the process of creating a sea floor energy storage solution for remote offshore operations. These</w:t>
      </w:r>
      <w:r>
        <w:rPr>
          <w:rFonts w:ascii="Arial" w:cs="Arial" w:eastAsia="Arial" w:hAnsi="Arial"/>
          <w:sz w:val="17"/>
          <w:szCs w:val="17"/>
          <w:i w:val="1"/>
          <w:iCs w:val="1"/>
          <w:color w:val="auto"/>
        </w:rPr>
        <w:t xml:space="preserve"> </w:t>
      </w:r>
      <w:r>
        <w:rPr>
          <w:rFonts w:ascii="Arial" w:cs="Arial" w:eastAsia="Arial" w:hAnsi="Arial"/>
          <w:sz w:val="17"/>
          <w:szCs w:val="17"/>
          <w:color w:val="auto"/>
        </w:rPr>
        <w:t>subsea battery systems will contain lithium ion batteries, which provide high power density, to supply power that can enable subsea equipment, sensors, communications and AUVs and electric remotely operated vehicles (eROV) recharge. The Company’s PB3 PowerBuoy® is complimentary to subsea battery systems by providing a means for recharging during longer term deployments, or the subsea battery systems can be used independently for shorter term deployments. Ideal for many remote offshore customer applications, these subsea battery systems are anticipated to be high performance, cost-efficient, and quickly deployable. Given the Company’s expertise in offshore energy storage systems from existing PB3 PowerBuoy® technology, the subsea battery solutions will provide an opportunity for the Company to differentiate through technical, cost and delivery leadership.</w:t>
      </w:r>
    </w:p>
    <w:p>
      <w:pPr>
        <w:spacing w:after="0" w:line="174" w:lineRule="exact"/>
        <w:rPr>
          <w:rFonts w:ascii="Arial" w:cs="Arial" w:eastAsia="Arial" w:hAnsi="Arial"/>
          <w:sz w:val="17"/>
          <w:szCs w:val="17"/>
          <w:color w:val="auto"/>
        </w:rPr>
      </w:pPr>
    </w:p>
    <w:p>
      <w:pPr>
        <w:jc w:val="both"/>
        <w:ind w:left="98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Support services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offers customers a comprehensive range of support services that meet their specific needs. These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innovation services, remote monitoring, extended service agreements, customization and pre-packaged payload options, engineering-design-testing services, mooring design, and marine services. These same support services will be extended to the new subsea battery solution and hybrid PowerBuoy®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On June 2, 2016, we entered into a securities purchase agreement, which was amended on June 7, 2016 (as amended, the “Purchase Agreement”) with certain institutional purchasers (the “Purchasers”). Pursuant to the terms of the Purchase Agreement, we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net proceeds from the offering to us were approximately $1.7 million, after deducting placement agent fees and estimated offering expenses payable by us, but excluding the proceeds, if any, from the exercise of the warrants issued in the offering. The warrants have an exercise price of $121.60 per share, will be exercisable on December 8, 2016, and will expire five years following the date of issuance. The Company paid the placement agents approximately $100,000 as placement agent fees in connection with the sale of securities in the offering. The Company also reimbursed the placement agents $35,000 for their out of pocket and legal expenses in connection with the offering.</w:t>
      </w:r>
    </w:p>
    <w:p>
      <w:pPr>
        <w:spacing w:after="0" w:line="19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$187.20 per share. The Warrants will expire on the fifth (5th) anniversary of the initial date of issuance.</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October 19, 2016, the Company sold 138,000 shares of common stock at a price of $55.00 per share, which includes the sale of 18,000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May 2, 2017, the Company sold 309,638 shares of common stock at a price of $26.00 per share, which includes the sale of 40,388 shares of the Company’s common stock sold by the Company pursuant to the exercise, in full, of the over-allotment option by the underwriters in a public offering. The net proceeds to the Company from the offering were approximately $7.2 million, after deducting placement agent fees and offering expenses payable by the Company.</w:t>
      </w:r>
    </w:p>
    <w:p>
      <w:pPr>
        <w:spacing w:after="0" w:line="18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October 23, 2017, the Company sold 286,972 shares of common stock at a price of $28.40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As of April 30, 2019, the Company has sold 162,162 shares of common stock with an aggregate market value of $949,259 at an average price of $5.85 per share pursuant to this common stock purchase agreement.</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7, 2019, the Company entered into an At the Market Offering Agreement (“2019 ATM Facility”) with A.G.P./Alliance Global Partners (“AGP”), under which the Company may issue and sell to or through A.G.P./Alliance Global Partners, acting as agent and/or principal, shares of the Company’s common stock having an aggregate offering price of up to $25 million. As of April 30, 2019, under the 2019 ATM Facility the Company had issued and sold 151,561 shares of its common stock with an aggregate market value of $958,229 at an average price of $6.32 per share and paid AGP a sales commission of approximately $33,469 related to those shares.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our common stock in an underwritten public offering. The net proceeds to the Company from the offering were approximately $15.7 million, after deducting underwriter fees and offering expenses payable by the Company.</w:t>
      </w:r>
    </w:p>
    <w:p>
      <w:pPr>
        <w:spacing w:after="0" w:line="188"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As of April 30, 2019, our negotiated backlog was $0.9 million. As of April 30, 2018, our negotiated backlog was $0.7 million. Our backlog can include unfilled firm orders for our products and services from commercial and governmental customers. If any of our contracts were to be terminated, our backlog would be reduced by the expected value of the remaining terms of such contract.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139" w:gutter="0" w:footer="0" w:header="0"/>
        </w:sectPr>
      </w:pPr>
    </w:p>
    <w:bookmarkStart w:id="44" w:name="page45"/>
    <w:bookmarkEnd w:id="44"/>
    <w:p>
      <w:pPr>
        <w:jc w:val="both"/>
        <w:ind w:firstLine="495"/>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mostly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losses have caused an accumulated deficit of $209.8 million at April 30, 2019. Based on the Company’s cash, cash equivalents and restricted cash balances as of April 30, 2019, the Company believes that it will be able to finance its capital requirements and operations into the quarter ending July 31, 2020. The report of our independent registered public accounting firm on our consolidated financial statements for the year ended April 30, 2019,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set forth below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We believe the following accounting policies require significant judgment and estimates by us in the preparation of our consolidated financial statements.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As discussed in Part I, Item 3 of this Annual Report under the heading “Legal Proceedings” and in Note 14, “Commitments and Contingencies,” in Notes to the Consolidated Financial Statements, the Company is currently subject to various legal proceedings and claims. The Company records a contingent liability when it is probable that a loss has been incurred and the amount is reasonably estimable in accordance with ASC Topic 450, Contingencies: Loss Contingencies. There is a significant judgment required in both the probability determination and as to whether an exposure can be reasonably estimated since the outcome of legal proceedings and claims brought against the Company are subject to significant uncertainty. In management’s opinion, any reasonable possible losses in addition to the amounts accrued for litigation, individually or in the aggregate, could possibly have a material adverse effect on its financial condition or operating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claims and unpriced change orders; awards and incentive fees;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Warrant accounting</w:t>
      </w:r>
    </w:p>
    <w:p>
      <w:pPr>
        <w:spacing w:after="0" w:line="225"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The Company accounts for warrants issued in connection with its public offerings in accordance with the guidance on “Accounting for Certain Financial Instruments with Characteristics of both Liabilities and Equity” in Topic 480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 The common warrants issued in connection with the Company’s public offerings in June and July 2016 met the criteria of a liability award and were classified to warrant liabilities. The pre-funded and common warrants issued in the Company’s April 8, 2019 public offering did not meet the criteria required to be classified as a liability award and therefore were treated as an equity award.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Over the next several years, it is our goal to fund the majority of our product development efforts with sources from commercial relationships, including cost-sharing agreements. If we are unable to obtain commercial relationships or cost-sharing arrangements, we may be forced to curtail our development expenses and scope to reduce our overall expenses. We recently narrowed our development focus to the PB3 to drive toward commercialization of that product and to reduce our overall expenses.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2019 and 2018:</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Twelve months ended April 30,</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gridSpan w:val="3"/>
          </w:tcPr>
          <w:p>
            <w:pPr>
              <w:jc w:val="right"/>
              <w:ind w:right="700"/>
              <w:spacing w:after="0"/>
              <w:rPr>
                <w:sz w:val="20"/>
                <w:szCs w:val="20"/>
                <w:color w:val="auto"/>
              </w:rPr>
            </w:pPr>
            <w:r>
              <w:rPr>
                <w:rFonts w:ascii="Arial" w:cs="Arial" w:eastAsia="Arial" w:hAnsi="Arial"/>
                <w:sz w:val="18"/>
                <w:szCs w:val="18"/>
                <w:color w:val="auto"/>
                <w:w w:val="94"/>
              </w:rPr>
              <w:t>(in thousands)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080" w:type="dxa"/>
            <w:vAlign w:val="bottom"/>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Office of Naval Research</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currently focus our sales and marketing efforts on parts of North America, Europe, South America and Asia. The following table shows the percentage of our revenues by geographical location of our customers for fiscal 2019 and 2018:</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Customer Location</w:t>
            </w: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1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800" w:type="dxa"/>
            <w:vAlign w:val="bottom"/>
            <w:gridSpan w:val="2"/>
          </w:tcPr>
          <w:p>
            <w:pPr>
              <w:jc w:val="right"/>
              <w:ind w:right="70"/>
              <w:spacing w:after="0"/>
              <w:rPr>
                <w:sz w:val="20"/>
                <w:szCs w:val="20"/>
                <w:color w:val="auto"/>
              </w:rPr>
            </w:pPr>
            <w:r>
              <w:rPr>
                <w:rFonts w:ascii="Arial" w:cs="Arial" w:eastAsia="Arial" w:hAnsi="Arial"/>
                <w:sz w:val="18"/>
                <w:szCs w:val="18"/>
                <w:color w:val="auto"/>
              </w:rPr>
              <w:t>92%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both"/>
        <w:ind w:firstLine="495"/>
        <w:spacing w:after="0" w:line="259"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 denominated accounts had a balance of $0.7 million as of April 30, 2019 and $1.0 million as of April 30, 2018, compared to our total cash, cash equivalents, and restricted cash balances of $17.2 million as of April 30, 2019 and $12.3 million as of April 30, 2018. These foreign currency balances are translated at each month end to our functional currency, the US dollar, and any resulting gain or loss is recognized in our results of operations.</w:t>
      </w:r>
    </w:p>
    <w:p>
      <w:pPr>
        <w:spacing w:after="0" w:line="187"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section should be read in conjunction with the discussion below under “- Liquidity and Capital Resources.”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Fiscal Years Ended April 30, 2019 and 2018</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years ended April 30,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Twelve months ended April 30,</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0" w:type="dxa"/>
            <w:vAlign w:val="bottom"/>
            <w:tcBorders>
              <w:bottom w:val="single" w:sz="8" w:color="auto"/>
            </w:tcBorders>
            <w:gridSpan w:val="4"/>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2019 period to</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2018 period</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8"/>
                <w:szCs w:val="18"/>
                <w:color w:val="auto"/>
              </w:rPr>
              <w:t>(in thousands)</w:t>
            </w:r>
          </w:p>
        </w:tc>
        <w:tc>
          <w:tcPr>
            <w:tcW w:w="6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w:t>
            </w:r>
          </w:p>
        </w:tc>
        <w:tc>
          <w:tcPr>
            <w:tcW w:w="1040" w:type="dxa"/>
            <w:vAlign w:val="bottom"/>
            <w:shd w:val="clear" w:color="auto" w:fill="CCEEFF"/>
          </w:tcPr>
          <w:p>
            <w:pPr>
              <w:jc w:val="right"/>
              <w:ind w:right="88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 of revenues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1,303</w:t>
            </w:r>
          </w:p>
        </w:tc>
        <w:tc>
          <w:tcPr>
            <w:tcW w:w="10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763</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loss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66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4,984</w:t>
            </w:r>
          </w:p>
        </w:tc>
        <w:tc>
          <w:tcPr>
            <w:tcW w:w="10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4,320</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7,616</w:t>
            </w: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6,988</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12,600</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3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58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(13,271</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(11,560</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16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income, net</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(13,096)</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(11,276)</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660" w:type="dxa"/>
            <w:vAlign w:val="bottom"/>
          </w:tcPr>
          <w:p>
            <w:pPr>
              <w:ind w:left="360"/>
              <w:spacing w:after="0"/>
              <w:rPr>
                <w:sz w:val="20"/>
                <w:szCs w:val="20"/>
                <w:color w:val="auto"/>
              </w:rPr>
            </w:pPr>
            <w:r>
              <w:rPr>
                <w:rFonts w:ascii="Arial" w:cs="Arial" w:eastAsia="Arial" w:hAnsi="Arial"/>
                <w:sz w:val="18"/>
                <w:szCs w:val="18"/>
                <w:color w:val="auto"/>
              </w:rPr>
              <w:t>Income tax benefit</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0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1,119</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(12,246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(10,157</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8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8"/>
                <w:szCs w:val="18"/>
                <w:color w:val="auto"/>
              </w:rPr>
              <w:t>44</w:t>
            </w: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Revenues for the fiscal years ended April 30, 2019 and 2018 were approximately $0.6 million and $0.5 million, respectively. The increase of approximately $0.1 million or 24% over 2018 was attributable to more new contracts signed and started at the end of fiscal year 2018 and beginning of fiscal year 2019 relating to Eni, PMO, EGP, and the U.S. Navy SBIR grant. The MES and ONR contracts were completed in the first half of fiscal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revenues for the fiscal years ended April 30, 2019 and 2018 were approximately $1.3 million and $0.8 million, respectively. The increase of approximately $0.5 million, or 71%, over 2018 mostly due to higher upfront spending and material costs on the new customer contracts in fiscal 2019 as compared to the same period in the fiscal 2018. During fiscal 2018, all of projects were completed in the first half of the year and spending on the new customer contracts commenced in the fourth quarter,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engineering and product development costs relate primarily to our efforts to increase the power output and reliability of our PowerBuoy® system, and the development of new products, product applications and complementary technologies. We expense all our engineering and product development costs as incurred.</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Engineering and product development costs during the fiscal year ended April 30, 2019 were $5.0 million as compared to $4.3 million for fiscal year 2018. The increase of $0.7 million, or 15%, is due to higher spending on new products being developed, PB3 PowerBuoy® builds for future customer contracts, and higher personnel costs as compared to the same period in fiscal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Selling, general and administrative costs during the fiscal year months ended April 30, 2019 were $7.6 million as compared to $7.0 for fiscal year 2018. The increase of $0.6 million, or 9%, is primarily attributable to higher investor relations costs of $0.4 million, higher professional fees of $0.2 million and higher sales and marketing of $0.1 million partly offset by lower spending of $0.1 million in employee related costs.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change in fair value of warrant liabilities during the fiscal year ended April 30, 2019 was an unrealized gain of $195,000 versus an unrealized gain of $122,000 for the fiscal months ended April 30, 2018. The change between periods is mainly due to a lower stock price for the twelve months ended April 30, 2019.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Interest income, net consists of interest received on cash and cash equivalents, investments in money market accounts and interest expense paid on certain obligations to third parties. Total cash, cash equivalents, and restricted cash were $17.2 million as of April 30, 2019, compared to $12.3 million as of April 30,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firstLine="495"/>
        <w:spacing w:after="0" w:line="277" w:lineRule="auto"/>
        <w:rPr>
          <w:sz w:val="20"/>
          <w:szCs w:val="20"/>
          <w:color w:val="auto"/>
        </w:rPr>
      </w:pPr>
      <w:r>
        <w:rPr>
          <w:rFonts w:ascii="Arial" w:cs="Arial" w:eastAsia="Arial" w:hAnsi="Arial"/>
          <w:sz w:val="18"/>
          <w:szCs w:val="18"/>
          <w:color w:val="auto"/>
        </w:rPr>
        <w:t>Interest income, net during the fiscal year 2019 was approximately $35,000 compared to $83,000 for fiscal 2018. The decrease in interest income year over year is due to a lower average cash balance in fiscal year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gain/(loss</w:t>
      </w:r>
      <w:r>
        <w:rPr>
          <w:rFonts w:ascii="Arial" w:cs="Arial" w:eastAsia="Arial" w:hAnsi="Arial"/>
          <w:sz w:val="18"/>
          <w:szCs w:val="18"/>
          <w:color w:val="auto"/>
        </w:rPr>
        <w:t>)</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Foreign exchange loss was approximately $55,000 for fiscal year 2019 as compared to a foreign exchange gain of $75,000 for fiscal year 2018.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During the fiscal years ended April 30, 2019 and 2018, the Company sold New Jersey State net operating losses and research and development credits in the amount of $9.1 million and $11.5 million, respectively, resulting in the recognition of income tax benefits of $0.9 million and $1.1 million, respectively. The Company has a full valuation allowance against its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2019, our aggregate revenues were $1.1 million, our aggregate net losses were $22.4 million and our aggregate net cash used in operating activities was $22.8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Net cash flows used in operating activities during the fiscal year ended April 30, 2019 were $12.1 million, an increase of $1.4 million, when compared to $10.7 million during the fiscal year ended April 30, 2018. The change was the result of an increase in net loss of $2.1 million and payment of deferred credits of $0.6 million partly offset by the net change in operating assets and liabilities of $1.3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Net cash used in investing activities was approximately $29,000 for fiscal year 2019 versus net cash used by investing activities of approximately $658,000 for fiscal year 2018. The change was primarily the result of the Company’s decreased spending on equipment and leasehold improvements relating to its new facility in Monroe, New Jersey.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Net cash provided by financing activities was approximately $17.2 million in fiscal year 2019, and net cash provided by financing activities was approximately $14.6 million for fiscal 2018. The increase in net cash provided in fiscal year 2019 compared to fiscal year 2018 was due primarily to the Company receiving more proceeds from sales of its common stock in fiscal year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effect of exchange rates on cash and cash equivalents was a reduction of approximately $80,000 in fiscal year 2019, a decrease of $168,000 from fiscal year 2018, respectively.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$209.8 million at April 30, 2019. We generated revenues of only $0.6 million in fiscal year 2019, and $0.5 million in fiscal year 2018. Based on the Company’s cash, cash equivalents and restricted cash balances as of April 30, 2019, the Company believes that it will be able to finance its capital requirements and operations into the quarter ending July 31, 2020. These conditions raise substantial doubt about our ability to continue as a going concern.</w:t>
      </w:r>
    </w:p>
    <w:p>
      <w:pPr>
        <w:spacing w:after="0" w:line="188"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780" w:hanging="650"/>
        <w:spacing w:after="0" w:line="277"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such as a hybrid PowerBuoy® or subsea battery solutions;</w:t>
      </w:r>
    </w:p>
    <w:p>
      <w:pPr>
        <w:spacing w:after="0" w:line="225" w:lineRule="exact"/>
        <w:rPr>
          <w:rFonts w:ascii="Arial" w:cs="Arial" w:eastAsia="Arial" w:hAnsi="Arial"/>
          <w:sz w:val="18"/>
          <w:szCs w:val="18"/>
          <w:color w:val="auto"/>
        </w:rPr>
      </w:pPr>
    </w:p>
    <w:p>
      <w:pPr>
        <w:ind w:left="780" w:right="20" w:hanging="650"/>
        <w:spacing w:after="0" w:line="277"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both"/>
        <w:ind w:firstLine="495"/>
        <w:spacing w:after="0" w:line="269" w:lineRule="auto"/>
        <w:rPr>
          <w:sz w:val="20"/>
          <w:szCs w:val="20"/>
          <w:color w:val="auto"/>
        </w:rPr>
      </w:pPr>
      <w:r>
        <w:rPr>
          <w:rFonts w:ascii="Arial" w:cs="Arial" w:eastAsia="Arial" w:hAnsi="Arial"/>
          <w:sz w:val="17"/>
          <w:szCs w:val="17"/>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engineering and product development costs associated with our product development. We anticipate that our operating expenses will be approximately $14.4 million in fiscal year 2020 including product development spending of more than $7.4 million. We may choose to reduce our operating expenses through personnel reductions, and reductions in our research and development and other operating costs during the fiscal year 2020,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ASU 2014-09 outlines a new, single comprehensive model for entities to use in accounting for revenue arising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firstLine="495"/>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amends the existing guidance on accounting for leases. Topic 842 was further clarified and amended within ASU 2017-13, ASU 2018-01, ASU 2018-10, ASU 2018-11 and ASU 2018-20. The new standard establishes a right-of-use (ROU) model that requires a lessee to record a ROU asset and a lease liability on the balance sheet for all leases with terms greater than twelve months or leases that contain a purchase option that is reasonably certain to be exercised.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The company will adopt Topic 842 during the first quarter of 2019 using the modified retrospective method. The new guidance will be applied to leases that exist or are entered into on or after May 1, 2019 without adjusting comparative periods in the financial statements. The Company expects to utilize the package of practical expedients in ASC 842-10-65-1(f) that, upon adoption of Topic 842, allows entities to (1) not reassess whether any expired or existing contracts are or contain leases, (2) retain the classification of leases (e.g., operating or finance lease) existing as of the date of adoption and (3) not reassess initial direct costs for any existing leases. Based on the most recent assessment of existing leases, the Company expects to record a right-of-use asset and a lease liability in the range of $1.0 to $2.0 million that will be included on the balance sheet as of May 1, 2019. The Company does not expect the adoption of Topic 842 to have a material impact on the company’s results of operations or cash flows.</w:t>
      </w:r>
    </w:p>
    <w:p>
      <w:pPr>
        <w:spacing w:after="0" w:line="188" w:lineRule="exact"/>
        <w:rPr>
          <w:sz w:val="20"/>
          <w:szCs w:val="20"/>
          <w:color w:val="auto"/>
        </w:rPr>
      </w:pPr>
    </w:p>
    <w:p>
      <w:pPr>
        <w:jc w:val="both"/>
        <w:ind w:left="40" w:firstLine="45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adopted the standard on May 1, 2018 and determined the standard had no impact on its financial position, results of operations or cash flows.</w:t>
      </w:r>
    </w:p>
    <w:p>
      <w:pPr>
        <w:spacing w:after="0" w:line="188" w:lineRule="exact"/>
        <w:rPr>
          <w:sz w:val="20"/>
          <w:szCs w:val="20"/>
          <w:color w:val="auto"/>
        </w:rPr>
      </w:pPr>
    </w:p>
    <w:p>
      <w:pPr>
        <w:jc w:val="both"/>
        <w:ind w:left="40" w:firstLine="450"/>
        <w:spacing w:after="0" w:line="276" w:lineRule="auto"/>
        <w:rPr>
          <w:sz w:val="20"/>
          <w:szCs w:val="20"/>
          <w:color w:val="auto"/>
        </w:rPr>
      </w:pPr>
      <w:r>
        <w:rPr>
          <w:rFonts w:ascii="Arial" w:cs="Arial" w:eastAsia="Arial" w:hAnsi="Arial"/>
          <w:sz w:val="17"/>
          <w:szCs w:val="17"/>
          <w:color w:val="auto"/>
        </w:rPr>
        <w:t>In May 2017, the FASB issued ASU 2017-09, “</w:t>
      </w:r>
      <w:r>
        <w:rPr>
          <w:rFonts w:ascii="Arial" w:cs="Arial" w:eastAsia="Arial" w:hAnsi="Arial"/>
          <w:sz w:val="17"/>
          <w:szCs w:val="17"/>
          <w:i w:val="1"/>
          <w:iCs w:val="1"/>
          <w:color w:val="auto"/>
        </w:rPr>
        <w:t>Compensation — Stock Compensation (ASC Topic 718): Scope of Modification Accounting,”</w:t>
      </w:r>
      <w:r>
        <w:rPr>
          <w:rFonts w:ascii="Arial" w:cs="Arial" w:eastAsia="Arial" w:hAnsi="Arial"/>
          <w:sz w:val="17"/>
          <w:szCs w:val="17"/>
          <w:color w:val="auto"/>
        </w:rPr>
        <w:t xml:space="preserve"> which clarifies when changes to the terms or conditions of a share-based payment award must be accounted for as a modification. Entities should apply the modification accounting guidance if the value, vesting conditions or classification of the award changes. The amendments in the ASU are effective for fiscal years beginning after December 15, 2017, and interim periods within those fiscal years and early adoption is permitted. The Company adopted the standard on May 1, 2018 and determined the standard no impact on its financial position, results of operations or cash flows.</w:t>
      </w:r>
    </w:p>
    <w:p>
      <w:pPr>
        <w:spacing w:after="0" w:line="17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The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August 2018, the FASB issued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2019,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495"/>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April 30, 2019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All of the directors bring to our Board of Directors executive leadership experience from their service as executives and/or directors of our Company and/or other entities. The biography of each director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b w:val="1"/>
                <w:bCs w:val="1"/>
                <w:color w:val="auto"/>
              </w:rPr>
              <w:t>Served as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41"/>
        </w:trPr>
        <w:tc>
          <w:tcPr>
            <w:tcW w:w="27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Position(s) with the Company</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From</w:t>
            </w:r>
          </w:p>
        </w:tc>
      </w:tr>
      <w:tr>
        <w:trPr>
          <w:trHeight w:val="202"/>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Terence J. Cryan</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7"/>
                <w:szCs w:val="17"/>
                <w:color w:val="auto"/>
              </w:rPr>
            </w:pPr>
          </w:p>
        </w:tc>
        <w:tc>
          <w:tcPr>
            <w:tcW w:w="5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Chairman of the Board</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2012</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Dean J. Glover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8"/>
                <w:szCs w:val="18"/>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Chairman of the Board and 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George H. Kirby III</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Steven M. Fludder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5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Robert K. Winters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5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Kristine S. Moore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0"/>
                <w:szCs w:val="20"/>
                <w:color w:val="auto"/>
              </w:rPr>
            </w:pPr>
          </w:p>
        </w:tc>
        <w:tc>
          <w:tcPr>
            <w:tcW w:w="5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2018</w:t>
            </w:r>
          </w:p>
        </w:tc>
      </w:tr>
    </w:tbl>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Terence J. Cryan </w:t>
      </w:r>
      <w:r>
        <w:rPr>
          <w:rFonts w:ascii="Arial" w:cs="Arial" w:eastAsia="Arial" w:hAnsi="Arial"/>
          <w:sz w:val="17"/>
          <w:szCs w:val="17"/>
          <w:color w:val="auto"/>
        </w:rPr>
        <w:t>has been a member of our Board of Directors since October 2012 and Chairman of the board since June 2014. Prior to joining our Board,</w:t>
      </w:r>
      <w:r>
        <w:rPr>
          <w:rFonts w:ascii="Arial" w:cs="Arial" w:eastAsia="Arial" w:hAnsi="Arial"/>
          <w:sz w:val="17"/>
          <w:szCs w:val="17"/>
          <w:b w:val="1"/>
          <w:bCs w:val="1"/>
          <w:color w:val="auto"/>
        </w:rPr>
        <w:t xml:space="preserve"> </w:t>
      </w:r>
      <w:r>
        <w:rPr>
          <w:rFonts w:ascii="Arial" w:cs="Arial" w:eastAsia="Arial" w:hAnsi="Arial"/>
          <w:sz w:val="17"/>
          <w:szCs w:val="17"/>
          <w:color w:val="auto"/>
        </w:rPr>
        <w:t>Mr. Cryan was a member of our Board of Advisors. Mr. Cryan was our lead independent director from October 2013 to June 2014 when he became Chairman of the Board. Since August 2017, Mr. Cryan has served as the Chairman of the Board of Westwater Resources, Inc. Mr. Cryan has served on the boards of directors of a number of other publicly traded companies including Uranium Resources, Inc. from 2006 to 2016; Global Power Equipment Group Inc. from 2008 to 2017; Superior Drilling Products from May 2014 to 2016; Gryphon Gold Corporation from 2009 to 2012; and The Providence Service Corporation from 2009 to 2011. Mr. Cryan previously served as President and Chief Executive Officer of Medical Acoustics, LLC from 2007 through 2010. From September 2012 until April 2013, Mr. Cryan also served as interim President and CEO of Uranium Resources, Inc., and was elected as Chairman of the Board of Directors of Uranium Resources, Inc. in June 2014 and served until March 2016. Mr. Cryan served as President and CEO of Global Power Equipment Group Inc., from March 2015 until July 2017. Mr. Cryan co-founded in 2001 Concert Energy Partners, LLC, an investment and private equity firm based in New York with a focus on the traditional and alternative energy, power and natural resources industries, and served as Managing Director until 2015. Between 1990 and 2001, Mr. Cryan was a Senior Managing Director in the investment banking department at Bear Stearns &amp; Co. Inc. in New York City and a Managing Director at Paine Webber/Kidder Peabody in both New York City and London. Mr. Cryan earned his Bachelor of Arts degree from Tufts University in 1983 and a Master of Science degree in Economics from The London School of Economics in 1984. In December 2014, Terence Cryan was named a Board Leadership Fellow by the National Association of Corporate Directors. We believe Mr. Cryan’s qualifications to sit on our Board of Directors include his significant experience in financial matters, his prior board and executive experience at other companies, his broad energy industry background and his extensive expertise in financings, mergers and acquisitions.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jc w:val="both"/>
        <w:spacing w:after="0" w:line="270" w:lineRule="auto"/>
        <w:rPr>
          <w:sz w:val="20"/>
          <w:szCs w:val="20"/>
          <w:color w:val="auto"/>
        </w:rPr>
      </w:pPr>
      <w:r>
        <w:rPr>
          <w:rFonts w:ascii="Arial" w:cs="Arial" w:eastAsia="Arial" w:hAnsi="Arial"/>
          <w:sz w:val="17"/>
          <w:szCs w:val="17"/>
          <w:b w:val="1"/>
          <w:bCs w:val="1"/>
          <w:color w:val="auto"/>
        </w:rPr>
        <w:t xml:space="preserve">Dean J. Glover </w:t>
      </w:r>
      <w:r>
        <w:rPr>
          <w:rFonts w:ascii="Arial" w:cs="Arial" w:eastAsia="Arial" w:hAnsi="Arial"/>
          <w:sz w:val="17"/>
          <w:szCs w:val="17"/>
          <w:color w:val="auto"/>
        </w:rPr>
        <w:t>became a member of our Board of Directors in October 2014, replacing a director who retired, and was elected Vice Chairman of our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in July 2016. Since March 2018, Mr. Glover has served as a member of the Board of Directors of ConXtech. Mr. Glover is currently the CEO of Techniks Tool Group. Prior to Techniks Tool Group from October 2014 until 2017, Mr. Glover served as MIRATECH President &amp; CEO. Prior to this, he was Senior Vice President and President of the Products Division of Global Power Equipment Group Inc. Mr. Glover joined Global Power in December 2005 as Chief Operating Officer of Braden Manufacturing. Prior to joining Global Power, Mr. Glover led the global supply chain and manufacturing for Diebold Inc. Prior to this Mr. Glover spent 13 years with General Electric (NYSE: GE) in various managerial and technical roles and is a certified Six Sigma Master Black belt. Mr. Glover currently serves as a director of Oklahoma Scholastic Organization, a non-profit organization. Mr. Glover holds a Bachelor’s degree in Mechanical Engineering from the University of Nebraska and an M.B.A. from the Kellogg Graduate School of Management, Northwestern University. Mr. Glover has extensive international experience having lived in various international locations for most of his career. Mr. Glover has over 25 years of commercial and technical experience in industry. We believe Mr. Glover’s qualifications to sit on our Board of Directors include his significant managerial, commercial and technical experience in the energy technology industry.</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George H. Kirby III </w:t>
      </w:r>
      <w:r>
        <w:rPr>
          <w:rFonts w:ascii="Arial" w:cs="Arial" w:eastAsia="Arial" w:hAnsi="Arial"/>
          <w:sz w:val="17"/>
          <w:szCs w:val="17"/>
          <w:color w:val="auto"/>
        </w:rPr>
        <w:t>has served as our President, Chief Executive Office and a member of our Board of Directors since January 20, 2015. Prior to this, Mr.</w:t>
      </w:r>
      <w:r>
        <w:rPr>
          <w:rFonts w:ascii="Arial" w:cs="Arial" w:eastAsia="Arial" w:hAnsi="Arial"/>
          <w:sz w:val="17"/>
          <w:szCs w:val="17"/>
          <w:b w:val="1"/>
          <w:bCs w:val="1"/>
          <w:color w:val="auto"/>
        </w:rPr>
        <w:t xml:space="preserve"> </w:t>
      </w:r>
      <w:r>
        <w:rPr>
          <w:rFonts w:ascii="Arial" w:cs="Arial" w:eastAsia="Arial" w:hAnsi="Arial"/>
          <w:sz w:val="17"/>
          <w:szCs w:val="17"/>
          <w:color w:val="auto"/>
        </w:rPr>
        <w:t>Kirby was Senior Vice President at AECOM Technology Corporation (NYSE: ACM) a leading provider of engineering, procurement and construction (“EPC”) services. In this role, he led their Energy Business Line for the north U.S. region providing services for utilities, power transmission and generation developers, and large industrial energy efficiency end-users. Prior to AECOM, he joined SAIC Energy, Environment, &amp; Infrastructure (NYSE: SAIC) in January 2012 a global leader in solutions for national security, healthcare and engineering, as Managing Director for their Asset Transactions group providing power generation investors and developers with technical and market consulting and advisory services and was promoted to Vice President in 2013 providing EPC services to Investor Owned Utilities. In 2009, he joined American Superconductor (Nasdaq: AMSC) as Director of Global Sales and was promoted to Managing Director of the Americas and Australia in 2011. From 2000 to 2009, Mr. Kirby held significant leadership roles at General Electric in both GE Energy and GE Capital (NYSE: GE) in product development, global sales, quality and project finance. In June 2016, Mr. Kirby was elected to the Board of Trustees of the Sea Research Foundation, a non-profit organization in Mystic, Connecticut. Mr. Kirby previously served as a director of Blade Dynamics, LLC from April to December 2011, and Schooner, Inc. from June to October 2012. Mr. Kirby earned a Bachelor of Science degree in Aerospace Engineering from Syracuse University in 1992 and an M.B.A. from Smeal College of Business at Pennsylvania State University in 2008. We believe Mr. Kirby’s significant leadership experience in energy industries qualifies him to serve on our Board of Directors.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Steven M. Fludder </w:t>
      </w:r>
      <w:r>
        <w:rPr>
          <w:rFonts w:ascii="Arial" w:cs="Arial" w:eastAsia="Arial" w:hAnsi="Arial"/>
          <w:sz w:val="17"/>
          <w:szCs w:val="17"/>
          <w:color w:val="auto"/>
        </w:rPr>
        <w:t>became a member of the Board of Directors on May 5, 2016. Mr. Fludder brings more than 30 years of global executive leadership in</w:t>
      </w:r>
      <w:r>
        <w:rPr>
          <w:rFonts w:ascii="Arial" w:cs="Arial" w:eastAsia="Arial" w:hAnsi="Arial"/>
          <w:sz w:val="17"/>
          <w:szCs w:val="17"/>
          <w:b w:val="1"/>
          <w:bCs w:val="1"/>
          <w:color w:val="auto"/>
        </w:rPr>
        <w:t xml:space="preserve"> </w:t>
      </w:r>
      <w:r>
        <w:rPr>
          <w:rFonts w:ascii="Arial" w:cs="Arial" w:eastAsia="Arial" w:hAnsi="Arial"/>
          <w:sz w:val="17"/>
          <w:szCs w:val="17"/>
          <w:color w:val="auto"/>
        </w:rPr>
        <w:t>energy and infrastructure markets. Since November 2017, Mr. Fludder has served as the Chief Executive Officer for NEC Energy Solutions. Prior to joining NEC Energy Solutions, Mr. Fludder was the Chief Executive Officer with alpha-En, a publicly traded innovative clean technology company focused on enabling next generation battery technologies by developing high purity lithium products. Prior to alpha-En, Mr. Fludder was Chief Executive of AECOM’s global Energy and Water practice. Prior to AECOM, he was Senior Executive Vice President, Division General Manager and Samsung group officer where he was head of worldwide sales and marketing for Samsung Engineering, a global engineering, procurement and construction (EPC) firm serving a broad range of energy industries including power, oil &amp; gas, petrochemicals, and metallurgy. He was subsequently President of Samsung Techwin Power Systems Division. Prior to Samsung, Mr. Fludder served as a Vice President and General Electric corporate officer where he led GE’s companywide environmental business initiative “ecomagination”. Earlier in his career at GE, Mr. Fludder held executive leadership roles in the Water, Energy Services, Energy China, and Aircraft Engines divisions. He has significant experience scaling and growing energy related technology businesses through start-ups, acquisitions and turnarounds. Mr. Fludder holds a Master’s degree in Mechanical Engineering from the Massachusetts Institute of Technology, a bachelor’s degree in Mechanical Engineering from Columbia University, and a second Bachelor of Science degree from Providence College. We believe Mr. Fludder’s qualifications to serve on our Board of Directors include his wide experience in both the energy and infrastructure markets, as well a variety of other industry segments related to our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both"/>
        <w:spacing w:after="0" w:line="287" w:lineRule="auto"/>
        <w:rPr>
          <w:sz w:val="20"/>
          <w:szCs w:val="20"/>
          <w:color w:val="auto"/>
        </w:rPr>
      </w:pPr>
      <w:r>
        <w:rPr>
          <w:rFonts w:ascii="Arial" w:cs="Arial" w:eastAsia="Arial" w:hAnsi="Arial"/>
          <w:sz w:val="16"/>
          <w:szCs w:val="16"/>
          <w:b w:val="1"/>
          <w:bCs w:val="1"/>
          <w:color w:val="auto"/>
        </w:rPr>
        <w:t xml:space="preserve">Robert K. Winters </w:t>
      </w:r>
      <w:r>
        <w:rPr>
          <w:rFonts w:ascii="Arial" w:cs="Arial" w:eastAsia="Arial" w:hAnsi="Arial"/>
          <w:sz w:val="16"/>
          <w:szCs w:val="16"/>
          <w:color w:val="auto"/>
        </w:rPr>
        <w:t>became a member of the Board of Directors on May 5, 2016. Robert Winters has been with Alpha IR Group since September 2015,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serves as Senior Managing Director. He established and is running the NYC office for Chicago-based firm, which specializes in providing strategic counsel to small- and mid-cap U.S. companies across a broad range of industries. Prior to this, he was a partner and portfolio manager at Zesiger Capital Group, LLC for 14 years; Zesiger Capital Group, LLC is an investment advisor based in NYC, catering to both large institutional clients and high net-worth individuals. Zesiger’s investment strategy during Mr. Winters’ tenure was to take concentrated, long-term investment positions in small-and mid-cap stocks in the U.S., as well as in select emerging and frontier markets. Additionally, Mr. Winters managed fixed income investments on behalf of clients at Zesiger, as well as private investments; Mr. Winters sat on the boards of several private portfolio companies during his time at Zesiger. Prior to his work at Zesiger Capital Group, LLC, Mr. Winters worked as a Managing Director and Senior Natural Resource analyst for almost 10 years at Bear, Stearns &amp; Co., Inc., where he focused on energy, metals and mining. Mr. Winters began his finance career at CS First Boston following his work as an international trade analyst with Kilpatrick &amp; Cody in Washington, D.C. Mr. Winters served as a director of LRM Industries International from 2009 until 2014 Mr. Winters graduated from Georgetown University in 1990 with a dual major in International Relations and History. We believe Mr. Winter’s qualifications to serve on our Board of Directors include his extensive finance experience, as well his experience with small-cap and mid-cap public companies.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Kristine S. Moore </w:t>
      </w:r>
      <w:r>
        <w:rPr>
          <w:rFonts w:ascii="Arial" w:cs="Arial" w:eastAsia="Arial" w:hAnsi="Arial"/>
          <w:sz w:val="17"/>
          <w:szCs w:val="17"/>
          <w:color w:val="auto"/>
        </w:rPr>
        <w:t>became a member of the Board of Directors on September 10, 2018. From December 2015 through April 2018, Ms. Moore served as non-executive director at Achilles Ltd., a global private-equity held company based in London. Prior to Achilles, Ltd. from 2001 to 2015, Ms. Moore was with Royal Dutch Shell (“Shell”), an international energy company. During this time, Ms. Moore held various positions at Shell; during 2015 Ms. Moore was Vice President of Contracting and Procurement; from 2011 to 2014, Vice President of Contracting and Procurement Operations and Group Materials Management; from 2007 to 2010, Vice President of Global Functions Sourcing; and from 2001 to 2007, Ms. Moore held various managerial positions. Prior to Shell, Ms. Moore from 2000 to 2001 served as Vice President of Marketing and Sales for Quaris, Inc. Ms. Moore began her career at International Business Machines where she held various positions. Ms. Moore is a graduate of Rice University with a Bachelor of Science in Civil Engineering. We believe Ms. Moore’s qualifications to serve on our Board of Directors include her extensive experience in the oil and gas markets, as well as her business background in sales, marketing, and supply chain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one executive officer who is not also a director: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 with Ocean Power Technologies, Inc.</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Matthew T. Shafer</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Matthew T. Shafer </w:t>
      </w:r>
      <w:r>
        <w:rPr>
          <w:rFonts w:ascii="Arial" w:cs="Arial" w:eastAsia="Arial" w:hAnsi="Arial"/>
          <w:sz w:val="17"/>
          <w:szCs w:val="17"/>
          <w:color w:val="auto"/>
        </w:rPr>
        <w:t>joined the Company in September 2016 as Chief Financial Officer and Treasurer of the Company. Mr. Shafer previously served as a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Finance and Corporate Controller for CMF Associates from May 2015 to September 2016, where he led teams in providing finance solutions for small and middle-market high-growth organizations. Prior to that, beginning in 2013 he served as a Business Unit Chief Financial Officer at Valeant Pharmaceuticals International (NYSE: VRX), a large global publicly traded company that develops, manufactures, markets and sells specialty pharmaceuticals and medical devices. He held this Finance Leadership role for the Valeant Dentistry, Generics and Neurology business units, and had worked closely with commercial operations and corporate level teams on numerous product launches, sales force expansions, mergers and acquisitions, financial systems integrations, and internal controls. Mr. Shafer has a foundation in Public Accounting working at Arthur Andersen LLP at the beginning of his career, holds a Bachelor of Science in Accounting from The Stillman School of Business at Seton Hall University, an MBA in Finance from Rutgers Business School in New Brunswick, N.J. and is a Certified Public Accountant.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 xml:space="preserve">Our Board of Directors believes that good corporate governance is important to ensure that the Company is managed for the long-term benefit of our stockholders. This section describes key corporate governance guidelines and practices that our Board has adopted. Complete copies of our corporate governance guidelines, committee charters and code of business conduct and ethics are available on the corporate governance section of our website, </w:t>
      </w:r>
      <w:r>
        <w:rPr>
          <w:rFonts w:ascii="Arial" w:cs="Arial" w:eastAsia="Arial" w:hAnsi="Arial"/>
          <w:sz w:val="18"/>
          <w:szCs w:val="18"/>
          <w:i w:val="1"/>
          <w:iCs w:val="1"/>
          <w:color w:val="auto"/>
        </w:rPr>
        <w:t>www.oceanpowertechnologies.com</w:t>
      </w:r>
      <w:r>
        <w:rPr>
          <w:rFonts w:ascii="Arial" w:cs="Arial" w:eastAsia="Arial" w:hAnsi="Arial"/>
          <w:sz w:val="18"/>
          <w:szCs w:val="18"/>
          <w:color w:val="auto"/>
        </w:rPr>
        <w:t>. Alternatively, you can request a copy of any of these documents by writing to our Secretary at 28 Engelhard Drive,</w:t>
      </w:r>
      <w:r>
        <w:rPr>
          <w:rFonts w:ascii="Arial" w:cs="Arial" w:eastAsia="Arial" w:hAnsi="Arial"/>
          <w:sz w:val="18"/>
          <w:szCs w:val="18"/>
          <w:i w:val="1"/>
          <w:iCs w:val="1"/>
          <w:color w:val="auto"/>
        </w:rPr>
        <w:t xml:space="preserve"> </w:t>
      </w:r>
      <w:r>
        <w:rPr>
          <w:rFonts w:ascii="Arial" w:cs="Arial" w:eastAsia="Arial" w:hAnsi="Arial"/>
          <w:sz w:val="18"/>
          <w:szCs w:val="18"/>
          <w:color w:val="auto"/>
        </w:rPr>
        <w:t>Monroe Township, NJ 08831.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Board has adopted corporate governance guidelines to assist in the exercise of its duties and responsibilities and to serve the best interests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our stockholders. These guidelines, which provide a framework for the conduct of the Board’s business, provide that:</w:t>
      </w:r>
    </w:p>
    <w:p>
      <w:pPr>
        <w:spacing w:after="0" w:line="211" w:lineRule="exact"/>
        <w:rPr>
          <w:sz w:val="20"/>
          <w:szCs w:val="20"/>
          <w:color w:val="auto"/>
        </w:rPr>
      </w:pPr>
    </w:p>
    <w:p>
      <w:pPr>
        <w:ind w:left="780" w:hanging="650"/>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Board’s principal responsibility is to oversee the management of the Company;</w:t>
      </w:r>
    </w:p>
    <w:p>
      <w:pPr>
        <w:spacing w:after="0" w:line="23" w:lineRule="exact"/>
        <w:rPr>
          <w:rFonts w:ascii="Arial" w:cs="Arial" w:eastAsia="Arial" w:hAnsi="Arial"/>
          <w:sz w:val="18"/>
          <w:szCs w:val="18"/>
          <w:color w:val="auto"/>
        </w:rPr>
      </w:pPr>
    </w:p>
    <w:p>
      <w:pPr>
        <w:ind w:left="780" w:hanging="650"/>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majority of the members of the Board shall be independent directors;</w:t>
      </w:r>
    </w:p>
    <w:p>
      <w:pPr>
        <w:spacing w:after="0" w:line="9" w:lineRule="exact"/>
        <w:rPr>
          <w:rFonts w:ascii="Arial" w:cs="Arial" w:eastAsia="Arial" w:hAnsi="Arial"/>
          <w:sz w:val="18"/>
          <w:szCs w:val="18"/>
          <w:color w:val="auto"/>
        </w:rPr>
      </w:pPr>
    </w:p>
    <w:p>
      <w:pPr>
        <w:ind w:left="780" w:hanging="650"/>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non-employee directors shall meet regularly in executive session;</w:t>
      </w:r>
    </w:p>
    <w:p>
      <w:pPr>
        <w:spacing w:after="0" w:line="9" w:lineRule="exact"/>
        <w:rPr>
          <w:rFonts w:ascii="Arial" w:cs="Arial" w:eastAsia="Arial" w:hAnsi="Arial"/>
          <w:sz w:val="18"/>
          <w:szCs w:val="18"/>
          <w:color w:val="auto"/>
        </w:rPr>
      </w:pPr>
    </w:p>
    <w:p>
      <w:pPr>
        <w:ind w:left="780" w:hanging="650"/>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and appropriate, independent advisors; and</w:t>
      </w:r>
    </w:p>
    <w:p>
      <w:pPr>
        <w:spacing w:after="0" w:line="9" w:lineRule="exact"/>
        <w:rPr>
          <w:rFonts w:ascii="Arial" w:cs="Arial" w:eastAsia="Arial" w:hAnsi="Arial"/>
          <w:sz w:val="18"/>
          <w:szCs w:val="18"/>
          <w:color w:val="auto"/>
        </w:rPr>
      </w:pPr>
    </w:p>
    <w:p>
      <w:pPr>
        <w:ind w:left="780" w:hanging="650"/>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annually, the Board and its committees will conduct a self-evaluation to determine whether they are functioning effectively.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members of our Audit Committee are Dean J. Glover, Steven M. Fludder and Robert K. Winters. Mr. Glover is the chair of the Audit Committee. The Board of Directors has determined that Mr. Glover is an “audit committee financial expert” within the meaning of the regulations of the Securities and Exchange Commission (the “SEC”). The Audit Committee met 4 times in fiscal 2019. Our Board has also determined that all Audit Committee members meet the independence requirements contemplated by Rule 5605(c) of the Nasdaq Stock Market and Rule 10A-3 under the Securities Exchange Act of 1934, as amended (the “Exchange Act”).</w:t>
      </w:r>
    </w:p>
    <w:p>
      <w:pPr>
        <w:spacing w:after="0" w:line="188"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Our Audit Committee assists our Board of Directors in its oversight of the integrity of our consolidated financial statements, our independent registered public accounting firm’s qualifications, independence and performance.</w:t>
      </w:r>
    </w:p>
    <w:p>
      <w:pPr>
        <w:spacing w:after="0" w:line="170"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monitoring our internal control over financial reporting, disclosure controls and procedures and code of business conduct and ethics; establishing procedures for the receipt and retention of accounting related complaints and concerns; meeting independently with our independent registered public accounting firm and management; and preparing the Audit Committee report required by SEC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Director Nominations Process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not been any material changes to the procedures by which shareholders may recommend nominees to our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 xml:space="preserve">We have adopted a Code of Business Conduct and Ethics that applies to our employees, officers (including our principal executive officer and principal financial officer) and directors. The Code of Business Conduct and Ethics is posted on our website at </w:t>
      </w:r>
      <w:r>
        <w:rPr>
          <w:rFonts w:ascii="Arial" w:cs="Arial" w:eastAsia="Arial" w:hAnsi="Arial"/>
          <w:sz w:val="16"/>
          <w:szCs w:val="16"/>
          <w:i w:val="1"/>
          <w:iCs w:val="1"/>
          <w:color w:val="auto"/>
        </w:rPr>
        <w:t>www.oceanpowertechnologies.com</w:t>
      </w:r>
      <w:r>
        <w:rPr>
          <w:rFonts w:ascii="Arial" w:cs="Arial" w:eastAsia="Arial" w:hAnsi="Arial"/>
          <w:sz w:val="16"/>
          <w:szCs w:val="16"/>
          <w:color w:val="auto"/>
        </w:rPr>
        <w:t xml:space="preserve"> and can also be obtained free of charge by sending a request to our Secretary at 28 Engelhard Drive, Suite B, Monroe Township, NJ 08831. Any changes to or waivers under the Code of Business Conduct and Ethics as it relates to our chief executive officer, chief financial officer, controller or persons performing similar functions must be approved by our Board of Directors and will be disclosed in a Current Report on Form 8-K within four business days of the change or waiver.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Pursuant to Section 16(a) of the Exchange Act and the rules issued thereunder,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the Form 3 for Ms. Moore was not filed in fiscal 2019 in a timely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Board service year 2019, the Board of Directors approved, for each non-employee director, an annual payment of $45,000 and a choice of either</w:t>
      </w:r>
    </w:p>
    <w:p>
      <w:pPr>
        <w:spacing w:after="0" w:line="46" w:lineRule="exact"/>
        <w:rPr>
          <w:sz w:val="20"/>
          <w:szCs w:val="20"/>
          <w:color w:val="auto"/>
        </w:rPr>
      </w:pPr>
    </w:p>
    <w:p>
      <w:pPr>
        <w:jc w:val="both"/>
        <w:ind w:firstLine="8"/>
        <w:spacing w:after="0" w:line="295" w:lineRule="auto"/>
        <w:tabs>
          <w:tab w:leader="none" w:pos="2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option worth $50,000, based on the Black-Scholes formula, to purchase shares of Common Stock or (b) Common Stock worth $50,000, with such option award or stock award to vest, if at all, at the next annual meeting of stockholders. For fiscal year 2019 each of the Directors chose to take a stock option of 2,500 shares. Directors serving a portion of a year receive a pro-rata grant. Each non-employee director also receives a per annum supplement ranging from $2,000 to $9,600 for each committee that they chair. In addition, the Chairman of the Board annually receives an additional $38,000.</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reimburse each non-employee director for out-of-pocket expenses incurred in connection with attending our Board and Board committee meetings.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Compensation for our directors, including cash and equity compensation, is determined, and remains subject to adjustment, by our Board of Directors.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compensation paid to each of our non-employee directors who served during fiscal year 2019.</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Fees Earned or</w:t>
            </w: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Paid in Cash</w:t>
            </w: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Awards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Name (1)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280" w:type="dxa"/>
            <w:vAlign w:val="bottom"/>
          </w:tcPr>
          <w:p>
            <w:pPr>
              <w:spacing w:after="0"/>
              <w:rPr>
                <w:sz w:val="20"/>
                <w:szCs w:val="20"/>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 (3)</w:t>
            </w:r>
          </w:p>
        </w:tc>
        <w:tc>
          <w:tcPr>
            <w:tcW w:w="28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17,870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54,600</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17,870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Fludder</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53,000</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17,870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Winters</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17,870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Kristine S. Moore</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24,946</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17,870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George H. Kirby III, the Company’s President and Chief Executive Officer is not included in this table as he is an employee of the Company and thus receives no compensation for his services as a Director. The compensation received by Mr. Kirby as an employee of the Company is shown in the Summary Compensation Table on page 58.</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earned or paid in cash reflect annual retainer and committee meeting fees.</w:t>
      </w:r>
    </w:p>
    <w:p>
      <w:pPr>
        <w:spacing w:after="0" w:line="225"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Stock options granted to directors vest fully on the date of the first annual shareholders meeting following the grant date. The amounts in the “Option Awards” column reflect the aggregate grant date fair value of stock options granted during the year computed in accordance with the provisions of Accounting Standards Codification (ASC) No. 718, “</w:t>
      </w:r>
      <w:r>
        <w:rPr>
          <w:rFonts w:ascii="Arial" w:cs="Arial" w:eastAsia="Arial" w:hAnsi="Arial"/>
          <w:sz w:val="17"/>
          <w:szCs w:val="17"/>
          <w:i w:val="1"/>
          <w:iCs w:val="1"/>
          <w:color w:val="auto"/>
        </w:rPr>
        <w:t>Compensation- Stock Compensation</w:t>
      </w:r>
      <w:r>
        <w:rPr>
          <w:rFonts w:ascii="Arial" w:cs="Arial" w:eastAsia="Arial" w:hAnsi="Arial"/>
          <w:sz w:val="17"/>
          <w:szCs w:val="17"/>
          <w:color w:val="auto"/>
        </w:rPr>
        <w:t>.” The assumptions used in calculating these amounts are incorporated by reference to Note 2 to the financial statements in this Annual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tbl>
      <w:tblPr>
        <w:tblLayout w:type="fixed"/>
        <w:tblInd w:w="20" w:type="dxa"/>
        <w:tblCellMar>
          <w:top w:w="0" w:type="dxa"/>
          <w:left w:w="0" w:type="dxa"/>
          <w:bottom w:w="0" w:type="dxa"/>
          <w:right w:w="0" w:type="dxa"/>
        </w:tblCellMar>
      </w:tblP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The following table summarizes grants during fiscal year 2019.</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Option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300" w:type="dxa"/>
            <w:vAlign w:val="bottom"/>
            <w:gridSpan w:val="3"/>
          </w:tcPr>
          <w:p>
            <w:pPr>
              <w:ind w:left="640"/>
              <w:spacing w:after="0"/>
              <w:rPr>
                <w:sz w:val="20"/>
                <w:szCs w:val="20"/>
                <w:color w:val="auto"/>
              </w:rPr>
            </w:pPr>
            <w:r>
              <w:rPr>
                <w:rFonts w:ascii="Arial" w:cs="Arial" w:eastAsia="Arial" w:hAnsi="Arial"/>
                <w:sz w:val="18"/>
                <w:szCs w:val="18"/>
                <w:b w:val="1"/>
                <w:bCs w:val="1"/>
                <w:color w:val="auto"/>
              </w:rPr>
              <w:t>Name</w:t>
            </w:r>
          </w:p>
        </w:tc>
        <w:tc>
          <w:tcPr>
            <w:tcW w:w="12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Awards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Awards</w:t>
            </w:r>
          </w:p>
        </w:tc>
        <w:tc>
          <w:tcPr>
            <w:tcW w:w="154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 (1)</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 (1)</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Fludder (1)</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Winters (1)</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Kristine S. Moore (1)</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fiscal year 2019 each board member was granted stock options exercisable for 2,500 shares of common stock for Board service during the year ending October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Executive Compensation</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Compensation Committee is responsible for overseeing the compensation of all of our executive officers. In this capacity, the Compensation Committee designs, implements, reviews and approves all compensation for our named executive officers. The goal of the Compensation Committee is to ensure that our compensation programs are aligned with our business goals and objectives and that the total compensation paid to each of our named executive officers is fair, reasonable and competitive.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compensation programs are designed to attract and retain qualified and talented executives, motivating them to achieve our business goals and rewarding them for superior short- and long-term performance. In particular, our compensation programs are intended to reward the achievement of specified predetermined quantitative and qualitative goals and to align our executives’ interests with those of our stockholders in order to attain the ultimate objective of increasing stockholder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Total Compensation and Relationship to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these programs include:</w:t>
      </w:r>
    </w:p>
    <w:p>
      <w:pPr>
        <w:spacing w:after="0" w:line="225" w:lineRule="exact"/>
        <w:rPr>
          <w:sz w:val="20"/>
          <w:szCs w:val="20"/>
          <w:color w:val="auto"/>
        </w:rPr>
      </w:pPr>
    </w:p>
    <w:p>
      <w:pPr>
        <w:ind w:left="660" w:hanging="652"/>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 compensation designed to reward annual achievements, with consideration given to the executive’s qualifications, scope of responsibility, leadership abilities and management experience and effectiveness;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bonus awards designed to align executive compensation with business objectives and performance; and</w:t>
      </w:r>
    </w:p>
    <w:p>
      <w:pPr>
        <w:spacing w:after="0" w:line="9"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equity-based incentive compensation, primarily in the form of stock options and restricted stock, the value of which is dependent upon the performance of our Common Stock, and which is subject to multi-year vesting that requires continued service and/or the attainment of certain performance goals.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Determining and Setting Executive Compensation</w:t>
      </w:r>
    </w:p>
    <w:p>
      <w:pPr>
        <w:spacing w:after="0" w:line="229"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Our management develops our compensation plans by utilizing publicly available compensation and on-line survey data for a broad selection of national and regional companies, which we believe are generally comparable to the Company in terms of public ownership, organizational structure, size and stage of development, and against which we believe we may compete for executive talent. The results of these analyses are reviewed with and approved by the Compensation Committee annually. We believe that these compensation practices provide us with appropriate compensation guidelines. The Compensation Committee generally targets compensation for our executives near the median range of compensation paid to similarly situated executives in comparable companies covered by the on-line survey data. Other considerations, including market factors, the unique nature of our business and the experience level of an executive, may dictate variations to this general target.</w:t>
      </w:r>
    </w:p>
    <w:p>
      <w:pPr>
        <w:spacing w:after="0" w:line="178"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Our business is characterized by a long product development cycle, including a lengthy engineering and product-testing period and regulatory approval and licensing. Because of this, many of the traditional benchmarking metrics, such as product sales, revenues and profits are inappropriate for our Company. Instead, the specific factors the Compensation Committee considers when determining our named executive officers’ compensation include:</w:t>
      </w:r>
    </w:p>
    <w:p>
      <w:pPr>
        <w:spacing w:after="0" w:line="14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key product development initiatives;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technology advancements;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achievement of regulatory and other commercial milestones;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and maintenance of key strategic relationships;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implementation of appropriate financing strategies;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and operating performance.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following table sets forth the compensation paid or accrued during the fiscal years ended April 30, 2019 and April 30, 2018 to our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Salary</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Bonus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Compensation</w:t>
            </w: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w:t>
            </w:r>
          </w:p>
        </w:tc>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 (1)</w:t>
            </w:r>
          </w:p>
        </w:tc>
        <w:tc>
          <w:tcPr>
            <w:tcW w:w="2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 (2)</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 (3)</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George H. Kirby III</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391,140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173,138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71,480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84,104(4)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381,600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276,565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51,710(4)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Matthew T. Shafer</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73,406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41,101</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118,750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Financial Officer and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Treasurer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Christopher Phebus (6)</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Engineering</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79,784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17,815(7)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Dr. Mike M. Mekhiche (8)</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Former Executive Vice President,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Engineering and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Salary represents actual salary earned during each fiscal year. The amounts in this column may be different from the amounts listed below under description of employment agreements, due to increases in salary levels and payments for unused vacation during each fiscal year.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amount represents bonuses earned by the named executive officers in fiscal year 2019 and 2018.</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 the “Stock Awards” column reflect the aggregate grant date fair value of stock options granted during the year computed in accordance with the provisions of Accounting Standards Codification (ASC) No. 718, “</w:t>
      </w:r>
      <w:r>
        <w:rPr>
          <w:rFonts w:ascii="Arial" w:cs="Arial" w:eastAsia="Arial" w:hAnsi="Arial"/>
          <w:sz w:val="18"/>
          <w:szCs w:val="18"/>
          <w:i w:val="1"/>
          <w:iCs w:val="1"/>
          <w:color w:val="auto"/>
        </w:rPr>
        <w:t>Compensation- Stock Compensation</w:t>
      </w:r>
      <w:r>
        <w:rPr>
          <w:rFonts w:ascii="Arial" w:cs="Arial" w:eastAsia="Arial" w:hAnsi="Arial"/>
          <w:sz w:val="18"/>
          <w:szCs w:val="18"/>
          <w:color w:val="auto"/>
        </w:rPr>
        <w:t>.” The assumptions used in calculating these amounts are incorporated by reference to Note 2 to the financial statements in this Annual Report.</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fiscal year 2019 the amount of $84,104 includes $48,024 for relocation expenses, $27,079 payout for unused vacation and $9,000 relates to the Company’s matching contributions to the 401(K) Plan. For fiscal year 2018 the amount of $51,710 includes $42,710 for relocation expenses and $9,000 relates to the Company’s matching contributions to the 401(K) Plan. In accordance with his employment agreement Mr. Kirby is eligible for reimbursement of relocation expenses.</w:t>
      </w:r>
    </w:p>
    <w:p>
      <w:pPr>
        <w:spacing w:after="0" w:line="186"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fiscal year 2019 the amount of $9,434 includes $3,636 payout for unused vacation and $5,797 relates to the Company’s matching contributions to the 401(K) Plan. For fiscal year 2019 the amount of $4,450 relates to the Company’s matching contributions to the 401(K) Plan.</w:t>
      </w:r>
    </w:p>
    <w:p>
      <w:pPr>
        <w:spacing w:after="0" w:line="14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Phebus joined the Company on January 15, 2018 to serve as the Company’s Vice President of Engineering. Mr. Phebus resigned from his position as Vice President of Engineering effective November 30, 2018.</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fiscal 2019 the amount $37,590 includes $32,185 for relocation expenses and $5,405 for unused vacation payout. For fiscal year 2018 the amount of $17,815 is relocation expenses in accordance with Mr. Phebus’ employment agreement.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 Mekhiche resigned from his position as Executive Vice President, Engineering and Operations effective August 8, 2017.</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fiscal year 2018 the amount of $33,712 includes $31,612 payout for unused vacation and $2,100 relates to the Company’s matching contributions to the 401(K) Plan. For fiscal year 2017 the amount of $20,086 includes $12,886 payout for unused vacation and $7,200 relates to the Company’s matching contributions to the 401(K)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H. Kirby III - President, Chief Executive Officer and Director</w:t>
      </w:r>
    </w:p>
    <w:p>
      <w:pPr>
        <w:spacing w:after="0" w:line="229"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Under an agreement entered into on December 29, 2014, Mr. Kirby was entitled to an initial annual base salary of $360,000 subject to adjustment upon annual review by our Board of Directors, was subsequently increased to $381,600 on May 1, 2016 and to $391,140 on May 1, 2018. Mr. Kirby is also eligible to earn discretionary incentive bonuses and incentive compensation. The Company also reimbursed Mr. Kirby for his eligible relocation costs.</w:t>
      </w:r>
    </w:p>
    <w:p>
      <w:pPr>
        <w:spacing w:after="0" w:line="147"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Upon the termination of his employment other than for cause, other than as a result of a change of control, or if he terminates his employment for good reason (as such terms are defined in his employment agreement), Mr. Kirby has the right to receive severance payments. If such termination occurs, Mr. Kirby will receive twelve months of his base salary then in effect. Pursuant to this agreement, Mr. Kirby is prohibited from competing with us and soliciting our customers, prospective customers or employees during the term of his employment and for a period of one year after the termination or expiration of his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68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Matthew T. Shafer - Vice President, Chief Financial Officer and Treasurer</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On August 23, 2016, and in connection with his hiring by the Company, Mr. Shafer entered into an employment agreement with the Company, to be effective on September 7, 2016 (the “Shafer Employment Agreement”). Under the Shafer Employment Agreement, Mr. Shafer was entitled to an initial annual base salary of $220,000 subject to adjustment upon annual review by the Company’s Board of Directors, was subsequently increased to $250,000 on October 18, 2017 and to $253,125 on May 1, 2018. Mr. Shafer is also eligible to earn discretionary incentive bonuses and incentive compensation. He is also entitled to participate in all Company employee benefit plans.</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Upon the termination of his employment other than for cause, or if he terminates his employment for good reason (as such terms are defined in the Shafer Employment Agreement), Mr. Shafer has the right to receive severance payments. If such termination occurs before the end of six months of service, he receives no severance. If such termination occurs after completing six months of service, Mr. Shafer will receive six months of his base salary. Pursuant to this agreement, Mr. Shafer is also subject to covenants regarding confidentiality, non-competition and non-solicitation during and after the term of his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229"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Our 2006 Stock Incentive Plan was adopted by our Board of Directors on December 7, 2006, was approved by our stockholders on January 12, 2007 and became effective on April 24, 2007. The 2006 Stock Incentive Plan provides for the grant of incentive stock options, non-statutory stock options, restricted stock awards and other stock-unit awards. On October 2, 2009, an amendment to the 2006 Stock Incentive Plan was approved, increasing the aggregate number of shares authorized for issuance by 42,500 shares to 82,661 shares. In 2010, our Board of Directors approved amending and restating the 2006 Stock Incentive Plan to make certain adjustments, including imposing minimum performance periods for performance awards and minimum vesting periods for time-based awards, a requirement that we obtain stockholder approval prior to certain option and stock appreciation right repricing actions, and limiting the situations in which vesting periods may be waived or accelerated. This amendment and restatement did not require the approval of our stockholders. On October 2, 2013, a further amendment to the 2006 Stock Incentive Plan was approved by our stockholders, increasing the aggregate number of shares authorized for issuance by an additional 40,000 shares to 122,661.</w:t>
      </w:r>
    </w:p>
    <w:p>
      <w:pPr>
        <w:spacing w:after="0" w:line="182"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Our employees, officers, directors, consultants and advisors are eligible to receive awards under our 2006 Stock Incentive Plan; however, incentive stock options may only be granted to our employees. The maximum number of shares of Common Stock with respect to which awards may be granted to any participant under our 2006 Stock Incentive Plan is 10,000 per calendar year.</w:t>
      </w:r>
    </w:p>
    <w:p>
      <w:pPr>
        <w:spacing w:after="0" w:line="181"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Our 2006 Stock Incentive Plan was administered by our Board of Directors. Pursuant to the terms of our 2006 Stock Incentive Plan, and to the extent permitted by law, our Board of Directors could delegate authority to one or more committees or subcommittees of the Board of Directors or to our officers. Our Board of Directors or any committee to whom the Board of Directors delegates authority selected the recipients of awards and determined:</w:t>
      </w:r>
    </w:p>
    <w:p>
      <w:pPr>
        <w:spacing w:after="0" w:line="16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the options become exercisable;</w:t>
      </w:r>
    </w:p>
    <w:p>
      <w:pPr>
        <w:spacing w:after="0" w:line="23"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of options; provided, however, that the exercise price shall not be less than 100% of the fair market value of the underlying Common Stock on the date the option is granted;</w:t>
      </w: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duration of the options; and</w:t>
      </w:r>
    </w:p>
    <w:p>
      <w:pPr>
        <w:spacing w:after="0" w:line="9"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Common Stock subject to any restricted stock or other stock-unit awards and the terms and conditions of such awards, including conditions for repurchase, issue price and repurchase price.</w:t>
      </w:r>
    </w:p>
    <w:p>
      <w:pPr>
        <w:spacing w:after="0" w:line="184"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If our Board of Directors delegated authority to an officer, the officer had the power to make awards to all of our employees, except to executive officers. Our Board of Directors fixed the terms of the awards to be granted by such officer, including the exercise price of such awards, and the maximum number of shares subject to awards that such officer could make.</w:t>
      </w:r>
    </w:p>
    <w:p>
      <w:pPr>
        <w:spacing w:after="0" w:line="181"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If a merger or other reorganization event occurred, our Board of Directors could provide that all of our outstanding options are to be assumed or substituted by the successor corporation. Our Board of Directors could also provide that, in the event the succeeding corporation did not agree to assume, or substitute for, outstanding options, then all unexercised options would become exercisable in full prior to the completion of the event and that these options would terminate immediately prior to the completion of the merger or other reorganization event if not previously exercised. Our Board of Directors could also provide for cashing out the value of any outstanding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jc w:val="both"/>
        <w:ind w:firstLine="495"/>
        <w:spacing w:after="0" w:line="297" w:lineRule="auto"/>
        <w:rPr>
          <w:sz w:val="20"/>
          <w:szCs w:val="20"/>
          <w:color w:val="auto"/>
        </w:rPr>
      </w:pPr>
      <w:r>
        <w:rPr>
          <w:rFonts w:ascii="Arial" w:cs="Arial" w:eastAsia="Arial" w:hAnsi="Arial"/>
          <w:sz w:val="16"/>
          <w:szCs w:val="16"/>
          <w:color w:val="auto"/>
        </w:rPr>
        <w:t>No awards could be granted under our 2006 Stock Incentive Plan after December 6, 2016, but the vesting and effectiveness of awards granted before that date could extend beyond that date. Our Board of Directors could amend, suspend or terminate our 2006 Stock Incentive Plan at any time, except that stockholder approval would be required for any revision that would materially increase the number of shares reserved for issuance, expand the types of awards available under the plan, materially modify plan eligibility requirements, extend the term of the plan or materially modify the method of determining the exercise price of options granted under the plan, or otherwise as required to comply with applicable law or stock market requirements.</w:t>
      </w:r>
    </w:p>
    <w:p>
      <w:pPr>
        <w:spacing w:after="0" w:line="158"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As of April 30, 2019, options to purchase 701 shares of our Common Stock at a weighted average exercise price of $566.62 were outstanding under our 2006 Stock Incentive Plan.</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As of April 30, 2019, we had granted 5,701 shares of restricted Common Stock under our 2006 Stock Incentive Plan, of which zero remain outstanding as of April 30, 2019.</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Once the 2015 Omnibus Incentive Plan (discussed below) was approved by the stockholders on October 22, 2015, no further stock options or other awards were awarded under the 2006 Stock Incentive Plan and it was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Omnibus Incentive Plan</w:t>
      </w:r>
    </w:p>
    <w:p>
      <w:pPr>
        <w:spacing w:after="0" w:line="229"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On August 17, 2015, the Board of Directors approved, subject to the receipt of stockholder approval, the Ocean Power Technologies, Inc. 2015 Omnibus Incentive Plan (the “2015 Plan”). On October 22, 2015, the stockholders approved the 2015 Plan and the 2006 Stock Incentive Plan was terminated. Effective August 17, 2016, our Board approved and adopted an amendment to the 2015 Plan, subject to stockholder approval, to increase the number of shares available for grant under the 2015 Plan from 12,036 to 32,036 in order to assure that adequate shares will be available for future grants. On October 21, 2016, the stockholders approved the amendment to the 2015 Plan. Effective September 28, 2018, our Board approved and adopted an amendment to the 2015 Plan, subject to stockholder approval, to increase the number of shares available for grant under the 2015 Plan from 32,036 to 132,036 in order to assure that adequate shares will be available for future grants. On December 7, 2018, the stockholders approved the amendment to the 2015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2015 Plan</w:t>
      </w:r>
    </w:p>
    <w:p>
      <w:pPr>
        <w:spacing w:after="0" w:line="229"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 xml:space="preserve">The following is a summary of the material provisions of the 2015 Plan, as amended, and is qualified in its entirety by reference to the complete text of the 2015 Plan, a copy of which is filed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our Proxy Statement on Schedule 14A filed with the SEC on September 3,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6"/>
          <w:szCs w:val="16"/>
          <w:color w:val="auto"/>
        </w:rPr>
        <w:t>The 2015 Plan is administered by a committee of the Board, which consists of not fewer than two directors of the Company designated by the Board, each of whom is a “non-employee director” within the meaning of Rule 16b-3 promulgated under the Exchange Act, an “outside director” within the meaning of Section 162(m) of the Internal Revenue Code as amended (as now in effect or later amended and any successor thereto, the “Code”) and, for so long as our Common Stock is listed on the Nasdaq, an “independent director” within the meaning of the Nasdaq rules. Among other things, the committee administering the 2015 Plan has full power and authority to take all actions and to make all determinations required or provided for under the 2015 Plan, any award under the 2015 Plan or any award agreement under the 2015 Plan, not inconsistent with the specific terms and conditions of the 2015 Plan, which the committee deems to be necessary or appropriate to the administration of the 2015 Plan. The committee administering the 2015 Plan, may amend, modify or supplement the terms of any outstanding award, provided that no amendment, modification or supplement of the terms of any outstanding award shall impair a grantee’s rights under an award without the consent of the grantee. The committee administering the 2015 Plan is also authorized to construe the award agreements and may prescribe rules relating to the 2015 Plan. Notwithstanding the foregoing, our full Board will conduct the general administration of the 2015 Plan with respect to all awards granted to our non-employee directors. In addition, in its sole discretion, our Board may at any time and from time to time exercise any and all rights and duties of the committee under the 2015 Plan except with respect to matters which are required to be determined in the sole discretion of the committee under Rule 16b-3 of the Exchange Act or Section 162(m) of the Code, or any regulations or rules issued thereunder.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Grant of Awards; Shares Available for Awards; Award Limits; Eligible Grantees</w:t>
      </w:r>
    </w:p>
    <w:p>
      <w:pPr>
        <w:spacing w:after="0" w:line="229" w:lineRule="exact"/>
        <w:rPr>
          <w:sz w:val="20"/>
          <w:szCs w:val="20"/>
          <w:color w:val="auto"/>
        </w:rPr>
      </w:pPr>
    </w:p>
    <w:p>
      <w:pPr>
        <w:jc w:val="both"/>
        <w:ind w:firstLine="495"/>
        <w:spacing w:after="0" w:line="267" w:lineRule="auto"/>
        <w:rPr>
          <w:sz w:val="20"/>
          <w:szCs w:val="20"/>
          <w:color w:val="auto"/>
        </w:rPr>
      </w:pPr>
      <w:r>
        <w:rPr>
          <w:rFonts w:ascii="Arial" w:cs="Arial" w:eastAsia="Arial" w:hAnsi="Arial"/>
          <w:sz w:val="17"/>
          <w:szCs w:val="17"/>
          <w:color w:val="auto"/>
        </w:rPr>
        <w:t>The 2015 Plan provides for the grant of stock options, SARs, restricted stock awards, stock unit awards and unrestricted stock awards, dividend equivalent rights, performance share awards or other performance-based awards, other equity-based awards or cash to eligible employees, officers and non-employee directors of the Company or any affiliate of the Company, or any consultant or adviser to the Company or an affiliate who is currently providing services to the Company or an affiliate, or to any other individual whose participation in the 2015 Plan is determined to be in the best interests of the Company by the committee administering the 2015 Plan. We have reserved a total of 10,000 shares of Common Stock for issuance as or under awards to be made under the 2015 Plan, plus (y) 2,036, which was the number of shares of Common Stock available for issuance under our 2006 Stock Incentive Plan as of the effective date of the 2015 Plan, plus (z) the number of shares of our Common Stock related to awards under the 2006 Stock Incentive Plan as of the effective date of the 2015 Plan which thereafter terminate by expiration, forfeiture, cancellation, or otherwise without the issuance of such shares. With the amendment to the Plan approved by the stockholders on October 21, 2016, the number of shares of Common Stock increased from 12,036 to 32,036. If any award expires, is cancelled, or terminates unexercised or is forfeited, the number of shares subject thereto is again available for grant under the 2015 Plan. The maximum number of shares of stock that can be granted under the 2015 Plan pursuant to incentive stock option awards is currently ten thousand (10,000). The maximum number of shares of stock subject to awards that can be granted under the 2015 Plan in any one calendar year to any person, other than a non-employee director, is three thousand seven hundred fifty (3,750). The maximum fair market value of shares of stock that may be granted under the 2015 Plan in any one calendar year to any non-employee director is ten thousand dollars ($10,000). The limitation on the amount of shares of stock issuable under the 2015 Plan is subject to adjustment in the event of certain changes in our capital stock, such as recapitalizations, reclassifications, stock splits, reverse stock splits, spin-offs, combinations of our stock, exchanges of our stock and other increases or decreases in our stock without receipt of consideration.</w:t>
      </w:r>
    </w:p>
    <w:p>
      <w:pPr>
        <w:spacing w:after="0" w:line="193"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As of April 30, 2019, options to purchase 64,871 shares of our Common Stock at a weighted average exercise price of $15.19 were outstanding under our 2015 Omnibus Incentive Plan.</w:t>
      </w:r>
    </w:p>
    <w:p>
      <w:pPr>
        <w:spacing w:after="0" w:line="170"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As of April 30, 2019, we had granted 17,350 shares of Restricted Common Stock under our 2015 Omnibus Incentive Plan. 10,248 shares vested and 2,596 shares were cancelled, with 4,506 shares remaining outstanding.</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2015 Plan will terminate automatically on October 22, 2025, which is ten years after the date on which stockholders approve the 2015 Plan. As of April 30, 2019, there are 58,555 shares available for grant under the 2015 Omnibus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Employment Inducement Incentive Award Plan</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January 18, 2018, the Board adopted the Ocean Power Technologies, Inc. Employment Inducement Incentive Award Plan (the “Inducement Plan”) and, subject to the adjustment provisions of the Inducement Plan, reserved 25,000 shares of the Company’s common stock for issuance pursuant to equity awards granted under the Inducement Plan.</w:t>
      </w:r>
    </w:p>
    <w:p>
      <w:pPr>
        <w:spacing w:after="0" w:line="181"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Inducement Plan was adopted without stockholder approval pursuant to Rule 5635(c)(4) and Rule 5635(c)(3) of the Nasdaq Listing Rules. The Inducement Plan provides for the grant of equity-based awards, including restricted stock units, restricted stock, performance shares and performance units, and its terms are substantially similar to the Company’s 2015 Omnibus Incentive Plan, including with respect to treatment of equity awards in the event of a “change in control” as defined under the Inducement Plan, but with such other terms and conditions intended to comply with the Nasdaq inducement award exception.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jc w:val="both"/>
        <w:ind w:firstLine="495"/>
        <w:spacing w:after="0" w:line="271" w:lineRule="auto"/>
        <w:rPr>
          <w:sz w:val="20"/>
          <w:szCs w:val="20"/>
          <w:color w:val="auto"/>
        </w:rPr>
      </w:pPr>
      <w:r>
        <w:rPr>
          <w:rFonts w:ascii="Arial" w:cs="Arial" w:eastAsia="Arial" w:hAnsi="Arial"/>
          <w:sz w:val="17"/>
          <w:szCs w:val="17"/>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No Awards may be granted or awarded during any period of suspension or after termination of the Plan, and in no event may any Award be granted under the Plan after the tenth (10th) anniversary of the date of its adoption. Any Awards that are outstanding on the Expiration Date, or the date of termination of the Plan (if earlier), shall remain in force according to the terms of the Plan and the applicable Award Agreement. As of April 30, 2019, there were no shares outstanding and 25,000 shares available for grant under the 2018 Inducement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Outstanding Equity Awards at Fiscal Year End Table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contains certain information regarding equity awards held by the named executive officers as of April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Option Awards</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20" w:type="dxa"/>
            <w:vAlign w:val="bottom"/>
            <w:gridSpan w:val="4"/>
          </w:tcPr>
          <w:p>
            <w:pPr>
              <w:ind w:left="92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ind w:left="10"/>
              <w:spacing w:after="0" w:line="198" w:lineRule="exact"/>
              <w:rPr>
                <w:sz w:val="20"/>
                <w:szCs w:val="20"/>
                <w:color w:val="auto"/>
              </w:rPr>
            </w:pPr>
            <w:r>
              <w:rPr>
                <w:rFonts w:ascii="Arial" w:cs="Arial" w:eastAsia="Arial" w:hAnsi="Arial"/>
                <w:sz w:val="18"/>
                <w:szCs w:val="18"/>
                <w:b w:val="1"/>
                <w:bCs w:val="1"/>
                <w:color w:val="auto"/>
                <w:w w:val="91"/>
              </w:rPr>
              <w:t>Numbers of</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Numbers of</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Market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Shares or Units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Unexercised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Option</w:t>
            </w: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Option</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of Stock That</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Units of Stock</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Options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Options (#)</w:t>
            </w: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Expiration</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Have Not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That Have Not</w:t>
            </w:r>
          </w:p>
        </w:tc>
        <w:tc>
          <w:tcPr>
            <w:tcW w:w="0" w:type="dxa"/>
            <w:vAlign w:val="bottom"/>
          </w:tcPr>
          <w:p>
            <w:pPr>
              <w:spacing w:after="0"/>
              <w:rPr>
                <w:sz w:val="1"/>
                <w:szCs w:val="1"/>
                <w:color w:val="auto"/>
              </w:rPr>
            </w:pPr>
          </w:p>
        </w:tc>
      </w:tr>
      <w:tr>
        <w:trPr>
          <w:trHeight w:val="241"/>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220" w:type="dxa"/>
            <w:vAlign w:val="bottom"/>
          </w:tcPr>
          <w:p>
            <w:pPr>
              <w:spacing w:after="0"/>
              <w:rPr>
                <w:sz w:val="20"/>
                <w:szCs w:val="20"/>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 ($)</w:t>
            </w: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rPr>
              <w:t>Date</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Vested (#)</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Vested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George H. Kirby III</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12/7/2028(1)</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Matthew T. Shafer</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12/7/2028(3)</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40" w:hanging="319"/>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Options granted December 7, 2018 relating to an aggregate of 10,000 shares, of which 100% vest on the anniversary of the grant date or on the date of the annual shareholder meeting.</w:t>
      </w:r>
    </w:p>
    <w:p>
      <w:pPr>
        <w:spacing w:after="0" w:line="170" w:lineRule="exact"/>
        <w:rPr>
          <w:rFonts w:ascii="Arial" w:cs="Arial" w:eastAsia="Arial" w:hAnsi="Arial"/>
          <w:sz w:val="18"/>
          <w:szCs w:val="18"/>
          <w:color w:val="auto"/>
        </w:rPr>
      </w:pPr>
    </w:p>
    <w:p>
      <w:pPr>
        <w:ind w:left="840" w:right="20" w:hanging="319"/>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 shares of restricted stock granted on May 19, 2017 relating to an aggregate of 2,500 shares which vest after a two- year period based on service requirements.</w:t>
      </w:r>
    </w:p>
    <w:p>
      <w:pPr>
        <w:spacing w:after="0" w:line="170" w:lineRule="exact"/>
        <w:rPr>
          <w:rFonts w:ascii="Arial" w:cs="Arial" w:eastAsia="Arial" w:hAnsi="Arial"/>
          <w:sz w:val="18"/>
          <w:szCs w:val="18"/>
          <w:color w:val="auto"/>
        </w:rPr>
      </w:pPr>
    </w:p>
    <w:p>
      <w:pPr>
        <w:ind w:left="840" w:hanging="319"/>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Options granted December 7, 2018 relating to an aggregate of 5,750 shares, of which 100% vest on the anniversary of the grant date or on the date of the annual shareholder meeting.</w:t>
      </w:r>
    </w:p>
    <w:p>
      <w:pPr>
        <w:spacing w:after="0" w:line="170" w:lineRule="exact"/>
        <w:rPr>
          <w:rFonts w:ascii="Arial" w:cs="Arial" w:eastAsia="Arial" w:hAnsi="Arial"/>
          <w:sz w:val="18"/>
          <w:szCs w:val="18"/>
          <w:color w:val="auto"/>
        </w:rPr>
      </w:pPr>
    </w:p>
    <w:p>
      <w:pPr>
        <w:ind w:left="840" w:hanging="319"/>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 shares of restricted stock granted on October 21, 2016 relating to an aggregate of 773 shares which vest over a three- year period based on service requirements; 258 shares vested on Sept 17, 2017 and 257 shares vested on Sept 17, 2018.</w:t>
      </w:r>
    </w:p>
    <w:p>
      <w:pPr>
        <w:spacing w:after="0" w:line="170" w:lineRule="exact"/>
        <w:rPr>
          <w:rFonts w:ascii="Arial" w:cs="Arial" w:eastAsia="Arial" w:hAnsi="Arial"/>
          <w:sz w:val="18"/>
          <w:szCs w:val="18"/>
          <w:color w:val="auto"/>
        </w:rPr>
      </w:pPr>
    </w:p>
    <w:p>
      <w:pPr>
        <w:ind w:left="840" w:right="20" w:hanging="319"/>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 shares of restricted stock granted on May 19, 2017 relating to an aggregate of 2,500 shares which vest after a two- year period based on service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following information sets forth the terms of potential payments to each of our named executive officers in the event of a termination of employment. We do not include information for Mr. Phebus or Mr. Mekhiche since they are no longer employed by the Company and their departures did not trigger any payments.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jc w:val="both"/>
        <w:ind w:firstLine="495"/>
        <w:spacing w:after="0" w:line="255" w:lineRule="auto"/>
        <w:rPr>
          <w:sz w:val="20"/>
          <w:szCs w:val="20"/>
          <w:color w:val="auto"/>
        </w:rPr>
      </w:pPr>
      <w:r>
        <w:rPr>
          <w:rFonts w:ascii="Arial" w:cs="Arial" w:eastAsia="Arial" w:hAnsi="Arial"/>
          <w:sz w:val="18"/>
          <w:szCs w:val="18"/>
          <w:i w:val="1"/>
          <w:iCs w:val="1"/>
          <w:color w:val="auto"/>
        </w:rPr>
        <w:t xml:space="preserve">Termination by Company without Cause; Termination by Executive for Good Reason. </w:t>
      </w:r>
      <w:r>
        <w:rPr>
          <w:rFonts w:ascii="Arial" w:cs="Arial" w:eastAsia="Arial" w:hAnsi="Arial"/>
          <w:sz w:val="18"/>
          <w:szCs w:val="18"/>
          <w:color w:val="auto"/>
        </w:rPr>
        <w:t>Our employment agreement with Mr. Kirby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 within 30 days in the event that employment is terminated by the Company, other than for cause, upon Mr. Kirby’s disability or by the executive with good reason, in the amount of twelve months of base salary.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 of employment (but not longer than the original term of such options).</w:t>
      </w:r>
    </w:p>
    <w:p>
      <w:pPr>
        <w:spacing w:after="0" w:line="193"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Our employment agreement with Mr. Shafer provides, upon the termination of his employment other than for cause, or if Mr. Shafer terminates his employment for good reason, that Mr. Shafer has the right to receive severance payments. If such termination occurs before the end of six months of service, Mr. Shafer will receive no severance. If such termination occurs after completing six months of service, Mr. Shafer will receive six months of his base salary.</w:t>
      </w:r>
    </w:p>
    <w:p>
      <w:pPr>
        <w:spacing w:after="0" w:line="14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i w:val="1"/>
          <w:iCs w:val="1"/>
          <w:color w:val="auto"/>
        </w:rPr>
        <w:t xml:space="preserve">Termination by Company for Cause; Termination by Executive without Good Reason. </w:t>
      </w:r>
      <w:r>
        <w:rPr>
          <w:rFonts w:ascii="Arial" w:cs="Arial" w:eastAsia="Arial" w:hAnsi="Arial"/>
          <w:sz w:val="18"/>
          <w:szCs w:val="18"/>
          <w:color w:val="auto"/>
        </w:rPr>
        <w:t>Under our employment contracts with Mr. Kirby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cause or at the executive’s election without good reason, the executive is entitled to the base salary and benefits due and owing to the executive as of the date of termination. The employment agreement with Mr. Shafer does not contain provisions regarding severance in the event of a termination by the Company with or without cause or termination by the executive without good reason.</w:t>
      </w:r>
    </w:p>
    <w:p>
      <w:pPr>
        <w:spacing w:after="0" w:line="187"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Our employment agreement with Mr. Kirby provides for severance pay equal to two (2) years of base salary if a change of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and Mr. Kirby is terminated by the Company or Mr. Kirby terminates the agreement, each occurring within 90 days of the change of control.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 (but not longer than the original term of such options). In addition, to the extent that Mr. Kirby has not previously vested in rights and interests held by Mr. Kirby under the Company’s stock and other equity plans (including stock options, restricted stock, RSU’s, performance units or performance shares), such rights and interest would become fully vested.</w:t>
      </w:r>
    </w:p>
    <w:p>
      <w:pPr>
        <w:spacing w:after="0" w:line="178"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employment agreement for Mr. Shafer does not contain change of control provisions; therefore, payments for cash severance and continued healthcare benefits are the same as for termination without cause. The restricted stock agreement provides for accelerated stock vesting upon a change in control.</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i w:val="1"/>
          <w:iCs w:val="1"/>
          <w:color w:val="auto"/>
        </w:rPr>
        <w:t xml:space="preserve">Termination upon Failure to Renew by the Company. </w:t>
      </w:r>
      <w:r>
        <w:rPr>
          <w:rFonts w:ascii="Arial" w:cs="Arial" w:eastAsia="Arial" w:hAnsi="Arial"/>
          <w:sz w:val="18"/>
          <w:szCs w:val="18"/>
          <w:color w:val="auto"/>
        </w:rPr>
        <w:t>In the event that our employment agreement with Mr. Kirby terminates the end of the term and is</w:t>
      </w:r>
      <w:r>
        <w:rPr>
          <w:rFonts w:ascii="Arial" w:cs="Arial" w:eastAsia="Arial" w:hAnsi="Arial"/>
          <w:sz w:val="18"/>
          <w:szCs w:val="18"/>
          <w:i w:val="1"/>
          <w:iCs w:val="1"/>
          <w:color w:val="auto"/>
        </w:rPr>
        <w:t xml:space="preserve"> </w:t>
      </w:r>
      <w:r>
        <w:rPr>
          <w:rFonts w:ascii="Arial" w:cs="Arial" w:eastAsia="Arial" w:hAnsi="Arial"/>
          <w:sz w:val="18"/>
          <w:szCs w:val="18"/>
          <w:color w:val="auto"/>
        </w:rPr>
        <w:t>not renewed as a result of a decision by the Company not to renew, prior to a decision by Mr. Kirby not to renew, the Company will pay Mr. Kirby a severance payment in the amount of one (1) year base salary in a lump sum within 30 days after the termination date.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employment agreement for Mr. Shafer does not contain similar provisions.</w:t>
      </w:r>
    </w:p>
    <w:p>
      <w:pPr>
        <w:spacing w:after="0" w:line="225"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i w:val="1"/>
          <w:iCs w:val="1"/>
          <w:color w:val="auto"/>
        </w:rPr>
        <w:t xml:space="preserve">Qualifying retirement. </w:t>
      </w:r>
      <w:r>
        <w:rPr>
          <w:rFonts w:ascii="Arial" w:cs="Arial" w:eastAsia="Arial" w:hAnsi="Arial"/>
          <w:sz w:val="17"/>
          <w:szCs w:val="17"/>
          <w:color w:val="auto"/>
        </w:rPr>
        <w:t>Under our restricted stock agreements with the named executive officers, upon a Qualifying Retirement 50% of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July 15, 2019 by (a) each person known by us to be the beneficial owner of more than 5% of the outstanding shares of Common Stock, (b) each executive officer (c) each director, and (d) all executive officers and directors as a group.</w:t>
      </w:r>
    </w:p>
    <w:p>
      <w:pPr>
        <w:spacing w:after="0" w:line="181"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The Percentage of Common Stock outstanding is based on 5,771,747 shares of our Common Stock outstanding as of July 15, 2019. For purposes of the table below, and in accordance with the rules of the SEC, we deem shares of Common Stock subject to options that are currently exercisable or exercisable within sixty days of July 15, 2019 to be outstanding and to be beneficially owned by the person holding the options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Number of Shares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Percentage of Shares</w:t>
            </w:r>
          </w:p>
        </w:tc>
        <w:tc>
          <w:tcPr>
            <w:tcW w:w="0" w:type="dxa"/>
            <w:vAlign w:val="bottom"/>
          </w:tcPr>
          <w:p>
            <w:pPr>
              <w:spacing w:after="0"/>
              <w:rPr>
                <w:sz w:val="1"/>
                <w:szCs w:val="1"/>
                <w:color w:val="auto"/>
              </w:rPr>
            </w:pPr>
          </w:p>
        </w:tc>
      </w:tr>
      <w:tr>
        <w:trPr>
          <w:trHeight w:val="237"/>
        </w:trPr>
        <w:tc>
          <w:tcPr>
            <w:tcW w:w="5540" w:type="dxa"/>
            <w:vAlign w:val="bottom"/>
            <w:gridSpan w:val="3"/>
          </w:tcPr>
          <w:p>
            <w:pPr>
              <w:spacing w:after="0"/>
              <w:rPr>
                <w:sz w:val="20"/>
                <w:szCs w:val="20"/>
                <w:color w:val="auto"/>
              </w:rPr>
            </w:pPr>
            <w:r>
              <w:rPr>
                <w:rFonts w:ascii="Arial" w:cs="Arial" w:eastAsia="Arial" w:hAnsi="Arial"/>
                <w:sz w:val="18"/>
                <w:szCs w:val="18"/>
                <w:color w:val="auto"/>
              </w:rPr>
              <w:t>Name of Beneficial Owner</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Beneficially Owned</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Beneficially Owned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 (1)</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4,712</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George H. Kirby III (2)</w:t>
            </w: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6,936</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T. Shafer (3)</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Steven M. Fludder (4)</w:t>
            </w: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4,173</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 (5)</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9,287</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Robert K. Winters (6)</w:t>
            </w: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3,573</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Kristine S. Moore (7)</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(7 individuals)</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29,546</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40" w:right="4040" w:hanging="4984"/>
        <w:spacing w:after="0" w:line="528" w:lineRule="auto"/>
        <w:tabs>
          <w:tab w:leader="none" w:pos="8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 beneficial ownership of less the one percent of our outstanding common stock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ind w:left="980" w:right="20" w:hanging="324"/>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includes 361 shares of our common stock and 4,351 shares issuable upon the exercise of options that are currently exercisable or exercisable within sixty days of July 15, 2019.</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includes 6,936 shares of our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includes 865 shares of our common stock.</w:t>
      </w:r>
    </w:p>
    <w:p>
      <w:pPr>
        <w:spacing w:after="0" w:line="225"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includes 600 shares of our common stock and 3,573 shares issuable upon the exercise of options that are currently exercisable or exercisable within sixty days of July 15, 2019.</w:t>
      </w:r>
    </w:p>
    <w:p>
      <w:pPr>
        <w:spacing w:after="0" w:line="169"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includes 5,248 shares of our common stock and 4,039 shares issuable upon the exercise of options that are currently exercisable or exercisable within sixty days of July 15, 2019.</w:t>
      </w:r>
    </w:p>
    <w:p>
      <w:pPr>
        <w:spacing w:after="0" w:line="169"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includes 3,573 shares issuable upon the exercise of options that are currently exercisable or exercisable within sixty days of July 15, 2019.</w:t>
      </w:r>
    </w:p>
    <w:p>
      <w:pPr>
        <w:spacing w:after="0" w:line="169"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Moore joined the Board on September 10, 2018 and does not have any ownership of our common stock or options that are currently exercisable or exercisable within sixty days of July 15,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indicated information as of April 30, 2019 with respect to our equity compensation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8"/>
                <w:szCs w:val="18"/>
                <w:color w:val="auto"/>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 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300"/>
              <w:spacing w:after="0"/>
              <w:rPr>
                <w:sz w:val="20"/>
                <w:szCs w:val="20"/>
                <w:color w:val="auto"/>
              </w:rPr>
            </w:pPr>
            <w:r>
              <w:rPr>
                <w:rFonts w:ascii="Arial" w:cs="Arial" w:eastAsia="Arial" w:hAnsi="Arial"/>
                <w:sz w:val="18"/>
                <w:szCs w:val="18"/>
                <w:color w:val="auto"/>
              </w:rPr>
              <w:t>to be Issued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Issuance 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Exercise of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Weighted-Average</w:t>
            </w:r>
          </w:p>
        </w:tc>
        <w:tc>
          <w:tcPr>
            <w:tcW w:w="28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Options and Restricted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Exercise Price of</w:t>
            </w:r>
          </w:p>
        </w:tc>
        <w:tc>
          <w:tcPr>
            <w:tcW w:w="28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Plans (Excluding Shares</w:t>
            </w:r>
          </w:p>
        </w:tc>
        <w:tc>
          <w:tcPr>
            <w:tcW w:w="0" w:type="dxa"/>
            <w:vAlign w:val="bottom"/>
          </w:tcPr>
          <w:p>
            <w:pPr>
              <w:spacing w:after="0"/>
              <w:rPr>
                <w:sz w:val="1"/>
                <w:szCs w:val="1"/>
                <w:color w:val="auto"/>
              </w:rPr>
            </w:pPr>
          </w:p>
        </w:tc>
      </w:tr>
      <w:tr>
        <w:trPr>
          <w:trHeight w:val="237"/>
        </w:trPr>
        <w:tc>
          <w:tcPr>
            <w:tcW w:w="4300" w:type="dxa"/>
            <w:vAlign w:val="bottom"/>
            <w:gridSpan w:val="3"/>
          </w:tcPr>
          <w:p>
            <w:pPr>
              <w:spacing w:after="0"/>
              <w:rPr>
                <w:sz w:val="20"/>
                <w:szCs w:val="20"/>
                <w:color w:val="auto"/>
              </w:rPr>
            </w:pPr>
            <w:r>
              <w:rPr>
                <w:rFonts w:ascii="Arial" w:cs="Arial" w:eastAsia="Arial" w:hAnsi="Arial"/>
                <w:sz w:val="18"/>
                <w:szCs w:val="18"/>
                <w:color w:val="auto"/>
              </w:rPr>
              <w:t>Plan category</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Outstanding Options</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Reflected in First Column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shareholders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Stock Options</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65,572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21.08</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58,555(1)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Equity compensation plans not approved by shareholders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Stock Options</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2015 Omnibus Incentive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2018 Employee Inducement Incentive Award Plan.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equity compensation plans consist of 2006 Stock Incentive Plan and 2015 Omnibus Incentive Plan which were approved by our stockholders. Once the 2015 Omnibus Incentive Plan was approved by the stockholders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equity compensation plan that has not been approved by our shareholders is our 2018 Employee Inducement Incentive Award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Under applicable Nasdaq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8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Our Board has determined that all of our current directors are “independent directors” within the meaning of the applicable listing standards of the Nasdaq, except for George H. Kirby III who is our 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 and Related Person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Related Person Transactions</w:t>
      </w:r>
    </w:p>
    <w:p>
      <w:pPr>
        <w:spacing w:after="0" w:line="225"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recuse himself or herself from all decisions regarding the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fees of KPMG LLP, our independent registered public accounting firm, billed to us for each of the last two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Fiscal Year 2018</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376,095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322,000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Audit- Related Fees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11,438</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All Other Fees (3)</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1,780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80" w:type="dxa"/>
            <w:vAlign w:val="bottom"/>
            <w:tcBorders>
              <w:top w:val="single" w:sz="8" w:color="CCEEFF"/>
            </w:tcBorders>
            <w:shd w:val="clear" w:color="auto" w:fill="CCEEFF"/>
          </w:tcPr>
          <w:p>
            <w:pPr>
              <w:spacing w:after="0"/>
              <w:rPr>
                <w:sz w:val="21"/>
                <w:szCs w:val="21"/>
                <w:color w:val="auto"/>
              </w:rPr>
            </w:pPr>
          </w:p>
        </w:tc>
        <w:tc>
          <w:tcPr>
            <w:tcW w:w="2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Fees</w:t>
            </w: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389,313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342,780</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20" w:type="dxa"/>
            <w:vAlign w:val="bottom"/>
            <w:vMerge w:val="restart"/>
          </w:tcPr>
          <w:p>
            <w:pPr>
              <w:jc w:val="right"/>
              <w:ind w:right="310"/>
              <w:spacing w:after="0"/>
              <w:rPr>
                <w:sz w:val="20"/>
                <w:szCs w:val="20"/>
                <w:color w:val="auto"/>
              </w:rPr>
            </w:pPr>
            <w:r>
              <w:rPr>
                <w:rFonts w:ascii="Arial" w:cs="Arial" w:eastAsia="Arial" w:hAnsi="Arial"/>
                <w:sz w:val="18"/>
                <w:szCs w:val="18"/>
                <w:color w:val="auto"/>
              </w:rPr>
              <w:t>67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1" w:name="page72"/>
    <w:bookmarkEnd w:id="71"/>
    <w:p>
      <w:pPr>
        <w:jc w:val="both"/>
        <w:ind w:left="1240" w:hanging="327"/>
        <w:spacing w:after="0" w:line="259"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Fees consist of fees for the audit and quarterly reviews of our consolidated financial statements and other professional services provided in connection with the statutory and regulatory filings or engagements. Fiscal year 2019 and 2018 audit fees include fees for comfort letters and consents of $128,500 and $72,500, respectively, related to several equity offerings. Fiscal 2019 and 2018 include $2,595 and $4,500 for out of pocket fees, respectively.</w:t>
      </w:r>
    </w:p>
    <w:p>
      <w:pPr>
        <w:spacing w:after="0" w:line="186" w:lineRule="exact"/>
        <w:rPr>
          <w:rFonts w:ascii="Arial" w:cs="Arial" w:eastAsia="Arial" w:hAnsi="Arial"/>
          <w:sz w:val="18"/>
          <w:szCs w:val="18"/>
          <w:color w:val="auto"/>
        </w:rPr>
      </w:pPr>
    </w:p>
    <w:p>
      <w:pPr>
        <w:ind w:left="1240" w:hanging="327"/>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Fees include fees for the tax return preparation assistance and review.</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Fees for fiscal 2019 and 2018 includes subscription fee for KPMG’s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47"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All audit services and all non-audit services in fiscal years 2019 and 2018 were pre-approved by the Audit Committee. The Audit Committee has determined that the provision of the non-audit services for which these fees were rendered is compatible with maintaining the independent auditor’s independence.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ind w:left="54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500" w:hanging="254"/>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(1) Financial Statements: See Index to Consolidated Financial Statements on page F-1.</w:t>
      </w:r>
    </w:p>
    <w:p>
      <w:pPr>
        <w:spacing w:after="0" w:line="24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(3) Exhibits: See Exhibit Index on pages 71 to 72.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73" w:name="page74"/>
    <w:bookmarkEnd w:id="7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2019</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 George H. Kirby III</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688" w:right="239" w:bottom="1440" w:gutter="0" w:footer="0" w:header="0"/>
        </w:sectPr>
      </w:pPr>
    </w:p>
    <w:p>
      <w:pPr>
        <w:spacing w:after="0" w:line="18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410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50" w:lineRule="exact"/>
        <w:rPr>
          <w:sz w:val="20"/>
          <w:szCs w:val="20"/>
          <w:color w:val="auto"/>
        </w:rPr>
      </w:pPr>
    </w:p>
    <w:p>
      <w:pPr>
        <w:jc w:val="center"/>
        <w:ind w:left="500"/>
        <w:spacing w:after="0"/>
        <w:rPr>
          <w:sz w:val="20"/>
          <w:szCs w:val="20"/>
          <w:color w:val="auto"/>
        </w:rPr>
      </w:pPr>
      <w:r>
        <w:rPr>
          <w:rFonts w:ascii="Arial" w:cs="Arial" w:eastAsia="Arial" w:hAnsi="Arial"/>
          <w:sz w:val="17"/>
          <w:szCs w:val="17"/>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2410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George H. Kirby III</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7"/>
          <w:szCs w:val="17"/>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2410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Matthew T. Shafer</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Terence J. Cryan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Terence J. Cryan</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Dean J.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Dean J. Glover</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7"/>
          <w:szCs w:val="17"/>
          <w:i w:val="1"/>
          <w:iCs w:val="1"/>
          <w:color w:val="auto"/>
        </w:rPr>
        <w:t>/s/ Steven M. Fludder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2410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Steven M. Fludder</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7"/>
          <w:szCs w:val="17"/>
          <w:i w:val="1"/>
          <w:iCs w:val="1"/>
          <w:color w:val="auto"/>
        </w:rPr>
        <w:t>/s/ Robert K.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2410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Robert K. Winters</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Kristine S.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Kristine S. Moore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President, Chief Executive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22, 2019</w:t>
            </w:r>
          </w:p>
        </w:tc>
      </w:tr>
      <w:tr>
        <w:trPr>
          <w:trHeight w:val="243"/>
        </w:trPr>
        <w:tc>
          <w:tcPr>
            <w:tcW w:w="3880" w:type="dxa"/>
            <w:vAlign w:val="bottom"/>
            <w:gridSpan w:val="2"/>
          </w:tcPr>
          <w:p>
            <w:pPr>
              <w:spacing w:after="0"/>
              <w:rPr>
                <w:sz w:val="20"/>
                <w:szCs w:val="20"/>
                <w:color w:val="auto"/>
              </w:rPr>
            </w:pPr>
            <w:r>
              <w:rPr>
                <w:rFonts w:ascii="Arial" w:cs="Arial" w:eastAsia="Arial" w:hAnsi="Arial"/>
                <w:sz w:val="18"/>
                <w:szCs w:val="18"/>
                <w:color w:val="auto"/>
              </w:rPr>
              <w:t>and Director (Principal Executive Officer)</w:t>
            </w:r>
          </w:p>
        </w:tc>
        <w:tc>
          <w:tcPr>
            <w:tcW w:w="3640" w:type="dxa"/>
            <w:vAlign w:val="bottom"/>
          </w:tcPr>
          <w:p>
            <w:pPr>
              <w:spacing w:after="0"/>
              <w:rPr>
                <w:sz w:val="21"/>
                <w:szCs w:val="21"/>
                <w:color w:val="auto"/>
              </w:rPr>
            </w:pPr>
          </w:p>
        </w:tc>
      </w:tr>
      <w:tr>
        <w:trPr>
          <w:trHeight w:val="446"/>
        </w:trPr>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22, 2019</w:t>
            </w:r>
          </w:p>
        </w:tc>
      </w:tr>
      <w:tr>
        <w:trPr>
          <w:trHeight w:val="243"/>
        </w:trPr>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40" w:type="dxa"/>
            <w:vAlign w:val="bottom"/>
          </w:tcPr>
          <w:p>
            <w:pPr>
              <w:spacing w:after="0"/>
              <w:rPr>
                <w:sz w:val="21"/>
                <w:szCs w:val="21"/>
                <w:color w:val="auto"/>
              </w:rPr>
            </w:pPr>
          </w:p>
        </w:tc>
      </w:tr>
      <w:tr>
        <w:trPr>
          <w:trHeight w:val="446"/>
        </w:trPr>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22, 2019</w:t>
            </w:r>
          </w:p>
        </w:tc>
      </w:tr>
      <w:tr>
        <w:trPr>
          <w:trHeight w:val="689"/>
        </w:trPr>
        <w:tc>
          <w:tcPr>
            <w:tcW w:w="3880" w:type="dxa"/>
            <w:vAlign w:val="bottom"/>
            <w:gridSpan w:val="2"/>
          </w:tcPr>
          <w:p>
            <w:pPr>
              <w:spacing w:after="0"/>
              <w:rPr>
                <w:sz w:val="20"/>
                <w:szCs w:val="20"/>
                <w:color w:val="auto"/>
              </w:rPr>
            </w:pPr>
            <w:r>
              <w:rPr>
                <w:rFonts w:ascii="Arial" w:cs="Arial" w:eastAsia="Arial" w:hAnsi="Arial"/>
                <w:sz w:val="18"/>
                <w:szCs w:val="18"/>
                <w:color w:val="auto"/>
              </w:rPr>
              <w:t>Vice Chairman of the Board and</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22, 2019</w:t>
            </w:r>
          </w:p>
        </w:tc>
      </w:tr>
      <w:tr>
        <w:trPr>
          <w:trHeight w:val="243"/>
        </w:trPr>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1"/>
                <w:szCs w:val="21"/>
                <w:color w:val="auto"/>
              </w:rPr>
            </w:pPr>
          </w:p>
        </w:tc>
      </w:tr>
      <w:tr>
        <w:trPr>
          <w:trHeight w:val="446"/>
        </w:trPr>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22, 2019</w:t>
            </w:r>
          </w:p>
        </w:tc>
      </w:tr>
      <w:tr>
        <w:trPr>
          <w:trHeight w:val="689"/>
        </w:trPr>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22, 2019</w:t>
            </w:r>
          </w:p>
        </w:tc>
      </w:tr>
      <w:tr>
        <w:trPr>
          <w:trHeight w:val="689"/>
        </w:trPr>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July 22, 2019</w:t>
            </w:r>
          </w:p>
        </w:tc>
      </w:tr>
      <w:tr>
        <w:trPr>
          <w:trHeight w:val="689"/>
        </w:trPr>
        <w:tc>
          <w:tcPr>
            <w:tcW w:w="3660" w:type="dxa"/>
            <w:vAlign w:val="bottom"/>
          </w:tcPr>
          <w:p>
            <w:pPr>
              <w:ind w:left="174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3180" w:space="720"/>
            <w:col w:w="7520"/>
          </w:cols>
          <w:pgMar w:left="240" w:top="688"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80" w:type="dxa"/>
            <w:vAlign w:val="bottom"/>
          </w:tcPr>
          <w:p>
            <w:pPr>
              <w:ind w:left="432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580" w:type="dxa"/>
            <w:vAlign w:val="bottom"/>
          </w:tcPr>
          <w:p>
            <w:pPr>
              <w:spacing w:after="0"/>
              <w:rPr>
                <w:sz w:val="24"/>
                <w:szCs w:val="24"/>
                <w:color w:val="auto"/>
              </w:rPr>
            </w:pPr>
          </w:p>
        </w:tc>
      </w:tr>
      <w:tr>
        <w:trPr>
          <w:trHeight w:val="255"/>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22"/>
                <w:szCs w:val="22"/>
                <w:color w:val="auto"/>
              </w:rPr>
            </w:pPr>
          </w:p>
        </w:tc>
        <w:tc>
          <w:tcPr>
            <w:tcW w:w="10580" w:type="dxa"/>
            <w:vAlign w:val="bottom"/>
            <w:tcBorders>
              <w:bottom w:val="single" w:sz="8" w:color="auto"/>
            </w:tcBorders>
          </w:tcPr>
          <w:p>
            <w:pPr>
              <w:ind w:left="4840"/>
              <w:spacing w:after="0"/>
              <w:rPr>
                <w:sz w:val="20"/>
                <w:szCs w:val="20"/>
                <w:color w:val="auto"/>
              </w:rPr>
            </w:pPr>
            <w:r>
              <w:rPr>
                <w:rFonts w:ascii="Arial" w:cs="Arial" w:eastAsia="Arial" w:hAnsi="Arial"/>
                <w:sz w:val="18"/>
                <w:szCs w:val="18"/>
                <w:b w:val="1"/>
                <w:bCs w:val="1"/>
                <w:color w:val="auto"/>
              </w:rPr>
              <w:t>Description</w:t>
            </w:r>
          </w:p>
        </w:tc>
      </w:tr>
    </w:tbl>
    <w:p>
      <w:pPr>
        <w:spacing w:after="0" w:line="202" w:lineRule="exact"/>
        <w:rPr>
          <w:sz w:val="20"/>
          <w:szCs w:val="20"/>
          <w:color w:val="auto"/>
        </w:rPr>
      </w:pPr>
    </w:p>
    <w:p>
      <w:pPr>
        <w:jc w:val="both"/>
        <w:ind w:left="840" w:right="20" w:hanging="836"/>
        <w:spacing w:after="0" w:line="258"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7">
        <w:r>
          <w:rPr>
            <w:rFonts w:ascii="Arial" w:cs="Arial" w:eastAsia="Arial" w:hAnsi="Arial"/>
            <w:sz w:val="18"/>
            <w:szCs w:val="18"/>
            <w:u w:val="single" w:color="auto"/>
            <w:color w:val="0000EE"/>
          </w:rPr>
          <w:t>Restated Certificate of Incorporation of the registrant (incorporated by reference from Exhibit 3.1 to our Quarterly Report on Form 10-Q filed</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September 14, 2007).</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98">
        <w:r>
          <w:rPr>
            <w:rFonts w:ascii="Arial" w:cs="Arial" w:eastAsia="Arial" w:hAnsi="Arial"/>
            <w:sz w:val="18"/>
            <w:szCs w:val="18"/>
            <w:u w:val="single" w:color="auto"/>
            <w:color w:val="0000EE"/>
          </w:rPr>
          <w:t>Certificate of Amendment of Certificate of Incorporation of Ocean Power Technologies, Inc. dated October 27, 2015 (incorporated by reference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from Exhibit 3.1 to Current Report on Form 8-K filed on October 28, 2015).</w:t>
        </w:r>
      </w:hyperlink>
    </w:p>
    <w:p>
      <w:pPr>
        <w:spacing w:after="0" w:line="1" w:lineRule="exact"/>
        <w:rPr>
          <w:sz w:val="20"/>
          <w:szCs w:val="20"/>
          <w:color w:val="auto"/>
        </w:rPr>
      </w:pPr>
    </w:p>
    <w:p>
      <w:pPr>
        <w:spacing w:after="0"/>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3.3</w:t>
      </w:r>
      <w:r>
        <w:rPr>
          <w:sz w:val="20"/>
          <w:szCs w:val="20"/>
          <w:color w:val="auto"/>
        </w:rPr>
        <w:tab/>
      </w:r>
      <w:hyperlink r:id="rId99">
        <w:r>
          <w:rPr>
            <w:rFonts w:ascii="Arial" w:cs="Arial" w:eastAsia="Arial" w:hAnsi="Arial"/>
            <w:sz w:val="17"/>
            <w:szCs w:val="17"/>
            <w:u w:val="single" w:color="auto"/>
            <w:color w:val="0000EE"/>
          </w:rPr>
          <w:t>Amended and Restated Bylaws of the registrant (incorporated by reference from Exhibit 3.2 to the Current Report on Form 8-K filed June 23,</w:t>
        </w:r>
      </w:hyperlink>
    </w:p>
    <w:p>
      <w:pPr>
        <w:spacing w:after="0" w:line="9" w:lineRule="exact"/>
        <w:rPr>
          <w:sz w:val="20"/>
          <w:szCs w:val="20"/>
          <w:color w:val="auto"/>
        </w:rPr>
      </w:pPr>
    </w:p>
    <w:p>
      <w:pPr>
        <w:ind w:left="840"/>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2016).</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r:id="rId100">
        <w:r>
          <w:rPr>
            <w:rFonts w:ascii="Arial" w:cs="Arial" w:eastAsia="Arial" w:hAnsi="Arial"/>
            <w:sz w:val="16"/>
            <w:szCs w:val="16"/>
            <w:u w:val="single" w:color="auto"/>
            <w:color w:val="0000EE"/>
          </w:rPr>
          <w:t>Certificate of Amendment to Certificate of Incorporation of the Company, filed with the Secretary of State of the State of Delaware on October</w:t>
        </w:r>
      </w:hyperlink>
    </w:p>
    <w:p>
      <w:pPr>
        <w:spacing w:after="0" w:line="9" w:lineRule="exact"/>
        <w:rPr>
          <w:sz w:val="20"/>
          <w:szCs w:val="20"/>
          <w:color w:val="auto"/>
        </w:rPr>
      </w:pPr>
    </w:p>
    <w:p>
      <w:pPr>
        <w:ind w:left="840"/>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21, 2016 (incorporated by reference to Exhibit 3.1 to the Company’s Current Report on Form 8-K filed on October 21, 2016).</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3.5</w:t>
      </w:r>
      <w:r>
        <w:rPr>
          <w:sz w:val="20"/>
          <w:szCs w:val="20"/>
          <w:color w:val="auto"/>
        </w:rPr>
        <w:tab/>
      </w:r>
      <w:hyperlink r:id="rId101">
        <w:r>
          <w:rPr>
            <w:rFonts w:ascii="Arial" w:cs="Arial" w:eastAsia="Arial" w:hAnsi="Arial"/>
            <w:sz w:val="16"/>
            <w:szCs w:val="16"/>
            <w:u w:val="single" w:color="auto"/>
            <w:color w:val="0000EE"/>
          </w:rPr>
          <w:t>Certificate of Amendment to Certificate of Incorporation of the Company, filed with the Secretary of State of the State of Delaware on December</w:t>
        </w:r>
      </w:hyperlink>
    </w:p>
    <w:p>
      <w:pPr>
        <w:spacing w:after="0" w:line="9" w:lineRule="exact"/>
        <w:rPr>
          <w:sz w:val="20"/>
          <w:szCs w:val="20"/>
          <w:color w:val="auto"/>
        </w:rPr>
      </w:pPr>
    </w:p>
    <w:p>
      <w:pPr>
        <w:ind w:left="840"/>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7, 2018 (incorporated by reference to Exhibit 3.1 to the Company’s Current Report on Form 8-K filed on December 7, 2018).</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02">
        <w:r>
          <w:rPr>
            <w:rFonts w:ascii="Arial" w:cs="Arial" w:eastAsia="Arial" w:hAnsi="Arial"/>
            <w:sz w:val="16"/>
            <w:szCs w:val="16"/>
            <w:u w:val="single" w:color="auto"/>
            <w:color w:val="0000EE"/>
          </w:rPr>
          <w:t>Specimen certificate of Common Stock (incorporated by reference from Exhibit 4.1 to Form S-1/A filed March 19, 2007).</w:t>
        </w:r>
      </w:hyperlink>
    </w:p>
    <w:p>
      <w:pPr>
        <w:spacing w:after="0" w:line="9" w:lineRule="exact"/>
        <w:rPr>
          <w:sz w:val="20"/>
          <w:szCs w:val="20"/>
          <w:color w:val="auto"/>
        </w:rPr>
      </w:pPr>
    </w:p>
    <w:p>
      <w:pPr>
        <w:spacing w:after="0"/>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103">
        <w:r>
          <w:rPr>
            <w:rFonts w:ascii="Arial" w:cs="Arial" w:eastAsia="Arial" w:hAnsi="Arial"/>
            <w:sz w:val="17"/>
            <w:szCs w:val="17"/>
            <w:u w:val="single" w:color="auto"/>
            <w:color w:val="0000EE"/>
          </w:rPr>
          <w:t>Form of Warrant to Purchase Common Stock (incorporated by reference from Exhibit 4.1 to Current Report on Form 8-K/A filed on June 7,</w:t>
        </w:r>
      </w:hyperlink>
    </w:p>
    <w:p>
      <w:pPr>
        <w:spacing w:after="0" w:line="9" w:lineRule="exact"/>
        <w:rPr>
          <w:sz w:val="20"/>
          <w:szCs w:val="20"/>
          <w:color w:val="auto"/>
        </w:rPr>
      </w:pPr>
    </w:p>
    <w:p>
      <w:pPr>
        <w:ind w:left="840"/>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2016).</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04">
        <w:r>
          <w:rPr>
            <w:rFonts w:ascii="Arial" w:cs="Arial" w:eastAsia="Arial" w:hAnsi="Arial"/>
            <w:sz w:val="16"/>
            <w:szCs w:val="16"/>
            <w:u w:val="single" w:color="auto"/>
            <w:color w:val="0000EE"/>
          </w:rPr>
          <w:t>Option Agreement for Purchase of Emissions Credits, dated November 24, 2000 between Ocean Power Technologies, Inc. and its affiliates and</w:t>
        </w:r>
      </w:hyperlink>
    </w:p>
    <w:p>
      <w:pPr>
        <w:spacing w:after="0" w:line="9" w:lineRule="exact"/>
        <w:rPr>
          <w:sz w:val="20"/>
          <w:szCs w:val="20"/>
          <w:color w:val="auto"/>
        </w:rPr>
      </w:pPr>
    </w:p>
    <w:p>
      <w:pPr>
        <w:jc w:val="center"/>
        <w:ind w:right="40"/>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Woodside Sustainable Energy Solutions Pty. Ltd. (incorporated by reference from Exhibit 10.4 to Form S-1 filed November 13, 2006).</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05">
        <w:r>
          <w:rPr>
            <w:rFonts w:ascii="Arial" w:cs="Arial" w:eastAsia="Arial" w:hAnsi="Arial"/>
            <w:sz w:val="16"/>
            <w:szCs w:val="16"/>
            <w:u w:val="single" w:color="auto"/>
            <w:color w:val="0000EE"/>
          </w:rPr>
          <w:t>Amended and Restated 2006 Stock Incentive Plan (incorporated by reference from Exhibit A to Proxy Statement filed August 28, 2013).*</w:t>
        </w:r>
      </w:hyperlink>
    </w:p>
    <w:p>
      <w:pPr>
        <w:spacing w:after="0" w:line="9" w:lineRule="exact"/>
        <w:rPr>
          <w:sz w:val="20"/>
          <w:szCs w:val="20"/>
          <w:color w:val="auto"/>
        </w:rPr>
      </w:pPr>
    </w:p>
    <w:p>
      <w:pPr>
        <w:jc w:val="both"/>
        <w:ind w:left="840" w:hanging="836"/>
        <w:spacing w:after="0" w:line="265" w:lineRule="auto"/>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10.3</w:t>
      </w:r>
      <w:r>
        <w:rPr>
          <w:sz w:val="20"/>
          <w:szCs w:val="20"/>
          <w:color w:val="auto"/>
        </w:rPr>
        <w:tab/>
      </w:r>
      <w:hyperlink r:id="rId106">
        <w:r>
          <w:rPr>
            <w:rFonts w:ascii="Arial" w:cs="Arial" w:eastAsia="Arial" w:hAnsi="Arial"/>
            <w:sz w:val="17"/>
            <w:szCs w:val="17"/>
            <w:u w:val="single" w:color="auto"/>
            <w:color w:val="0000EE"/>
          </w:rPr>
          <w:t>Agreement for Renewable Energy Economic Development Grants, dated November 3, 2003, between State of New Jersey Board of Public</w:t>
        </w:r>
      </w:hyperlink>
      <w:r>
        <w:rPr>
          <w:rFonts w:ascii="Arial" w:cs="Arial" w:eastAsia="Arial" w:hAnsi="Arial"/>
          <w:sz w:val="17"/>
          <w:szCs w:val="17"/>
          <w:u w:val="single" w:color="auto"/>
          <w:color w:val="0000EE"/>
        </w:rPr>
        <w:t xml:space="preserve"> </w:t>
      </w:r>
      <w:hyperlink r:id="rId106">
        <w:r>
          <w:rPr>
            <w:rFonts w:ascii="Arial" w:cs="Arial" w:eastAsia="Arial" w:hAnsi="Arial"/>
            <w:sz w:val="17"/>
            <w:szCs w:val="17"/>
            <w:u w:val="single" w:color="auto"/>
            <w:color w:val="0000EE"/>
          </w:rPr>
          <w:t>Utilities and Ocean Power Technologies, Inc. (incorporated by reference from Exhibit 10.18 to Form S-1/A filed March 19, 2007).</w:t>
        </w:r>
      </w:hyperlink>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07">
        <w:r>
          <w:rPr>
            <w:rFonts w:ascii="Arial" w:cs="Arial" w:eastAsia="Arial" w:hAnsi="Arial"/>
            <w:sz w:val="16"/>
            <w:szCs w:val="16"/>
            <w:u w:val="single" w:color="auto"/>
            <w:color w:val="0000EE"/>
          </w:rPr>
          <w:t>Form of Restricted Stock Agreement (incorporated by reference from Exhibit 10.1 to Form 10-Q filed March 14, 2011).*</w:t>
        </w:r>
      </w:hyperlink>
    </w:p>
    <w:p>
      <w:pPr>
        <w:spacing w:after="0" w:line="9"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08">
        <w:r>
          <w:rPr>
            <w:rFonts w:ascii="Arial" w:cs="Arial" w:eastAsia="Arial" w:hAnsi="Arial"/>
            <w:sz w:val="18"/>
            <w:szCs w:val="18"/>
            <w:u w:val="single" w:color="auto"/>
            <w:color w:val="0000EE"/>
          </w:rPr>
          <w:t>Amended Option Agreement for Purchase of Emissions Credits, dated December 4, 2012, between Ocean Power Technologies, Inc. and its</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affiliates and Metasource Pty Ltd (formerly known as Woodside Sustainable Energy Solutions Pty Ltd) (incorporated by reference from Exhibit</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10.23 to Form 10-K filed July 12, 2013).</w:t>
        </w:r>
      </w:hyperlink>
    </w:p>
    <w:p>
      <w:pPr>
        <w:spacing w:after="0" w:line="1" w:lineRule="exact"/>
        <w:rPr>
          <w:rFonts w:ascii="Arial" w:cs="Arial" w:eastAsia="Arial" w:hAnsi="Arial"/>
          <w:sz w:val="18"/>
          <w:szCs w:val="18"/>
          <w:u w:val="single" w:color="auto"/>
          <w:color w:val="0000EE"/>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09">
        <w:r>
          <w:rPr>
            <w:rFonts w:ascii="Arial" w:cs="Arial" w:eastAsia="Arial" w:hAnsi="Arial"/>
            <w:sz w:val="18"/>
            <w:szCs w:val="18"/>
            <w:u w:val="single" w:color="auto"/>
            <w:color w:val="0000EE"/>
          </w:rPr>
          <w:t>Employment Agreement, dated December 29, 2014, between George H. Kirby and Ocean Power Technologies, Inc. (incorporated by reference</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from Exhibit 10.1 to Form 10-Q filed March 11, 2015).*</w:t>
        </w:r>
      </w:hyperlink>
    </w:p>
    <w:p>
      <w:pPr>
        <w:spacing w:after="0" w:line="1" w:lineRule="exact"/>
        <w:rPr>
          <w:sz w:val="20"/>
          <w:szCs w:val="20"/>
          <w:color w:val="auto"/>
        </w:rPr>
      </w:pPr>
    </w:p>
    <w:p>
      <w:pPr>
        <w:jc w:val="both"/>
        <w:ind w:left="840" w:hanging="836"/>
        <w:spacing w:after="0" w:line="281" w:lineRule="auto"/>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10">
        <w:r>
          <w:rPr>
            <w:rFonts w:ascii="Arial" w:cs="Arial" w:eastAsia="Arial" w:hAnsi="Arial"/>
            <w:sz w:val="16"/>
            <w:szCs w:val="16"/>
            <w:u w:val="single" w:color="auto"/>
            <w:color w:val="0000EE"/>
          </w:rPr>
          <w:t>Placement Agency Agreement dated June 2, 2016, by and among Ocean Power Technologies, Inc., Roth Capital Partners, LLC and Rodman &amp;</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Renshaw, a unit of H.C. Wainwright &amp; Co., LLC (incorporated by reference to Exhibit 99.2 to Current Report on Form 8-K filed on June 2, 2016).</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11">
        <w:r>
          <w:rPr>
            <w:rFonts w:ascii="Arial" w:cs="Arial" w:eastAsia="Arial" w:hAnsi="Arial"/>
            <w:sz w:val="18"/>
            <w:szCs w:val="18"/>
            <w:u w:val="single" w:color="auto"/>
            <w:color w:val="0000EE"/>
          </w:rPr>
          <w:t>Form of Securities Purchase Agreement dated June 2, 2016 (incorporated by reference to Exhibit 99.3 to Current Report on Form 8-K filed on</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June 2, 2016).</w:t>
        </w:r>
      </w:hyperlink>
    </w:p>
    <w:p>
      <w:pPr>
        <w:spacing w:after="0" w:line="1" w:lineRule="exact"/>
        <w:rPr>
          <w:sz w:val="20"/>
          <w:szCs w:val="20"/>
          <w:color w:val="auto"/>
        </w:rPr>
      </w:pPr>
    </w:p>
    <w:p>
      <w:pPr>
        <w:jc w:val="both"/>
        <w:ind w:left="840" w:right="2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12">
        <w:r>
          <w:rPr>
            <w:rFonts w:ascii="Arial" w:cs="Arial" w:eastAsia="Arial" w:hAnsi="Arial"/>
            <w:sz w:val="18"/>
            <w:szCs w:val="18"/>
            <w:u w:val="single" w:color="auto"/>
            <w:color w:val="0000EE"/>
          </w:rPr>
          <w:t>Form of Amendment No. 1 to Securities Purchase Agreement, dated June 7, 2016 (incorporated by reference to Exhibit 99.4 to the Current Report</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on Form 8-K/A filed on June 7, 2016).</w:t>
        </w:r>
      </w:hyperlink>
    </w:p>
    <w:p>
      <w:pPr>
        <w:spacing w:after="0" w:line="1"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13">
        <w:r>
          <w:rPr>
            <w:rFonts w:ascii="Arial" w:cs="Arial" w:eastAsia="Arial" w:hAnsi="Arial"/>
            <w:sz w:val="16"/>
            <w:szCs w:val="16"/>
            <w:u w:val="single" w:color="auto"/>
            <w:color w:val="0000EE"/>
          </w:rPr>
          <w:t>2015 Omnibus Incentive Plan* (incorporated by reference to Annex A to Proxy Statement filed on September 3, 2015).</w:t>
        </w:r>
      </w:hyperlink>
    </w:p>
    <w:p>
      <w:pPr>
        <w:spacing w:after="0" w:line="9"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14">
        <w:r>
          <w:rPr>
            <w:rFonts w:ascii="Arial" w:cs="Arial" w:eastAsia="Arial" w:hAnsi="Arial"/>
            <w:sz w:val="18"/>
            <w:szCs w:val="18"/>
            <w:u w:val="single" w:color="auto"/>
            <w:color w:val="0000EE"/>
          </w:rPr>
          <w:t>Stipulation and Agreement of Class Settlement dated as of May 5, 2016 (incorporated by reference to Exhibit 10.1 to Current Report on Form 8-K</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filed on May 11, 2016).</w:t>
        </w:r>
      </w:hyperlink>
    </w:p>
    <w:p>
      <w:pPr>
        <w:spacing w:after="0" w:line="1" w:lineRule="exact"/>
        <w:rPr>
          <w:sz w:val="20"/>
          <w:szCs w:val="20"/>
          <w:color w:val="auto"/>
        </w:rPr>
      </w:pPr>
    </w:p>
    <w:p>
      <w:pPr>
        <w:jc w:val="both"/>
        <w:ind w:left="840" w:hanging="836"/>
        <w:spacing w:after="0" w:line="261"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15">
        <w:r>
          <w:rPr>
            <w:rFonts w:ascii="Arial" w:cs="Arial" w:eastAsia="Arial" w:hAnsi="Arial"/>
            <w:sz w:val="18"/>
            <w:szCs w:val="18"/>
            <w:u w:val="single" w:color="auto"/>
            <w:color w:val="0000EE"/>
          </w:rPr>
          <w:t>Agreement by and between Ocean Power Technologies, Inc. and Mitsui Engineering &amp; Shipbuilding Co., Ltd dated May 31, 2016 (incorporated</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by reference from Exhibit 10.1 to Current Report on Form 8-K/A filed on June 6, 2016).</w:t>
        </w:r>
      </w:hyperlink>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5" w:name="page76"/>
    <w:bookmarkEnd w:id="75"/>
    <w:p>
      <w:pPr>
        <w:spacing w:after="0" w:line="36" w:lineRule="exact"/>
        <w:rPr>
          <w:sz w:val="20"/>
          <w:szCs w:val="20"/>
          <w:color w:val="auto"/>
        </w:rPr>
      </w:pPr>
    </w:p>
    <w:p>
      <w:pPr>
        <w:jc w:val="both"/>
        <w:ind w:left="840" w:hanging="836"/>
        <w:spacing w:after="0" w:line="258"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11">
        <w:r>
          <w:rPr>
            <w:rFonts w:ascii="Arial" w:cs="Arial" w:eastAsia="Arial" w:hAnsi="Arial"/>
            <w:sz w:val="18"/>
            <w:szCs w:val="18"/>
            <w:u w:val="single" w:color="auto"/>
            <w:color w:val="0000EE"/>
          </w:rPr>
          <w:t>Form of the Securities Purchase Agreement, dated June 2, 2016 (incorporated by reference to Exhibit 99.3 to the Current Report on Form 8-K</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filed on June 2, 2016).</w:t>
        </w:r>
      </w:hyperlink>
    </w:p>
    <w:p>
      <w:pPr>
        <w:spacing w:after="0" w:line="1" w:lineRule="exact"/>
        <w:rPr>
          <w:sz w:val="20"/>
          <w:szCs w:val="20"/>
          <w:color w:val="auto"/>
        </w:rPr>
      </w:pPr>
    </w:p>
    <w:p>
      <w:pPr>
        <w:jc w:val="both"/>
        <w:ind w:left="840" w:right="2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2">
        <w:r>
          <w:rPr>
            <w:rFonts w:ascii="Arial" w:cs="Arial" w:eastAsia="Arial" w:hAnsi="Arial"/>
            <w:sz w:val="18"/>
            <w:szCs w:val="18"/>
            <w:u w:val="single" w:color="auto"/>
            <w:color w:val="0000EE"/>
          </w:rPr>
          <w:t>Form of Amendment No. 1 to Securities Purchase Agreement, dated June 7, 2016 (incorporated by reference to Exhibit 99.4 to the Current Report</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on Form 8-K/A filed on June 7, 2016)</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17">
        <w:r>
          <w:rPr>
            <w:rFonts w:ascii="Arial" w:cs="Arial" w:eastAsia="Arial" w:hAnsi="Arial"/>
            <w:sz w:val="18"/>
            <w:szCs w:val="18"/>
            <w:u w:val="single" w:color="auto"/>
            <w:color w:val="0000EE"/>
          </w:rPr>
          <w:t>Form of Amendment No. 2, dated as of July 21, 2016, to the Securities Purchase Agreement, dated as of June 2, 2016, by and among Ocean</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Power Technologies, Inc. and the investor’s signatory thereto, and (incorporated by reference from Exhibit 99.2 to the Current Report on Form 8-</w:t>
        </w:r>
      </w:hyperlink>
      <w:hyperlink r:id="rId117">
        <w:r>
          <w:rPr>
            <w:rFonts w:ascii="Arial" w:cs="Arial" w:eastAsia="Arial" w:hAnsi="Arial"/>
            <w:sz w:val="18"/>
            <w:szCs w:val="18"/>
            <w:u w:val="single" w:color="auto"/>
            <w:color w:val="0000EE"/>
          </w:rPr>
          <w:t>K filed July 21, 2016).</w:t>
        </w:r>
      </w:hyperlink>
    </w:p>
    <w:p>
      <w:pPr>
        <w:spacing w:after="0" w:line="1" w:lineRule="exact"/>
        <w:rPr>
          <w:rFonts w:ascii="Arial" w:cs="Arial" w:eastAsia="Arial" w:hAnsi="Arial"/>
          <w:sz w:val="18"/>
          <w:szCs w:val="18"/>
          <w:u w:val="single" w:color="auto"/>
          <w:color w:val="0000EE"/>
        </w:rPr>
      </w:pPr>
    </w:p>
    <w:p>
      <w:pPr>
        <w:jc w:val="both"/>
        <w:ind w:left="840" w:right="2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18">
        <w:r>
          <w:rPr>
            <w:rFonts w:ascii="Arial" w:cs="Arial" w:eastAsia="Arial" w:hAnsi="Arial"/>
            <w:sz w:val="18"/>
            <w:szCs w:val="18"/>
            <w:u w:val="single" w:color="auto"/>
            <w:color w:val="0000EE"/>
          </w:rPr>
          <w:t>Form of Placement Agency Agreement, dated July 22, 2016, between the Company and the Placement Agent (incorporated by reference from</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Exhibit 1.1 to the Current Report on Form 8-K filed July 22, 2016).</w:t>
        </w:r>
      </w:hyperlink>
    </w:p>
    <w:p>
      <w:pPr>
        <w:spacing w:after="0" w:line="1"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19">
        <w:r>
          <w:rPr>
            <w:rFonts w:ascii="Arial" w:cs="Arial" w:eastAsia="Arial" w:hAnsi="Arial"/>
            <w:sz w:val="16"/>
            <w:szCs w:val="16"/>
            <w:u w:val="single" w:color="auto"/>
            <w:color w:val="0000EE"/>
          </w:rPr>
          <w:t>Form of Subscription Agreement, dated July 22, 2016 between the Company and the Purchasers thereto (incorporated by reference from Exhibit</w:t>
        </w:r>
      </w:hyperlink>
    </w:p>
    <w:p>
      <w:pPr>
        <w:spacing w:after="0" w:line="9" w:lineRule="exact"/>
        <w:rPr>
          <w:sz w:val="20"/>
          <w:szCs w:val="20"/>
          <w:color w:val="auto"/>
        </w:rPr>
      </w:pPr>
    </w:p>
    <w:p>
      <w:pPr>
        <w:ind w:left="840"/>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10.1 to the Current Report on Form 8-K filed July 22, 2016).</w:t>
        </w:r>
      </w:hyperlink>
    </w:p>
    <w:p>
      <w:pPr>
        <w:spacing w:after="0" w:line="9"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20">
        <w:r>
          <w:rPr>
            <w:rFonts w:ascii="Arial" w:cs="Arial" w:eastAsia="Arial" w:hAnsi="Arial"/>
            <w:sz w:val="18"/>
            <w:szCs w:val="18"/>
            <w:u w:val="single" w:color="auto"/>
            <w:color w:val="0000EE"/>
          </w:rPr>
          <w:t>Employment Letter between the Company and Matthew Shafer dated August 23, 2016, (incorporated by reference from Exhibit 10.1 to the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Current Report on Form 8-K filed August 29, 2016).</w:t>
        </w:r>
      </w:hyperlink>
    </w:p>
    <w:p>
      <w:pPr>
        <w:spacing w:after="0" w:line="1" w:lineRule="exact"/>
        <w:rPr>
          <w:sz w:val="20"/>
          <w:szCs w:val="20"/>
          <w:color w:val="auto"/>
        </w:rPr>
      </w:pPr>
    </w:p>
    <w:p>
      <w:pPr>
        <w:jc w:val="both"/>
        <w:ind w:left="840" w:right="2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21">
        <w:r>
          <w:rPr>
            <w:rFonts w:ascii="Arial" w:cs="Arial" w:eastAsia="Arial" w:hAnsi="Arial"/>
            <w:sz w:val="18"/>
            <w:szCs w:val="18"/>
            <w:u w:val="single" w:color="auto"/>
            <w:color w:val="0000EE"/>
          </w:rPr>
          <w:t>Letter Agreement between the Company and Mark A. Featherstone dated August 25, 2016, (incorporated by reference from Exhibit 10.3 to the</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Current Report on Form 8-K filed August 29, 2016).</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22">
        <w:r>
          <w:rPr>
            <w:rFonts w:ascii="Arial" w:cs="Arial" w:eastAsia="Arial" w:hAnsi="Arial"/>
            <w:sz w:val="18"/>
            <w:szCs w:val="18"/>
            <w:u w:val="single" w:color="auto"/>
            <w:color w:val="0000EE"/>
          </w:rPr>
          <w:t>Employment Letter between the Company and Mike Mekhiche dated September 12, 2016, (incorporated by reference from Exhibit 10.4 to the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Current Report on Form 8-K filed August 29, 2016).</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23">
        <w:r>
          <w:rPr>
            <w:rFonts w:ascii="Arial" w:cs="Arial" w:eastAsia="Arial" w:hAnsi="Arial"/>
            <w:sz w:val="18"/>
            <w:szCs w:val="18"/>
            <w:u w:val="single" w:color="auto"/>
            <w:color w:val="0000EE"/>
          </w:rPr>
          <w:t>Letter Agreement between the Company and Mike Mekhiche dated June 19, 2014, (incorporated by reference from Exhibit 10.5 to the Current</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Report on Form 8-K filed August 29, 2016).</w:t>
        </w:r>
      </w:hyperlink>
    </w:p>
    <w:p>
      <w:pPr>
        <w:spacing w:after="0" w:line="1"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24">
        <w:r>
          <w:rPr>
            <w:rFonts w:ascii="Arial" w:cs="Arial" w:eastAsia="Arial" w:hAnsi="Arial"/>
            <w:sz w:val="16"/>
            <w:szCs w:val="16"/>
            <w:u w:val="single" w:color="auto"/>
            <w:color w:val="0000EE"/>
          </w:rPr>
          <w:t>Agreement by and between the Company and the U.S. Office of Naval Research dated September 13, 2016 (incorporated by reference to Exhibit</w:t>
        </w:r>
      </w:hyperlink>
    </w:p>
    <w:p>
      <w:pPr>
        <w:spacing w:after="0" w:line="9" w:lineRule="exact"/>
        <w:rPr>
          <w:sz w:val="20"/>
          <w:szCs w:val="20"/>
          <w:color w:val="auto"/>
        </w:rPr>
      </w:pPr>
    </w:p>
    <w:p>
      <w:pPr>
        <w:ind w:left="84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10.1 to the Company’s Current Report on Form 8-K filed on September 14, 2016).</w:t>
        </w:r>
      </w:hyperlink>
    </w:p>
    <w:p>
      <w:pPr>
        <w:spacing w:after="0" w:line="9"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25">
        <w:r>
          <w:rPr>
            <w:rFonts w:ascii="Arial" w:cs="Arial" w:eastAsia="Arial" w:hAnsi="Arial"/>
            <w:sz w:val="18"/>
            <w:szCs w:val="18"/>
            <w:u w:val="single" w:color="auto"/>
            <w:color w:val="0000EE"/>
          </w:rPr>
          <w:t>Ocean Power Technologies, Inc. Employment Inducement Incentive Award Plan (incorporated by reference to Exhibit 10.1 to Form 8-K filed with</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the SEC on January 19, 2018).*</w:t>
        </w:r>
      </w:hyperlink>
    </w:p>
    <w:p>
      <w:pPr>
        <w:spacing w:after="0" w:line="1" w:lineRule="exact"/>
        <w:rPr>
          <w:sz w:val="20"/>
          <w:szCs w:val="20"/>
          <w:color w:val="auto"/>
        </w:rPr>
      </w:pPr>
    </w:p>
    <w:p>
      <w:pPr>
        <w:jc w:val="both"/>
        <w:ind w:left="840" w:right="2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26">
        <w:r>
          <w:rPr>
            <w:rFonts w:ascii="Arial" w:cs="Arial" w:eastAsia="Arial" w:hAnsi="Arial"/>
            <w:sz w:val="18"/>
            <w:szCs w:val="18"/>
            <w:u w:val="single" w:color="auto"/>
            <w:color w:val="0000EE"/>
          </w:rPr>
          <w:t>Form of Restricted Stock Agreement for Employment Inducement Incentive Award Plan (incorporated by reference to Exhibit 10.2 to Form 8-K</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filed with the SEC on January 19, 2018).*</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7">
        <w:r>
          <w:rPr>
            <w:rFonts w:ascii="Arial" w:cs="Arial" w:eastAsia="Arial" w:hAnsi="Arial"/>
            <w:sz w:val="18"/>
            <w:szCs w:val="18"/>
            <w:u w:val="single" w:color="auto"/>
            <w:color w:val="0000EE"/>
          </w:rPr>
          <w:t>Contract between Eni S.p.A. and the Company dated March 14, 2018 (incorporated by reference to Exhibit 10.1 to Form 8-K filed with the SEC</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on March 19, 2018). +</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28">
        <w:r>
          <w:rPr>
            <w:rFonts w:ascii="Arial" w:cs="Arial" w:eastAsia="Arial" w:hAnsi="Arial"/>
            <w:sz w:val="18"/>
            <w:szCs w:val="18"/>
            <w:u w:val="single" w:color="auto"/>
            <w:color w:val="0000EE"/>
          </w:rPr>
          <w:t>Contract between Premier Oil UK Limited and the Company dated June 27, 2018 (incorporated by reference to Exhibit 10.27 to Form 10-K filed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with the SEC on July 17, 2018).+</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29">
        <w:r>
          <w:rPr>
            <w:rFonts w:ascii="Arial" w:cs="Arial" w:eastAsia="Arial" w:hAnsi="Arial"/>
            <w:sz w:val="18"/>
            <w:szCs w:val="18"/>
            <w:u w:val="single" w:color="auto"/>
            <w:color w:val="0000EE"/>
          </w:rPr>
          <w:t>Amendment to the Employment Agreement of George H. Kirby III (incorporated by reference to Exhibit 10.2 to Form 8-K filed with the SEC 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July 18, 2018). *</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30">
        <w:r>
          <w:rPr>
            <w:rFonts w:ascii="Arial" w:cs="Arial" w:eastAsia="Arial" w:hAnsi="Arial"/>
            <w:sz w:val="18"/>
            <w:szCs w:val="18"/>
            <w:u w:val="single" w:color="auto"/>
            <w:color w:val="0000EE"/>
          </w:rPr>
          <w:t>Common Stock Purchase Agreement with Aspire Capital Fund, LLC (incorporated by reference to Exhibit 10.1 to Form 8-K filed with the SEC</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on August 13, 2018).</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31">
        <w:r>
          <w:rPr>
            <w:rFonts w:ascii="Arial" w:cs="Arial" w:eastAsia="Arial" w:hAnsi="Arial"/>
            <w:sz w:val="18"/>
            <w:szCs w:val="18"/>
            <w:u w:val="single" w:color="auto"/>
            <w:color w:val="0000EE"/>
          </w:rPr>
          <w:t>Registration Rights Agreement with Aspire Capital Fund, LLC (incorporated by reference to Exhibit 4.1 to Form 8-K filed with the SEC 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August 13, 2018).</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32">
        <w:r>
          <w:rPr>
            <w:rFonts w:ascii="Arial" w:cs="Arial" w:eastAsia="Arial" w:hAnsi="Arial"/>
            <w:sz w:val="18"/>
            <w:szCs w:val="18"/>
            <w:u w:val="single" w:color="auto"/>
            <w:color w:val="0000EE"/>
          </w:rPr>
          <w:t>Sales Agreement between the Company and A.G.P./Alliance Global Partners (incorporated by reference to Exhibit 10.1 to Form 8-K filed with the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SEC on January 7, 2019).</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33">
        <w:r>
          <w:rPr>
            <w:rFonts w:ascii="Arial" w:cs="Arial" w:eastAsia="Arial" w:hAnsi="Arial"/>
            <w:sz w:val="18"/>
            <w:szCs w:val="18"/>
            <w:u w:val="single" w:color="auto"/>
            <w:color w:val="0000EE"/>
          </w:rPr>
          <w:t>Contract between U.S. Navy and the Company dated February 11, 2019 (incorporated by reference to Exhibit 10.2 to Form 10-Q filed with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SEC on March 11, 2019).</w:t>
        </w:r>
      </w:hyperlink>
    </w:p>
    <w:p>
      <w:pPr>
        <w:spacing w:after="0" w:line="1" w:lineRule="exact"/>
        <w:rPr>
          <w:sz w:val="20"/>
          <w:szCs w:val="20"/>
          <w:color w:val="auto"/>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34">
        <w:r>
          <w:rPr>
            <w:rFonts w:ascii="Arial" w:cs="Arial" w:eastAsia="Arial" w:hAnsi="Arial"/>
            <w:sz w:val="18"/>
            <w:szCs w:val="18"/>
            <w:u w:val="single" w:color="auto"/>
            <w:color w:val="0000EE"/>
          </w:rPr>
          <w:t>Form of Warrant Agency Agreement by and between the Company and Computershare Trust Company, N.A. collectively as warrant agent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(incorporated by reference to Exhibit 4.7 to Amendment No.2 to the Company’s Registration Statement on Form S-1 (file No. 333-230199, filed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with the SEC on April 3, 2019.</w:t>
        </w:r>
      </w:hyperlink>
    </w:p>
    <w:p>
      <w:pPr>
        <w:spacing w:after="0" w:line="1" w:lineRule="exact"/>
        <w:rPr>
          <w:rFonts w:ascii="Arial" w:cs="Arial" w:eastAsia="Arial" w:hAnsi="Arial"/>
          <w:sz w:val="18"/>
          <w:szCs w:val="18"/>
          <w:u w:val="single" w:color="auto"/>
          <w:color w:val="0000EE"/>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10.33</w:t>
      </w:r>
      <w:r>
        <w:rPr>
          <w:sz w:val="20"/>
          <w:szCs w:val="20"/>
          <w:color w:val="auto"/>
        </w:rPr>
        <w:tab/>
      </w:r>
      <w:hyperlink r:id="rId135">
        <w:r>
          <w:rPr>
            <w:rFonts w:ascii="Arial" w:cs="Arial" w:eastAsia="Arial" w:hAnsi="Arial"/>
            <w:sz w:val="16"/>
            <w:szCs w:val="16"/>
            <w:u w:val="single" w:color="auto"/>
            <w:color w:val="0000EE"/>
          </w:rPr>
          <w:t>Form of Common Warrant ((incorporated by reference to Exhibit 4.2 to Form 8-K filed with the SEC on April 5, 2019).</w:t>
        </w:r>
      </w:hyperlink>
    </w:p>
    <w:p>
      <w:pPr>
        <w:spacing w:after="0" w:line="9" w:lineRule="exact"/>
        <w:rPr>
          <w:rFonts w:ascii="Arial" w:cs="Arial" w:eastAsia="Arial" w:hAnsi="Arial"/>
          <w:sz w:val="18"/>
          <w:szCs w:val="18"/>
          <w:u w:val="single" w:color="auto"/>
          <w:color w:val="0000EE"/>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r:id="rId136">
        <w:r>
          <w:rPr>
            <w:rFonts w:ascii="Arial" w:cs="Arial" w:eastAsia="Arial" w:hAnsi="Arial"/>
            <w:sz w:val="16"/>
            <w:szCs w:val="16"/>
            <w:u w:val="single" w:color="auto"/>
            <w:color w:val="0000EE"/>
          </w:rPr>
          <w:t>Form of Pre-Funded Warrant ((incorporated by reference to Exhibit 4.3 to Form 8-K filed with the SEC on April 5, 2019).</w:t>
        </w:r>
      </w:hyperlink>
    </w:p>
    <w:p>
      <w:pPr>
        <w:spacing w:after="0" w:line="9" w:lineRule="exact"/>
        <w:rPr>
          <w:rFonts w:ascii="Arial" w:cs="Arial" w:eastAsia="Arial" w:hAnsi="Arial"/>
          <w:sz w:val="18"/>
          <w:szCs w:val="18"/>
          <w:u w:val="single" w:color="auto"/>
          <w:color w:val="0000EE"/>
        </w:rPr>
      </w:pPr>
    </w:p>
    <w:p>
      <w:pPr>
        <w:jc w:val="both"/>
        <w:ind w:left="840" w:hanging="836"/>
        <w:spacing w:after="0" w:line="250"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37">
        <w:r>
          <w:rPr>
            <w:rFonts w:ascii="Arial" w:cs="Arial" w:eastAsia="Arial" w:hAnsi="Arial"/>
            <w:sz w:val="18"/>
            <w:szCs w:val="18"/>
            <w:u w:val="single" w:color="auto"/>
            <w:color w:val="0000EE"/>
          </w:rPr>
          <w:t>Warrant Agency Agreement between Ocean Power Technologies, Inc. and Computershare Trust Company, N.A. dated April 8, 2019 (incorporated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by reference to Exhibit 4.1 to Form 8-K filed with the SEC on April 8, 2019.</w:t>
        </w:r>
      </w:hyperlink>
    </w:p>
    <w:p>
      <w:pPr>
        <w:spacing w:after="0" w:line="1"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138">
        <w:r>
          <w:rPr>
            <w:rFonts w:ascii="Arial" w:cs="Arial" w:eastAsia="Arial" w:hAnsi="Arial"/>
            <w:sz w:val="16"/>
            <w:szCs w:val="16"/>
            <w:u w:val="single" w:color="auto"/>
            <w:color w:val="0000EE"/>
          </w:rPr>
          <w:t>Contract amendment between Premier Oil UK Limited and the Company dated June 24, 2019 (incorporated by reference to Exhibit 10.1 to Form</w:t>
        </w:r>
      </w:hyperlink>
    </w:p>
    <w:p>
      <w:pPr>
        <w:spacing w:after="0" w:line="9" w:lineRule="exact"/>
        <w:rPr>
          <w:sz w:val="20"/>
          <w:szCs w:val="20"/>
          <w:color w:val="auto"/>
        </w:rPr>
      </w:pPr>
    </w:p>
    <w:p>
      <w:pPr>
        <w:ind w:left="84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8-K filed with the SEC on June 25, 2019).+</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w:anchor="page112">
        <w:r>
          <w:rPr>
            <w:rFonts w:ascii="Arial" w:cs="Arial" w:eastAsia="Arial" w:hAnsi="Arial"/>
            <w:sz w:val="16"/>
            <w:szCs w:val="16"/>
            <w:u w:val="single" w:color="auto"/>
            <w:color w:val="0000EE"/>
          </w:rPr>
          <w:t>Lease Agreement dated March 31, 2017 between Ocean Power Technologies, Inc. and PPH Industrial 28 Engelhard, LLC.</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75">
        <w:r>
          <w:rPr>
            <w:rFonts w:ascii="Arial" w:cs="Arial" w:eastAsia="Arial" w:hAnsi="Arial"/>
            <w:sz w:val="16"/>
            <w:szCs w:val="16"/>
            <w:u w:val="single" w:color="auto"/>
            <w:color w:val="0000EE"/>
          </w:rPr>
          <w:t>Subsidiaries of the registrant</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77">
        <w:r>
          <w:rPr>
            <w:rFonts w:ascii="Arial" w:cs="Arial" w:eastAsia="Arial" w:hAnsi="Arial"/>
            <w:sz w:val="16"/>
            <w:szCs w:val="16"/>
            <w:u w:val="single" w:color="auto"/>
            <w:color w:val="0000EE"/>
          </w:rPr>
          <w:t>Consent of KPMG LLP</w:t>
        </w:r>
      </w:hyperlink>
    </w:p>
    <w:p>
      <w:pPr>
        <w:spacing w:after="0" w:line="9" w:lineRule="exact"/>
        <w:rPr>
          <w:sz w:val="20"/>
          <w:szCs w:val="20"/>
          <w:color w:val="auto"/>
        </w:rPr>
      </w:pPr>
    </w:p>
    <w:p>
      <w:pPr>
        <w:spacing w:after="0"/>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79">
        <w:r>
          <w:rPr>
            <w:rFonts w:ascii="Arial" w:cs="Arial" w:eastAsia="Arial" w:hAnsi="Arial"/>
            <w:sz w:val="17"/>
            <w:szCs w:val="17"/>
            <w:u w:val="single" w:color="auto"/>
            <w:color w:val="0000EE"/>
          </w:rPr>
          <w:t>Certification of Chief Executive Officer</w:t>
        </w:r>
      </w:hyperlink>
    </w:p>
    <w:p>
      <w:pPr>
        <w:spacing w:after="0" w:line="9" w:lineRule="exact"/>
        <w:rPr>
          <w:sz w:val="20"/>
          <w:szCs w:val="20"/>
          <w:color w:val="auto"/>
        </w:rPr>
      </w:pPr>
    </w:p>
    <w:p>
      <w:pPr>
        <w:spacing w:after="0"/>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181">
        <w:r>
          <w:rPr>
            <w:rFonts w:ascii="Arial" w:cs="Arial" w:eastAsia="Arial" w:hAnsi="Arial"/>
            <w:sz w:val="17"/>
            <w:szCs w:val="17"/>
            <w:u w:val="single" w:color="auto"/>
            <w:color w:val="0000EE"/>
          </w:rPr>
          <w:t>Certification of Chief Financial Officer</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83">
        <w:r>
          <w:rPr>
            <w:rFonts w:ascii="Arial" w:cs="Arial" w:eastAsia="Arial" w:hAnsi="Arial"/>
            <w:sz w:val="16"/>
            <w:szCs w:val="16"/>
            <w:u w:val="single" w:color="auto"/>
            <w:color w:val="0000EE"/>
          </w:rPr>
          <w:t>Certification of Chief Executive Officer pursuant to Section 906 of Sarbanes-Oxley Act of 2002**</w:t>
        </w:r>
      </w:hyperlink>
    </w:p>
    <w:p>
      <w:pPr>
        <w:spacing w:after="0" w:line="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85">
        <w:r>
          <w:rPr>
            <w:rFonts w:ascii="Arial" w:cs="Arial" w:eastAsia="Arial" w:hAnsi="Arial"/>
            <w:sz w:val="16"/>
            <w:szCs w:val="16"/>
            <w:u w:val="single" w:color="auto"/>
            <w:color w:val="0000EE"/>
          </w:rPr>
          <w:t>Certification of Chief Financial Officer pursuant to Section 906 of Sarbanes-Oxley Act of 2002**</w:t>
        </w:r>
      </w:hyperlink>
    </w:p>
    <w:p>
      <w:pPr>
        <w:spacing w:after="0" w:line="211" w:lineRule="exact"/>
        <w:rPr>
          <w:sz w:val="20"/>
          <w:szCs w:val="20"/>
          <w:color w:val="auto"/>
        </w:rPr>
      </w:pPr>
    </w:p>
    <w:p>
      <w:pPr>
        <w:jc w:val="both"/>
        <w:ind w:left="840" w:hanging="832"/>
        <w:spacing w:after="0" w:line="297"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Annual Report on Form 10-K for the annual period ended April 30, 2019, formatted in eXtensible Business Reporting Language (XBRL): (i) Consolidated Balance Sheets - as of April 30, 2019 and 2018, (ii) Consolidated Statements of Operations - for the years ended April 30, 2019 and 2018, (iii) Consolidated Statements of Comprehensive Loss - for the years ended April 30, 2019 and 2018, (iv) Consolidated Statements of Stockholders’ Equity - for the years ended April 30, 2019 and 2018 (v) Consolidated Statements of Cash Flows - for the years ended April 30, 2019 and 2018, (vi) Notes to Consolidated Financial Statements.***</w:t>
      </w:r>
    </w:p>
    <w:p>
      <w:pPr>
        <w:spacing w:after="0" w:line="158" w:lineRule="exact"/>
        <w:rPr>
          <w:sz w:val="20"/>
          <w:szCs w:val="20"/>
          <w:color w:val="auto"/>
        </w:rPr>
      </w:pPr>
    </w:p>
    <w:p>
      <w:pPr>
        <w:ind w:left="860" w:right="5280" w:hanging="9"/>
        <w:spacing w:after="0" w:line="342" w:lineRule="auto"/>
        <w:tabs>
          <w:tab w:leader="none" w:pos="10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Indicates that confidential treatment has been requested for this exhibit. * Management contract or compensatory plan or arrangement.</w:t>
      </w:r>
    </w:p>
    <w:p>
      <w:pPr>
        <w:spacing w:after="0" w:line="124" w:lineRule="exact"/>
        <w:rPr>
          <w:sz w:val="20"/>
          <w:szCs w:val="20"/>
          <w:color w:val="auto"/>
        </w:rPr>
      </w:pPr>
    </w:p>
    <w:p>
      <w:pPr>
        <w:jc w:val="both"/>
        <w:ind w:left="860" w:hanging="9"/>
        <w:spacing w:after="0" w:line="264" w:lineRule="auto"/>
        <w:tabs>
          <w:tab w:leader="none" w:pos="10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rFonts w:ascii="Arial" w:cs="Arial" w:eastAsia="Arial" w:hAnsi="Arial"/>
          <w:sz w:val="18"/>
          <w:szCs w:val="18"/>
          <w:color w:val="auto"/>
        </w:rPr>
      </w:pPr>
    </w:p>
    <w:p>
      <w:pPr>
        <w:jc w:val="both"/>
        <w:ind w:left="860" w:hanging="9"/>
        <w:spacing w:after="0" w:line="264" w:lineRule="auto"/>
        <w:tabs>
          <w:tab w:leader="none" w:pos="11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p>
    <w:p>
      <w:pPr>
        <w:sectPr>
          <w:pgSz w:w="11900" w:h="16874" w:orient="portrait"/>
          <w:cols w:equalWidth="0" w:num="1">
            <w:col w:w="11420"/>
          </w:cols>
          <w:pgMar w:left="240" w:top="692" w:right="239" w:bottom="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2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2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Reports of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Reports of Independent Registered Public Accounting Firm</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Balance Sheets, April 30, 2019 and 2018</w:t>
              </w:r>
            </w:hyperlink>
          </w:p>
        </w:tc>
        <w:tc>
          <w:tcPr>
            <w:tcW w:w="68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 Years ended April 30, 2019 and 2018</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Comprehensive Loss, Years ended April 30, 2019 and 2018</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Stockholders’ Equity, Years ended April 30, 2019 and 2018</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Cash Flows, Years ended April 30, 2019 and 2018</w:t>
              </w:r>
            </w:hyperlink>
          </w:p>
        </w:tc>
        <w:tc>
          <w:tcPr>
            <w:tcW w:w="51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Notes to Consolidated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1300"/>
              <w:spacing w:after="0"/>
              <w:rPr>
                <w:sz w:val="20"/>
                <w:szCs w:val="20"/>
                <w:color w:val="auto"/>
              </w:rPr>
            </w:pPr>
            <w:r>
              <w:rPr>
                <w:rFonts w:ascii="Arial" w:cs="Arial" w:eastAsia="Arial" w:hAnsi="Arial"/>
                <w:sz w:val="18"/>
                <w:szCs w:val="18"/>
                <w:color w:val="auto"/>
              </w:rPr>
              <w:t>F-1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8" w:name="page79"/>
    <w:bookmarkEnd w:id="78"/>
    <w:p>
      <w:pPr>
        <w:jc w:val="center"/>
        <w:ind w:right="-139"/>
        <w:spacing w:after="0"/>
        <w:rPr>
          <w:sz w:val="20"/>
          <w:szCs w:val="20"/>
          <w:color w:val="auto"/>
        </w:rPr>
      </w:pPr>
      <w:r>
        <w:rPr>
          <w:rFonts w:ascii="Arial" w:cs="Arial" w:eastAsia="Arial" w:hAnsi="Arial"/>
          <w:sz w:val="18"/>
          <w:szCs w:val="18"/>
          <w:b w:val="1"/>
          <w:bCs w:val="1"/>
          <w:color w:val="auto"/>
        </w:rPr>
        <w:t>Reports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Consolidated Financial Statements</w:t>
      </w:r>
    </w:p>
    <w:p>
      <w:pPr>
        <w:spacing w:after="0" w:line="229"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5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187" w:lineRule="exact"/>
        <w:rPr>
          <w:sz w:val="20"/>
          <w:szCs w:val="20"/>
          <w:color w:val="auto"/>
        </w:rPr>
      </w:pPr>
    </w:p>
    <w:p>
      <w:pPr>
        <w:ind w:left="660" w:hanging="652"/>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 xml:space="preserve">The Company’s management assessed the effectiveness of the Company’s internal control over financial reporting as of April 30, 2019.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w:t>
      </w:r>
    </w:p>
    <w:p>
      <w:pPr>
        <w:ind w:firstLine="8"/>
        <w:spacing w:after="0" w:line="261" w:lineRule="auto"/>
        <w:tabs>
          <w:tab w:leader="none" w:pos="123"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this assessment using those criteria, management concluded that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April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Ocean Power Technologies, Inc. and subsidiaries (the Company) as of April 30, 2019 and 2018, the related consolidated statements of operations, comprehensive loss, stockholders’ equity, and cash flows for each of the years in the two-year period ended April 30, 2019, and the related notes (collectively, the consolidated financial statements). In our opinion, the consolidated financial statements present fairly, in all material respects, the financial position of the Company as of April 30, 2019 and 2018, and the results of its operations and its cash flows for each of the years in the two-year period ended April 30, 2019,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1(b) to the consolidated financial statements, as of April 30, 2019 the Company has cash and cash equivalents of $16.7 million, and the Company has suffered recurring losses from operations and has an accumulated deficit. These factors raise substantial doubt about its ability to continue as a going concern. Management’s plans in regard to these matters are also described in Note 1(b).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1(o) to the consolidated financial statements, effective May 1, 2018, the Company adopted Accounting Standards Update (ASU) 2014-09, Revenue from Contracts with Customers, and several related amendments, issued by the Financial Accounting Standards Board (FASB). This change was adopted using the modified retrospective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22,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0" w:name="page81"/>
    <w:bookmarkEnd w:id="80"/>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April 30, 2019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April 30, 2018</w:t>
            </w:r>
          </w:p>
        </w:tc>
      </w:tr>
      <w:tr>
        <w:trPr>
          <w:trHeight w:val="216"/>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16,660</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receivable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6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r>
      <w:tr>
        <w:trPr>
          <w:trHeight w:val="25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57"/>
        </w:trPr>
        <w:tc>
          <w:tcPr>
            <w:tcW w:w="690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900" w:type="dxa"/>
            <w:vAlign w:val="bottom"/>
            <w:shd w:val="clear" w:color="auto" w:fill="CCEEFF"/>
          </w:tcPr>
          <w:p>
            <w:pPr>
              <w:ind w:left="1600"/>
              <w:spacing w:after="0" w:line="19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1,938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2,261</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Deferred credits payable current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6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6"/>
        </w:trPr>
        <w:tc>
          <w:tcPr>
            <w:tcW w:w="6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90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w w:val="91"/>
              </w:rPr>
              <w:t>Preferred stock, $0.001 par value; authorized 5,000,000 shares, none issued or outstanding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authorized 100,000,000 shares, issued 5,425,517 and</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921,247 shares, respectively</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Treasury stock, at cost; 3,770 and 3,701 shares, respectively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226,026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208,233</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(209,784)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(197,538)</w:t>
            </w:r>
          </w:p>
        </w:tc>
      </w:tr>
      <w:tr>
        <w:trPr>
          <w:trHeight w:val="25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69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15,775</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10,236</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380" w:right="20"/>
        <w:spacing w:after="0" w:line="277" w:lineRule="auto"/>
        <w:rPr>
          <w:sz w:val="20"/>
          <w:szCs w:val="20"/>
          <w:color w:val="auto"/>
        </w:rPr>
      </w:pPr>
      <w:r>
        <w:rPr>
          <w:rFonts w:ascii="Arial" w:cs="Arial" w:eastAsia="Arial" w:hAnsi="Arial"/>
          <w:sz w:val="18"/>
          <w:szCs w:val="18"/>
          <w:color w:val="auto"/>
        </w:rPr>
        <w:t>Common stock, Treasury stock, Additional paid-in capital and share data at April 30, 2018 has been adjusted retroactively to reflect a 1-for-20 reverse stock split effective March 11, 2019.</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Twelve months ended April 30,</w:t>
            </w: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gridSpan w:val="2"/>
            <w:shd w:val="clear" w:color="auto" w:fill="CCEEFF"/>
          </w:tcPr>
          <w:p>
            <w:pPr>
              <w:jc w:val="right"/>
              <w:ind w:right="10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w:t>
            </w:r>
          </w:p>
        </w:tc>
        <w:tc>
          <w:tcPr>
            <w:tcW w:w="130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revenues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profit/(loss)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Engineering and product development costs</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4,984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76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12,600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11,308</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 net</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76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auto"/>
            </w:tcBorders>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(13.24</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Weighted average shares used to compute basic and diluted net loss per share</w:t>
            </w:r>
          </w:p>
        </w:tc>
        <w:tc>
          <w:tcPr>
            <w:tcW w:w="7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1,286,727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767,330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Common stock and share data at April 30, 2018 has been adjusted retroactively to reflect a 1-for-20 reverse stock split effective March 11, 2019.</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2" w:name="page83"/>
    <w:bookmarkEnd w:id="82"/>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Twelve months ended April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80" w:type="dxa"/>
            <w:vAlign w:val="bottom"/>
            <w:gridSpan w:val="2"/>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(12,246)</w:t>
            </w:r>
          </w:p>
        </w:tc>
        <w:tc>
          <w:tcPr>
            <w:tcW w:w="14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3" w:name="page84"/>
    <w:bookmarkEnd w:id="83"/>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Common Shares</w:t>
            </w:r>
          </w:p>
        </w:tc>
        <w:tc>
          <w:tcPr>
            <w:tcW w:w="1460" w:type="dxa"/>
            <w:vAlign w:val="bottom"/>
            <w:gridSpan w:val="4"/>
            <w:vMerge w:val="restart"/>
          </w:tcPr>
          <w:p>
            <w:pPr>
              <w:jc w:val="right"/>
              <w:ind w:right="22"/>
              <w:spacing w:after="0"/>
              <w:rPr>
                <w:sz w:val="20"/>
                <w:szCs w:val="20"/>
                <w:color w:val="auto"/>
              </w:rPr>
            </w:pPr>
            <w:r>
              <w:rPr>
                <w:rFonts w:ascii="Arial" w:cs="Arial" w:eastAsia="Arial" w:hAnsi="Arial"/>
                <w:sz w:val="14"/>
                <w:szCs w:val="14"/>
                <w:b w:val="1"/>
                <w:bCs w:val="1"/>
                <w:color w:val="auto"/>
              </w:rPr>
              <w:t>Treasury 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4"/>
            <w:vMerge w:val="continue"/>
          </w:tcPr>
          <w:p>
            <w:pPr>
              <w:spacing w:after="0"/>
              <w:rPr>
                <w:sz w:val="14"/>
                <w:szCs w:val="14"/>
                <w:color w:val="auto"/>
              </w:rPr>
            </w:pPr>
          </w:p>
        </w:tc>
        <w:tc>
          <w:tcPr>
            <w:tcW w:w="116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9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Balances, April 30, 2017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315,700</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9"/>
              <w:spacing w:after="0" w:line="176" w:lineRule="exact"/>
              <w:rPr>
                <w:sz w:val="20"/>
                <w:szCs w:val="20"/>
                <w:color w:val="auto"/>
              </w:rPr>
            </w:pPr>
            <w:r>
              <w:rPr>
                <w:rFonts w:ascii="Arial" w:cs="Arial" w:eastAsia="Arial" w:hAnsi="Arial"/>
                <w:sz w:val="12"/>
                <w:szCs w:val="12"/>
                <w:color w:val="auto"/>
              </w:rPr>
              <w:t>(2,403</w:t>
            </w:r>
            <w:r>
              <w:rPr>
                <w:rFonts w:ascii="Arial" w:cs="Arial" w:eastAsia="Arial" w:hAnsi="Arial"/>
                <w:sz w:val="20"/>
                <w:szCs w:val="20"/>
                <w:color w:val="auto"/>
                <w:vertAlign w:val="superscript"/>
              </w:rPr>
              <w:t>)</w:t>
            </w:r>
          </w:p>
        </w:tc>
        <w:tc>
          <w:tcPr>
            <w:tcW w:w="540" w:type="dxa"/>
            <w:vAlign w:val="bottom"/>
            <w:gridSpan w:val="2"/>
            <w:shd w:val="clear" w:color="auto" w:fill="CCEEFF"/>
          </w:tcPr>
          <w:p>
            <w:pPr>
              <w:jc w:val="right"/>
              <w:ind w:right="342"/>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39"/>
              <w:spacing w:after="0" w:line="176" w:lineRule="exact"/>
              <w:rPr>
                <w:sz w:val="20"/>
                <w:szCs w:val="20"/>
                <w:color w:val="auto"/>
              </w:rPr>
            </w:pPr>
            <w:r>
              <w:rPr>
                <w:rFonts w:ascii="Arial" w:cs="Arial" w:eastAsia="Arial" w:hAnsi="Arial"/>
                <w:sz w:val="12"/>
                <w:szCs w:val="12"/>
                <w:color w:val="auto"/>
              </w:rPr>
              <w:t>(263</w:t>
            </w:r>
            <w:r>
              <w:rPr>
                <w:rFonts w:ascii="Arial" w:cs="Arial" w:eastAsia="Arial" w:hAnsi="Arial"/>
                <w:sz w:val="20"/>
                <w:szCs w:val="20"/>
                <w:color w:val="auto"/>
                <w:vertAlign w:val="superscript"/>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193,240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2"/>
                <w:szCs w:val="12"/>
                <w:color w:val="auto"/>
              </w:rPr>
              <w:t>(187,370</w:t>
            </w:r>
            <w:r>
              <w:rPr>
                <w:rFonts w:ascii="Arial" w:cs="Arial" w:eastAsia="Arial" w:hAnsi="Arial"/>
                <w:sz w:val="20"/>
                <w:szCs w:val="20"/>
                <w:color w:val="auto"/>
                <w:vertAlign w:val="superscript"/>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2"/>
                <w:szCs w:val="12"/>
                <w:color w:val="auto"/>
              </w:rPr>
              <w:t>(160</w:t>
            </w:r>
            <w:r>
              <w:rPr>
                <w:rFonts w:ascii="Arial" w:cs="Arial" w:eastAsia="Arial" w:hAnsi="Arial"/>
                <w:sz w:val="20"/>
                <w:szCs w:val="20"/>
                <w:color w:val="auto"/>
                <w:vertAlign w:val="superscript"/>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(10,157)</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(10,157)</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Issuance/(forfeiture) of restricted stock, net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stock</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596,610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(1,298)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Adoption of accounting standard update related to</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stock compensation accounting (ASU 2016-09)</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Balances, April 30,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921,247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(197,538</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10,236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(12,246)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Issuance/(forfeiture) of restricted stock, net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Common stock issued for commitment fee</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Aspire financing, net of</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issuance costs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162,162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4"/>
                <w:szCs w:val="14"/>
                <w:color w:val="auto"/>
              </w:rPr>
              <w:t>Issuance of common stock- AGP At The Market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2"/>
          </w:tcPr>
          <w:p>
            <w:pPr>
              <w:spacing w:after="0"/>
              <w:rPr>
                <w:sz w:val="20"/>
                <w:szCs w:val="20"/>
                <w:color w:val="auto"/>
              </w:rPr>
            </w:pPr>
            <w:r>
              <w:rPr>
                <w:rFonts w:ascii="Arial" w:cs="Arial" w:eastAsia="Arial" w:hAnsi="Arial"/>
                <w:sz w:val="14"/>
                <w:szCs w:val="14"/>
                <w:color w:val="auto"/>
              </w:rPr>
              <w:t>offering, net of issuance costs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151,561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common stock, common and pre-funded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warrants, net of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Exercise of pre-funded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2,632,120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color w:val="auto"/>
              </w:rPr>
              <w:t>Balances, April 30, 2019</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5,425,517</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tcBorders>
              <w:top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(3,770</w:t>
            </w:r>
          </w:p>
        </w:tc>
        <w:tc>
          <w:tcPr>
            <w:tcW w:w="140" w:type="dxa"/>
            <w:vAlign w:val="bottom"/>
            <w:tcBorders>
              <w:top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(301</w:t>
            </w:r>
          </w:p>
        </w:tc>
        <w:tc>
          <w:tcPr>
            <w:tcW w:w="120" w:type="dxa"/>
            <w:vAlign w:val="bottom"/>
            <w:tcBorders>
              <w:top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226,026</w:t>
            </w: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(209,784</w:t>
            </w:r>
          </w:p>
        </w:tc>
        <w:tc>
          <w:tcPr>
            <w:tcW w:w="140" w:type="dxa"/>
            <w:vAlign w:val="bottom"/>
            <w:tcBorders>
              <w:top w:val="single" w:sz="8" w:color="CCEEFF"/>
            </w:tcBorders>
          </w:tcPr>
          <w:p>
            <w:pPr>
              <w:jc w:val="right"/>
              <w:ind w:right="8"/>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(171</w:t>
            </w:r>
          </w:p>
        </w:tc>
        <w:tc>
          <w:tcPr>
            <w:tcW w:w="140" w:type="dxa"/>
            <w:vAlign w:val="bottom"/>
            <w:tcBorders>
              <w:top w:val="single" w:sz="8" w:color="CCEEFF"/>
            </w:tcBorders>
          </w:tcPr>
          <w:p>
            <w:pPr>
              <w:jc w:val="right"/>
              <w:ind w:right="8"/>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15,775</w:t>
            </w: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380" w:right="80"/>
        <w:spacing w:after="0" w:line="277" w:lineRule="auto"/>
        <w:rPr>
          <w:sz w:val="20"/>
          <w:szCs w:val="20"/>
          <w:color w:val="auto"/>
        </w:rPr>
      </w:pPr>
      <w:r>
        <w:rPr>
          <w:rFonts w:ascii="Arial" w:cs="Arial" w:eastAsia="Arial" w:hAnsi="Arial"/>
          <w:sz w:val="18"/>
          <w:szCs w:val="18"/>
          <w:color w:val="auto"/>
        </w:rPr>
        <w:t>Common stock, Treasury stock, Additional paid-in capital and share data at April 30, 2018 and April 30, 2017 have been adjusted retroactively to reflect a 1-for-20 reverse stock split effective March 11, 2019.</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4" w:name="page85"/>
    <w:bookmarkEnd w:id="84"/>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Twelve months ended April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11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(12,246)</w:t>
            </w:r>
          </w:p>
        </w:tc>
        <w:tc>
          <w:tcPr>
            <w:tcW w:w="14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Foreign exchange loss/(gain)</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Gain due to the change in fair value of warrant liabilities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Unbilled receivables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credit payable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Unearned revenue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(12,140</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(10,696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Leasehold improvements and purchase of equipment</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issuance costs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Proceeds from issuance of common stock- AGP At The Market offering, net of issuance</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60"/>
              <w:spacing w:after="0" w:line="201" w:lineRule="exact"/>
              <w:rPr>
                <w:sz w:val="20"/>
                <w:szCs w:val="20"/>
                <w:color w:val="auto"/>
              </w:rPr>
            </w:pPr>
            <w:r>
              <w:rPr>
                <w:rFonts w:ascii="Arial" w:cs="Arial" w:eastAsia="Arial" w:hAnsi="Arial"/>
                <w:sz w:val="18"/>
                <w:szCs w:val="18"/>
                <w:color w:val="auto"/>
                <w:w w:val="90"/>
              </w:rPr>
              <w:t>Proceeds from issuance of common stock, common and pre-funded warrants, net of issuance</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15,712</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pre-funded warrants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Payment of capital lease obligations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17,183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700"/>
              <w:spacing w:after="0" w:line="203" w:lineRule="exact"/>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4,934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400" w:type="dxa"/>
            <w:vAlign w:val="bottom"/>
            <w:gridSpan w:val="2"/>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Acquisition of leasehold improvements and equipment through accrued expenses</w:t>
            </w:r>
          </w:p>
        </w:tc>
        <w:tc>
          <w:tcPr>
            <w:tcW w:w="1400" w:type="dxa"/>
            <w:vAlign w:val="bottom"/>
            <w:gridSpan w:val="2"/>
          </w:tcPr>
          <w:p>
            <w:pPr>
              <w:jc w:val="right"/>
              <w:ind w:right="111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for payment of commitment fee</w:t>
            </w:r>
          </w:p>
        </w:tc>
        <w:tc>
          <w:tcPr>
            <w:tcW w:w="1400" w:type="dxa"/>
            <w:vAlign w:val="bottom"/>
            <w:gridSpan w:val="2"/>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4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5" w:name="page86"/>
    <w:bookmarkEnd w:id="85"/>
    <w:p>
      <w:pPr>
        <w:ind w:left="316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29" w:lineRule="exact"/>
        <w:rPr>
          <w:rFonts w:ascii="Arial" w:cs="Arial" w:eastAsia="Arial" w:hAnsi="Arial"/>
          <w:sz w:val="18"/>
          <w:szCs w:val="18"/>
          <w:b w:val="1"/>
          <w:bCs w:val="1"/>
          <w:color w:val="auto"/>
        </w:rPr>
      </w:pPr>
    </w:p>
    <w:p>
      <w:pPr>
        <w:ind w:left="500" w:hanging="254"/>
        <w:spacing w:after="0"/>
        <w:tabs>
          <w:tab w:leader="none" w:pos="500" w:val="left"/>
        </w:tabs>
        <w:numPr>
          <w:ilvl w:val="1"/>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relating to our technology. Today our goal is to generate the majority our revenue from the sale or lease of products, and sales and services to support our business operations. As we continue to develop and commercialize our products and services, we expect to have a net use of cash from operating activities unless and until we achieve positive cash flow from the commercialization of products and services.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Liquidity/Going Concern</w:t>
      </w:r>
    </w:p>
    <w:p>
      <w:pPr>
        <w:spacing w:after="0" w:line="22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Our consolidated financial statements have been prepared assuming the Company will continue as a going concern. The Company has experienced substantial and recurring losses from operations, which have contributed to an accumulated deficit of $209.8 million at April 30, 2019. At April 30, 2019, the Company had approximately $17.2 million in cash, cash equivalents and restricted cash on hand. The Company generated revenues of only $0.6 million and $0.5 million during the years ended April 30, 2019 and 2018, respectively. Based on the Company’s cash, cash equivalents and restricted cash balances as of April 30, 2019, the Company believes that it will be able to finance its capital requirements and operations into the quarter ending July 31, 2020.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79"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47"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166"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In fiscal 2019 and 2018,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five equity financing arrangements during the two-year period ended April 30, 2019.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engineering and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6" w:name="page87"/>
    <w:bookmarkEnd w:id="86"/>
    <w:p>
      <w:pPr>
        <w:jc w:val="both"/>
        <w:ind w:firstLine="495"/>
        <w:spacing w:after="0" w:line="270"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“Purchase Agreement”) with certain institutional purchasers (the “June Purchasers”). Pursuant to the terms of the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$121.60 per share, became exercisable on December 3, 2016 (“Initial Exercise Date”), and will expire five years following the Initial Exercise Date. The Company paid the placement agents approximately $100,000 as placement agent fees in connection with the sale of securities in the offering. The Company also reimbursed the placement agents $35,000 for their out of pocket and legal expenses in connection with the offering.</w:t>
      </w:r>
    </w:p>
    <w:p>
      <w:pPr>
        <w:spacing w:after="0" w:line="182"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$187.20 per share. The Warrants will expire on the fifth (5th) anniversary of the initial date of issuance.</w:t>
      </w:r>
    </w:p>
    <w:p>
      <w:pPr>
        <w:spacing w:after="0" w:line="17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On October 19, 2016, the Company sold 138,000 shares of common stock at a price of $55.00 per share, which includes the sale of 18,000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87"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On May 2, 2017, the Company sold 309,638 shares of common stock at a price of $26.00 per share, which includes the sale of 40,388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On October 23, 2017, the Company sold 286,972 shares of common stock at a price of $28.40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As of April 30, 2019, the Company has sold 162,162 shares of common stock with an aggregate market value of $949,259 at an average price of $5.85 per share pursuant to this common stock purchase agreement.</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7, 2019, the Company entered into an At the Market Offering Agreement (“2019 ATM Facility”) with A.G.P./Alliance Global Partners (“AGP”), under which the Company may issue and sell to or through A.G.P./Alliance Global Partners, acting as agent and/or principal, shares of the Company’s common stock having an aggregate offering price of up to $25 million. As of April 30, 2019, under the 2019 ATM Facility the Company issued and sold 151,561 shares of its common stock with an aggregate market value of $958,229 at an average price of $6.32 per share and paid AGP a sales commission of approximately $33,469 related to those shares.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our common stock in an underwritten public offering. The net proceeds to the Company from the offering were approximately $15.7 million, after deducting underwriter fees and offering expenses payable by the Company.</w:t>
      </w:r>
    </w:p>
    <w:p>
      <w:pPr>
        <w:spacing w:after="0" w:line="188"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(c) Reverse Stock-Split</w:t>
      </w:r>
    </w:p>
    <w:p>
      <w:pPr>
        <w:spacing w:after="0" w:line="225" w:lineRule="exact"/>
        <w:rPr>
          <w:sz w:val="20"/>
          <w:szCs w:val="20"/>
          <w:color w:val="auto"/>
        </w:rPr>
      </w:pPr>
    </w:p>
    <w:p>
      <w:pPr>
        <w:jc w:val="both"/>
        <w:ind w:firstLine="713"/>
        <w:spacing w:after="0" w:line="288" w:lineRule="auto"/>
        <w:rPr>
          <w:sz w:val="20"/>
          <w:szCs w:val="20"/>
          <w:color w:val="auto"/>
        </w:rPr>
      </w:pPr>
      <w:r>
        <w:rPr>
          <w:rFonts w:ascii="Arial" w:cs="Arial" w:eastAsia="Arial" w:hAnsi="Arial"/>
          <w:sz w:val="16"/>
          <w:szCs w:val="16"/>
          <w:color w:val="auto"/>
        </w:rPr>
        <w:t>At the special meeting of the Company’s stockholders on March 8, 2019, our stockholders approved a proposal to amend our Certificate of Incorporation to affect a reverse split of our common stock at a ratio to be determined by the Company’s Board of Directors within a specific range. After the special meeting of stockholders, the Company’s Board of Directors convened and decided to initiate the reverse split, chose a ratio, and directed management to take the necessary steps to effectuate the reverse split as soon as possible. Pursuant to the direction of the Board, the Company filed a Certificate of Amendment to our Certificate of Incorporation to affect a one-for-twenty reverse stock split of our common stock (the “Reverse Stock Split”). As of the close of markets on March 11, 2019, the effective date of the Reverse Stock Split, every twenty shares of issued and outstanding common stock were combined into one issued and outstanding share of common stock, without any change in the par value per share. Any fractional shares in connection with the Reverse Stock Split were rounded up to the nearest whole share and no cash payments were made by the Company to stockholders in lieu of fractional shares. The common stock began trading on a reverse stock split-adjusted basis on the Nasdaq Stock Market (“Nasdaq”) on March 12, 2019. All share and per share data included in this annual report has been retroactively restated to reflect the Reverse Stock Split.</w:t>
      </w:r>
    </w:p>
    <w:p>
      <w:pPr>
        <w:spacing w:after="0" w:line="165"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500" w:hanging="254"/>
        <w:spacing w:after="0"/>
        <w:tabs>
          <w:tab w:leader="none" w:pos="500" w:val="left"/>
        </w:tabs>
        <w:numPr>
          <w:ilvl w:val="1"/>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All significant intercompany balances and transactions have been eliminated in consolidation. 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2019, there were no such entities.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fair value of warrant liabilities;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claims and unpriced change orders; awards and incentive fees;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8" w:name="page89"/>
    <w:bookmarkEnd w:id="88"/>
    <w:p>
      <w:pPr>
        <w:jc w:val="both"/>
        <w:ind w:firstLine="495"/>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For the twelve-month period ended April 30, 2019 and 2018 all of the Company’s contracts were classified as firm fixed price.</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April 30, 2019, the Company’s total remaining performance obligations, also referred to as backlog, totaled $0.9 million. The Company expects to recognize approximately 81%, or $0.7 million, of the remaining performance obligations as revenue over the next twelve months and an additional 19% the following twelve months.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Cash and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invests excess cash in a money market account. The following table summarizes cash and cash equivalents for the years ended April 30, 2019 and 2018:</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April 30, 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4"/>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account</w:t>
            </w:r>
          </w:p>
        </w:tc>
        <w:tc>
          <w:tcPr>
            <w:tcW w:w="1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($0.3 million) and carries a fee of 1% per annum of the amount of any such obligations issued by Barclays Bank. The credit facility does not have an expiration date but is cancelable at the discretion of the bank. As of April 30, 2019, there was €0.3 million ($0.3 million) in letters of credit outstanding under this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9" w:name="page90"/>
    <w:bookmarkEnd w:id="89"/>
    <w:p>
      <w:pPr>
        <w:jc w:val="both"/>
        <w:ind w:firstLine="495"/>
        <w:spacing w:after="0" w:line="259" w:lineRule="auto"/>
        <w:rPr>
          <w:sz w:val="20"/>
          <w:szCs w:val="20"/>
          <w:color w:val="auto"/>
        </w:rPr>
      </w:pPr>
      <w:r>
        <w:rPr>
          <w:rFonts w:ascii="Arial" w:cs="Arial" w:eastAsia="Arial" w:hAnsi="Arial"/>
          <w:sz w:val="18"/>
          <w:szCs w:val="18"/>
          <w:color w:val="auto"/>
        </w:rPr>
        <w:t>The other agreement is between the Company and Santander Bank. Under the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The following table summarizes restricted cash for the years ended April 30, 2019 and 2018:</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April 30, 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4"/>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 for the years ended April 30, 2019 and 2018:</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2019, the Company did not have any marketable securities. As of April 30, 2018, the Company had $25,000 in certificates of deposit and all of the Company’s investments were classified as held-to-maturity.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225"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Property and equipment consists primarily of equipment, furnishings, fixtures, computer equipment and leasehold improvements and are recorded at cost. Depreciation and amortization is calculated using the straight-line method over the estimated useful lives of the assets.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1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Estimated useful life</w:t>
            </w:r>
          </w:p>
        </w:tc>
        <w:tc>
          <w:tcPr>
            <w:tcW w:w="560" w:type="dxa"/>
            <w:vAlign w:val="bottom"/>
          </w:tcPr>
          <w:p>
            <w:pPr>
              <w:spacing w:after="0"/>
              <w:rPr>
                <w:sz w:val="20"/>
                <w:szCs w:val="20"/>
                <w:color w:val="auto"/>
              </w:rPr>
            </w:pPr>
          </w:p>
        </w:tc>
      </w:tr>
      <w:tr>
        <w:trPr>
          <w:trHeight w:val="418"/>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Equipment</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5 - 7 years</w:t>
            </w:r>
          </w:p>
        </w:tc>
        <w:tc>
          <w:tcPr>
            <w:tcW w:w="560" w:type="dxa"/>
            <w:vAlign w:val="bottom"/>
          </w:tcPr>
          <w:p>
            <w:pPr>
              <w:spacing w:after="0"/>
              <w:rPr>
                <w:sz w:val="24"/>
                <w:szCs w:val="24"/>
                <w:color w:val="auto"/>
              </w:rPr>
            </w:pPr>
          </w:p>
        </w:tc>
      </w:tr>
      <w:tr>
        <w:trPr>
          <w:trHeight w:val="216"/>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Computer equipment &amp; software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3 years</w:t>
            </w:r>
          </w:p>
        </w:tc>
        <w:tc>
          <w:tcPr>
            <w:tcW w:w="560" w:type="dxa"/>
            <w:vAlign w:val="bottom"/>
          </w:tcPr>
          <w:p>
            <w:pPr>
              <w:spacing w:after="0"/>
              <w:rPr>
                <w:sz w:val="18"/>
                <w:szCs w:val="18"/>
                <w:color w:val="auto"/>
              </w:rPr>
            </w:pPr>
          </w:p>
        </w:tc>
      </w:tr>
      <w:tr>
        <w:trPr>
          <w:trHeight w:val="216"/>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Office furniture &amp; fixtures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3 - 7 years</w:t>
            </w:r>
          </w:p>
        </w:tc>
        <w:tc>
          <w:tcPr>
            <w:tcW w:w="560" w:type="dxa"/>
            <w:vAlign w:val="bottom"/>
          </w:tcPr>
          <w:p>
            <w:pPr>
              <w:spacing w:after="0"/>
              <w:rPr>
                <w:sz w:val="18"/>
                <w:szCs w:val="18"/>
                <w:color w:val="auto"/>
              </w:rPr>
            </w:pPr>
          </w:p>
        </w:tc>
      </w:tr>
      <w:tr>
        <w:trPr>
          <w:trHeight w:val="216"/>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Equipment under capitalized lease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Over the life of the lease</w:t>
            </w:r>
          </w:p>
        </w:tc>
        <w:tc>
          <w:tcPr>
            <w:tcW w:w="560" w:type="dxa"/>
            <w:vAlign w:val="bottom"/>
          </w:tcPr>
          <w:p>
            <w:pPr>
              <w:spacing w:after="0"/>
              <w:rPr>
                <w:sz w:val="18"/>
                <w:szCs w:val="18"/>
                <w:color w:val="auto"/>
              </w:rPr>
            </w:pPr>
          </w:p>
        </w:tc>
      </w:tr>
      <w:tr>
        <w:trPr>
          <w:trHeight w:val="230"/>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Leasehold improvements</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Shorter of the estimated useful life or lease term</w:t>
            </w:r>
          </w:p>
        </w:tc>
        <w:tc>
          <w:tcPr>
            <w:tcW w:w="560" w:type="dxa"/>
            <w:vAlign w:val="bottom"/>
          </w:tcPr>
          <w:p>
            <w:pPr>
              <w:spacing w:after="0"/>
              <w:rPr>
                <w:sz w:val="20"/>
                <w:szCs w:val="20"/>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color w:val="auto"/>
              </w:rPr>
              <w:t>F-13</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90" w:name="page91"/>
    <w:bookmarkEnd w:id="90"/>
    <w:p>
      <w:pPr>
        <w:ind w:left="240"/>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 (loss)” in the accompanying consolidated statements of operations.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Concentration of Credit Risk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and trade receivables.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invests its excess cash in money market funds and does not believe that it is exposed to any significant risks related to its cash accounts.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shows the percentage of the Company’s revenues derived from customers whose revenues accounted for at least 10%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revenues for at least one of the periods indicated: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1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Office of Naval Research</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Warrant Accounting</w:t>
      </w:r>
    </w:p>
    <w:p>
      <w:pPr>
        <w:spacing w:after="0" w:line="225"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The Company accounts for warrants issued in connection with its public offerings in accordance with the guidance on “Accounting for Certain Financial Instruments with Characteristics of Both Liabilities and Equity” in Topic 480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 The warrants issued in connection with the Company’s public offerings in June and July 2016 met the criteria of a liability award and were classified in warrant liabilities. The pre-funded and common warrants issued in the Company’s April 8, 2019 public offering did not meet the criteria to be classified as a liability award and therefore were treated as an equity award.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1" w:name="page92"/>
    <w:bookmarkEnd w:id="91"/>
    <w:p>
      <w:pPr>
        <w:ind w:left="240"/>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non-vested restricted stock issued to employees and non-employee directors, were excluded from the diluted loss per share calculation due to their anti-dilutive effect.</w:t>
      </w:r>
    </w:p>
    <w:p>
      <w:pPr>
        <w:spacing w:after="0" w:line="158"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warrants on common stock and non-vested restricted stock issued to employees and non-employee directors, totaling 5,013,981 and 45,503 for the years ended April 30, 2019 and 2018, respectively, were excluded from each of the computations as the effect would be anti-dilutive due to the Company’s losses.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Share-Based Compensation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2019 and 2018 was approximately $0.3 million and $0.3 million, respectively. The following table summarizes share-based compensation related to the Company’s share-based plans by expense category for the years ended April 30, 2019 and 2018:</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Twelve months ended April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20" w:type="dxa"/>
            <w:vAlign w:val="bottom"/>
            <w:gridSpan w:val="3"/>
          </w:tcPr>
          <w:p>
            <w:pPr>
              <w:jc w:val="right"/>
              <w:ind w:right="725"/>
              <w:spacing w:after="0"/>
              <w:rPr>
                <w:sz w:val="20"/>
                <w:szCs w:val="20"/>
                <w:color w:val="auto"/>
              </w:rPr>
            </w:pPr>
            <w:r>
              <w:rPr>
                <w:rFonts w:ascii="Arial" w:cs="Arial" w:eastAsia="Arial" w:hAnsi="Arial"/>
                <w:sz w:val="18"/>
                <w:szCs w:val="18"/>
                <w:color w:val="auto"/>
                <w:w w:val="96"/>
              </w:rPr>
              <w:t>(in thousands)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4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Restricted Stock and Options Granted During the Years Ended April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 xml:space="preserve">The fair value of each stock option granted, for both service-based and performance-based vesting requirements during the year ended April 30, 2019, was estimated at the date of grant using the Black-Scholes option pricing model, assuming no dividends, and using the weighted average valuation assumptions noted in the below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during the twelve months ended April 30, 2019.</w:t>
      </w:r>
    </w:p>
    <w:p>
      <w:pPr>
        <w:spacing w:after="0" w:line="168"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Twelve months ended April 30,</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5600" w:type="dxa"/>
            <w:vAlign w:val="bottom"/>
            <w:gridSpan w:val="2"/>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126.4%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$7.15 and $23.40 for stock options granted during the years ended April 30, 2019 and 2018,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Compensation expense for non-vested restricted stock is recorded based on its market value on the date of grant and recognized ratably over the associated service and performance period. During the twelve months ended April 30, 2019, the Company granted 943 shares subject to service-based vesting requirements.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Deferred Rent</w:t>
      </w:r>
    </w:p>
    <w:p>
      <w:pPr>
        <w:spacing w:after="0" w:line="225"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On March 31, 2017, the Company signed a new 7-year lease for approximately 56,000 square feet in Monroe Township, New Jersey that will be used as warehouse/production space and the Company’s principal offices and corporate headquarters. The lease was classified as an operating lease. Rent payments relating to the Monroe premises are subject to annual increases. The minimum monthly payments will vary over the 7-year term of the lease. The Company will record rent expense on a straight-line basis over the 7-year term of the lease. The difference between rent expense and the monthly lease payment will go to a deferred rent/prepaid rent account. The Landlord has provided the Company a tenant improvement allowance in an amount up to, but not exceeding, $137,563 to be applied to the cost of tenant improvement work. The Company collected the full amount of the tenant improvement allowance in May 2018. The Company recorded lease incentive liability to deferred rent. With the Company’s adoption of ASU No. 2016-02 on May 1, 2019, the balances in lease incentive liability and deferred rent will be included in the value of the right of use asset.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Income Taxes</w:t>
      </w:r>
    </w:p>
    <w:p>
      <w:pPr>
        <w:spacing w:after="0" w:line="225"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The effect on deferred tax assets and liabilities of a change in tax rates is recognized in income in the period that includes the enactment date.</w:t>
      </w:r>
    </w:p>
    <w:p>
      <w:pPr>
        <w:spacing w:after="0" w:line="15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Accumulated Other Comprehensive Loss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Recently Issued Accounting Standards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ASU 2014-09 outlines a new, single comprehensive model for entities to use in accounting for revenue arising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3" w:name="page94"/>
    <w:bookmarkEnd w:id="93"/>
    <w:p>
      <w:pPr>
        <w:jc w:val="both"/>
        <w:ind w:firstLine="495"/>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amends the existing guidance on accounting for leases. Topic 842 was further clarified and amended within ASU 2017-13, ASU 2018-01, ASU 2018-10, ASU 2018-11 and ASU 2018-20. The new standard establishes a right-of-use (ROU) model that requires a lessee to record a ROU asset and a lease liability on the balance sheet for all leases with terms longer than twelve months or leases that contain a purchase option that is reasonably certain to be exercised.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The company will adopt Topic 842 during the first quarter of 2019 using the modified retrospective method. The new guidance will be applied to leases that exist or are entered into on or after May 1, 2019 without adjusting comparative periods in the financial statements. The company expects to utilize the package of practical expedients in ASC 842-10-65-1(f) that, upon adoption of Topic 842, allows entities to (1) not reassess whether any expired or existing contracts are or contain leases, (2) retain the classification of leases (e.g., operating or finance lease) existing as of the date of adoption and (3) not reassess initial direct costs for any existing leases. Based on the most recent assessment of existing leases, the Company expects to record a right-of-use asset and lease liability in the range of $1.0 to $2.0 million that will be included on the balance sheet as of May 1, 2019. The Company does not expect the adoption of Topic 842 to have a material impact on the company’s results of operations or cash flows.</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adopted the standard on May 1, 2018 and determined the standard had no impact on its financial position, results of operation or cash flows.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4" w:name="page95"/>
    <w:bookmarkEnd w:id="94"/>
    <w:p>
      <w:pPr>
        <w:jc w:val="both"/>
        <w:ind w:left="40" w:firstLine="450"/>
        <w:spacing w:after="0" w:line="297"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 — Stock Compensation (ASC Topic 718): Scope of Modification Accounting,”</w:t>
      </w:r>
      <w:r>
        <w:rPr>
          <w:rFonts w:ascii="Arial" w:cs="Arial" w:eastAsia="Arial" w:hAnsi="Arial"/>
          <w:sz w:val="16"/>
          <w:szCs w:val="16"/>
          <w:color w:val="auto"/>
        </w:rPr>
        <w:t xml:space="preserve"> which clarifies when changes to the terms or conditions of a share-based payment award must be accounted for as a modification. Entities should apply the modification accounting guidance if the value, vesting conditions or classification of the award changes. The amendments in the ASU are effective for fiscal years beginning after December 15, 2017, and interim periods within those fiscal years and early adoption is permitted. The Company adopted the standard on May 1, 2018 and determined the standard had no impact on its financial position, results of operations or cash flows.</w:t>
      </w:r>
    </w:p>
    <w:p>
      <w:pPr>
        <w:spacing w:after="0" w:line="15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August 2018, the FASB issued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April 30, 2019 and April 30, 2018.</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April 30, 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Amount invoiced to customer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Collections</w:t>
            </w:r>
          </w:p>
        </w:tc>
        <w:tc>
          <w:tcPr>
            <w:tcW w:w="1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7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Contract assets (previously referred to as unbilled receivables). </w:t>
      </w:r>
      <w:r>
        <w:rPr>
          <w:rFonts w:ascii="Arial" w:cs="Arial" w:eastAsia="Arial" w:hAnsi="Arial"/>
          <w:sz w:val="18"/>
          <w:szCs w:val="18"/>
          <w:color w:val="auto"/>
        </w:rPr>
        <w:t>Contract assets include unbilled amounts typically resulting from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whereby the right to payment is conditioned on completing additional tasks or services for a performance obligation. On May 1, 2018, the day of adoption of ASC 2014-09, the Company reclassified $71,000 of unbilled receivables to contract assets.</w:t>
      </w:r>
    </w:p>
    <w:p>
      <w:pPr>
        <w:spacing w:after="0" w:line="18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i w:val="1"/>
          <w:iCs w:val="1"/>
          <w:color w:val="auto"/>
        </w:rPr>
        <w:t xml:space="preserve">Contract liabilities (previously referred to as unearned revenue). </w:t>
      </w:r>
      <w:r>
        <w:rPr>
          <w:rFonts w:ascii="Arial" w:cs="Arial" w:eastAsia="Arial" w:hAnsi="Arial"/>
          <w:sz w:val="17"/>
          <w:szCs w:val="17"/>
          <w:color w:val="auto"/>
        </w:rPr>
        <w:t>Contract liabilities consist of amounts invoiced to customers in excess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On May 1, 2018, the day of adoption of ASC 2014-09, the Company reclassified $18,000 of unearned revenue to contract liabilities.</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A summary of the contract assets and contract liabilities is as follows: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April 30, 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Contract liabilities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(liability)/assets, net</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increase in contract assets is primarily a result of services performed but unbilled during the twelve months ended April 30, 2019. The increase in contract liabilities is primarily a result of additional amounts invoiced to customers in excess of revenue recognized during the twelve months ended April 30, 2019. During the twelve months ended April 30, 2019, the Company recognized $18,000 of revenue that was included in contract liabilities at May 1, 2018. During the twelve months ended April 30, 2019, the Company recognized revenue of $145,000 related to performance obligations that were partially satisfied in previous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property and equipment as of April 30, 2019 and 2018 consisted of the following:</w:t>
      </w:r>
    </w:p>
    <w:p>
      <w:pPr>
        <w:spacing w:after="0" w:line="235" w:lineRule="exact"/>
        <w:rPr>
          <w:sz w:val="20"/>
          <w:szCs w:val="20"/>
          <w:color w:val="auto"/>
        </w:rPr>
      </w:pPr>
    </w:p>
    <w:p>
      <w:pPr>
        <w:ind w:left="7060"/>
        <w:spacing w:after="0"/>
        <w:tabs>
          <w:tab w:leader="none" w:pos="8860" w:val="left"/>
        </w:tabs>
        <w:rPr>
          <w:sz w:val="20"/>
          <w:szCs w:val="20"/>
          <w:color w:val="auto"/>
        </w:rPr>
      </w:pPr>
      <w:r>
        <w:rPr>
          <w:rFonts w:ascii="Arial" w:cs="Arial" w:eastAsia="Arial" w:hAnsi="Arial"/>
          <w:sz w:val="18"/>
          <w:szCs w:val="18"/>
          <w:b w:val="1"/>
          <w:bCs w:val="1"/>
          <w:color w:val="auto"/>
        </w:rPr>
        <w:t>April 30, 2019</w:t>
      </w:r>
      <w:r>
        <w:rPr>
          <w:sz w:val="20"/>
          <w:szCs w:val="20"/>
          <w:color w:val="auto"/>
        </w:rPr>
        <w:tab/>
      </w:r>
      <w:r>
        <w:rPr>
          <w:rFonts w:ascii="Arial" w:cs="Arial" w:eastAsia="Arial" w:hAnsi="Arial"/>
          <w:sz w:val="16"/>
          <w:szCs w:val="16"/>
          <w:b w:val="1"/>
          <w:bCs w:val="1"/>
          <w:color w:val="auto"/>
        </w:rPr>
        <w:t>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17145</wp:posOffset>
            </wp:positionV>
            <wp:extent cx="21437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2143760" cy="17145"/>
                    </a:xfrm>
                    <a:prstGeom prst="rect">
                      <a:avLst/>
                    </a:prstGeom>
                    <a:noFill/>
                  </pic:spPr>
                </pic:pic>
              </a:graphicData>
            </a:graphic>
          </wp:anchor>
        </w:drawing>
      </w:r>
    </w:p>
    <w:p>
      <w:pPr>
        <w:sectPr>
          <w:pgSz w:w="11900" w:h="16838" w:orient="portrait"/>
          <w:cols w:equalWidth="0" w:num="1">
            <w:col w:w="11420"/>
          </w:cols>
          <w:pgMar w:left="240" w:top="692" w:right="239" w:bottom="0" w:gutter="0" w:footer="0" w:header="0"/>
        </w:sectPr>
      </w:pPr>
    </w:p>
    <w:bookmarkStart w:id="95" w:name="page96"/>
    <w:bookmarkEnd w:id="95"/>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60" w:type="dxa"/>
            <w:vAlign w:val="bottom"/>
            <w:gridSpan w:val="4"/>
          </w:tcPr>
          <w:p>
            <w:pPr>
              <w:jc w:val="right"/>
              <w:ind w:right="285"/>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capitalized lease</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16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$0.2 million and $0.1 million for the years ended April 30, 2019 and 2018, respectively.</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As of April 30, 2019 and 2018, computer equipment and software under capital leases was $103 thousand and $103 thousand, respectively. The terms of the leases are for 36 months. The leases for computer equipment and software under capital leases have ended and there no future minimum lease payments under capital leases as of April 30,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ind w:left="500"/>
              <w:spacing w:after="0"/>
              <w:rPr>
                <w:sz w:val="20"/>
                <w:szCs w:val="20"/>
                <w:color w:val="auto"/>
              </w:rPr>
            </w:pPr>
            <w:r>
              <w:rPr>
                <w:rFonts w:ascii="Arial" w:cs="Arial" w:eastAsia="Arial" w:hAnsi="Arial"/>
                <w:sz w:val="18"/>
                <w:szCs w:val="18"/>
                <w:color w:val="auto"/>
                <w:w w:val="96"/>
              </w:rPr>
              <w:t>Accrued expenses consist of the following at April 30, 2019 and April 30, 2018.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Contract loss reserve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Accrued taxes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Credits Payable</w:t>
      </w:r>
    </w:p>
    <w:p>
      <w:pPr>
        <w:spacing w:after="0" w:line="229"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The Company did not generate any emissions credits eligible for purchase under the agreement and it was agreed by the investor and the Company that the Company return the option fee of $0.6 million, which was completed as of August 31, 2018. As a result, this matter is completely resolved, and no additional amounts are owed by the Company to the investor.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Classified Warrants</w:t>
      </w:r>
    </w:p>
    <w:p>
      <w:pPr>
        <w:spacing w:after="0" w:line="225" w:lineRule="exact"/>
        <w:rPr>
          <w:sz w:val="20"/>
          <w:szCs w:val="20"/>
          <w:color w:val="auto"/>
        </w:rPr>
      </w:pPr>
    </w:p>
    <w:p>
      <w:pPr>
        <w:jc w:val="both"/>
        <w:ind w:left="40" w:firstLine="450"/>
        <w:spacing w:after="0" w:line="273"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five years following the Initial Exercise Date. As of April 30, 2019, none of the warrants have been exercised.</w:t>
      </w:r>
    </w:p>
    <w:p>
      <w:pPr>
        <w:spacing w:after="0" w:line="178" w:lineRule="exact"/>
        <w:rPr>
          <w:sz w:val="20"/>
          <w:szCs w:val="20"/>
          <w:color w:val="auto"/>
        </w:rPr>
      </w:pPr>
    </w:p>
    <w:p>
      <w:pPr>
        <w:jc w:val="both"/>
        <w:ind w:left="40" w:firstLine="450"/>
        <w:spacing w:after="0" w:line="255" w:lineRule="auto"/>
        <w:rPr>
          <w:sz w:val="20"/>
          <w:szCs w:val="20"/>
          <w:color w:val="auto"/>
        </w:rPr>
      </w:pPr>
      <w:r>
        <w:rPr>
          <w:rFonts w:ascii="Arial" w:cs="Arial" w:eastAsia="Arial" w:hAnsi="Arial"/>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date of issuance. As of April 30, 2019, none of the warrants have been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Classified Warrants</w:t>
      </w:r>
    </w:p>
    <w:p>
      <w:pPr>
        <w:spacing w:after="0" w:line="225" w:lineRule="exact"/>
        <w:rPr>
          <w:sz w:val="20"/>
          <w:szCs w:val="20"/>
          <w:color w:val="auto"/>
        </w:rPr>
      </w:pPr>
    </w:p>
    <w:p>
      <w:pPr>
        <w:jc w:val="both"/>
        <w:ind w:left="40" w:firstLine="447"/>
        <w:spacing w:after="0" w:line="254" w:lineRule="auto"/>
        <w:rPr>
          <w:sz w:val="20"/>
          <w:szCs w:val="20"/>
          <w:color w:val="auto"/>
        </w:rPr>
      </w:pPr>
      <w:r>
        <w:rPr>
          <w:rFonts w:ascii="Arial" w:cs="Arial" w:eastAsia="Arial" w:hAnsi="Arial"/>
          <w:sz w:val="18"/>
          <w:szCs w:val="18"/>
          <w:color w:val="auto"/>
        </w:rPr>
        <w:t>On April 8, 2019, the Company entered into a securities purchase agreement (the “April Purchase Agreement”) with certain institutional purchasers. Pursuant to the terms of the April Purchase Agreement,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April 30, 2019, 753,560 of the pre-funded warrants have not been exercised. In connection with the public offering, the Company issued common warrants to purchase up to 4,927,680 shares of our common stock. The common stock warrants have an exercise price of $3.85 per share and expire five years from the issuance date. As of April 30, 2019, none of the common stock warrants have been exercised.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7" w:name="page98"/>
    <w:bookmarkEnd w:id="97"/>
    <w:p>
      <w:pPr>
        <w:jc w:val="both"/>
        <w:ind w:firstLine="495"/>
        <w:spacing w:after="0" w:line="254" w:lineRule="auto"/>
        <w:rPr>
          <w:sz w:val="20"/>
          <w:szCs w:val="20"/>
          <w:color w:val="auto"/>
        </w:rPr>
      </w:pPr>
      <w:r>
        <w:rPr>
          <w:rFonts w:ascii="Arial" w:cs="Arial" w:eastAsia="Arial" w:hAnsi="Arial"/>
          <w:sz w:val="18"/>
          <w:szCs w:val="18"/>
          <w:color w:val="auto"/>
        </w:rPr>
        <w:t>The Company accounts for warrants issued in connection with its public offerings in accordance with the guidance on “Accounting for Certain Financial Instruments with Characteristics of Both Liabilities and Equity”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Topic 480. As such, the warrants have a value of $6,000 at April 30, 2019 and $0.2 million at April 30, 2018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92"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An unrealized gain of $0.2 million and $0.1 million, were included within “Gain due to change in fair value of warrant liabilities” in the consolidated statements of operations for the year ended April 30, 2019 and 2018, respectively. The Company determined the fair value using the Black-Scholes option pricing model with the following assumptions for the period ended April 30, 2019 and April 30, 2018:</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April 30, 2019</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Risk-free rate</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- 2.3%</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2"/>
              </w:rPr>
              <w:t>- 2.8%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- 2.6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3"/>
          </w:tcPr>
          <w:p>
            <w:pPr>
              <w:jc w:val="right"/>
              <w:ind w:right="160"/>
              <w:spacing w:after="0"/>
              <w:rPr>
                <w:sz w:val="20"/>
                <w:szCs w:val="20"/>
                <w:color w:val="auto"/>
              </w:rPr>
            </w:pPr>
            <w:r>
              <w:rPr>
                <w:rFonts w:ascii="Arial" w:cs="Arial" w:eastAsia="Arial" w:hAnsi="Arial"/>
                <w:sz w:val="18"/>
                <w:szCs w:val="18"/>
                <w:color w:val="auto"/>
              </w:rPr>
              <w:t>110.0% - 153.4%</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132.9% - 142.7%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2019, and 2018,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April 30, 2019, the Company has 100,000,000 shares authorized with a par value of $0.001 per share and 5,425,517 shares issued.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8" w:name="page99"/>
    <w:bookmarkEnd w:id="98"/>
    <w:p>
      <w:pPr>
        <w:jc w:val="both"/>
        <w:ind w:firstLine="495"/>
        <w:spacing w:after="0" w:line="312" w:lineRule="auto"/>
        <w:rPr>
          <w:sz w:val="20"/>
          <w:szCs w:val="20"/>
          <w:color w:val="auto"/>
        </w:rPr>
      </w:pPr>
      <w:r>
        <w:rPr>
          <w:rFonts w:ascii="Arial" w:cs="Arial" w:eastAsia="Arial" w:hAnsi="Arial"/>
          <w:sz w:val="16"/>
          <w:szCs w:val="16"/>
          <w:color w:val="auto"/>
        </w:rPr>
        <w:t>On May 2, 2017, the Company sold 309,638 shares of common stock at a price of $26.00 per share, which includes the sale of 40,388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On October 23, 2017, the Company sold 286,972 shares of common stock at a price of $28.40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As of April 30, 2019, the Company has sold 162,162 shares of common stock with an aggregate market value of $949,259 at an average price of $5.85 per share pursuant to this common stock purchase agreement.</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7, 2019, the Company entered into an At the Market Offering Agreement (“2019 ATM Facility”) with A.G.P./Alliance Global Partners (“AGP”), under which the Company may issue and sell to or through A.G.P./Alliance Global Partners, acting as agent and/or principal, shares of the Company’s common stock having an aggregate offering price of up to $25 million. As of April 30, 2019, under the 2019 ATM Facility the Company had issued and sold 151,561 shares of its common stock with an aggregate market value of $958,229 at an average price of $6.32 per share and paid AGP a sales commission of approximately $33,469 related to those shares.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our common stock in an underwritten public offering. The net proceeds to the Company from the offering were approximately $15.7 million, after deducting underwriter’s fees and offering expenses payable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Shares</w:t>
      </w:r>
    </w:p>
    <w:p>
      <w:pPr>
        <w:spacing w:after="0" w:line="229"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During the years ended April 30, 2019 and 2018, 89 and 1,298 shares of Common Stock, respectively, were purchased by the Company from employees to pay taxes related to the vesting of restricted stock.</w:t>
      </w:r>
    </w:p>
    <w:p>
      <w:pPr>
        <w:spacing w:after="0" w:line="166" w:lineRule="exact"/>
        <w:rPr>
          <w:sz w:val="20"/>
          <w:szCs w:val="20"/>
          <w:color w:val="auto"/>
        </w:rPr>
      </w:pPr>
    </w:p>
    <w:p>
      <w:pPr>
        <w:ind w:right="8480" w:firstLine="8"/>
        <w:spacing w:after="0" w:line="533" w:lineRule="auto"/>
        <w:tabs>
          <w:tab w:leader="none" w:pos="33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Plans 2015 Omnibus Incentive Plan</w:t>
      </w:r>
    </w:p>
    <w:p>
      <w:pPr>
        <w:jc w:val="both"/>
        <w:ind w:firstLine="495"/>
        <w:spacing w:after="0" w:line="255"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12,036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32,036. If any award under the 2006 Stock Incentive Plan or 2015 Plan expires, is cancelled, terminates unexercised or is forfeited, those shares become again available for grant under the 2015 Plan. As of April 30, 2019, the Company has 58,555 shares available for future issuance under the 2015 Plan.</w:t>
      </w:r>
    </w:p>
    <w:p>
      <w:pPr>
        <w:spacing w:after="0" w:line="189"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The 2015 Plan provides for the grant of stock options, SARs, restricted stock awards, stock unit awards and unrestricted stock awards, dividend equivalent rights, performance share awards or other performance-based awards, other equity-based awards or cash to eligible employees, officers and non-employee directors of the Company or any affiliate of the Company, or any consultant or adviser to the Company. The maximum number of shares of stock subject to Awards that can be granted under the 2015 Plan in any one calendar year to any person, other than a non-employee director, is 3,750. However, incentive stock options may only be granted to employees. The limitation on the amount of shares of stock issuable under the 2015 Plan is subject to adjustment in the event of certain changes in the Company’s capital stock, such as recapitalizations, reclassifications, stock splits, reverse stock splits, spin-offs, combinations of our stock, exchanges of the Company’s stock and other increases or decreases in the Company’s stock without receipt of consideration.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ind w:left="500"/>
        <w:spacing w:after="0"/>
        <w:rPr>
          <w:sz w:val="20"/>
          <w:szCs w:val="20"/>
          <w:color w:val="auto"/>
        </w:rPr>
      </w:pPr>
      <w:r>
        <w:rPr>
          <w:rFonts w:ascii="Arial" w:cs="Arial" w:eastAsia="Arial" w:hAnsi="Arial"/>
          <w:sz w:val="17"/>
          <w:szCs w:val="17"/>
          <w:color w:val="auto"/>
        </w:rPr>
        <w:t>The 2015 Plan will terminate ten years after its effective date, in October 2025, but is subject to earlier termination as provided in the 2015 Plan.</w:t>
      </w:r>
    </w:p>
    <w:p>
      <w:pPr>
        <w:spacing w:after="0" w:line="23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Except in connection with a corporate transaction in which the Company is involved, without obtaining stockholder approval, the 2015 Plan may not be amended to reduce the exercise price of such outstanding options or SARs, cancel outstanding options or SARs in exchange for or in substitution of options or SARs with an exercise price that is less than the exercise price of the original options or SARs, or cancel outstanding options or SARs with an exercise price above the current stock price in exchange for cash or other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Employment Inducement Incentive Award Plan</w:t>
      </w:r>
    </w:p>
    <w:p>
      <w:pPr>
        <w:spacing w:after="0" w:line="229"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5635(c)(4) 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April 30, 2019, there were no shares outstanding and 25,000 shares available for grant under the 2018 Inducement Plan.</w:t>
      </w:r>
    </w:p>
    <w:p>
      <w:pPr>
        <w:spacing w:after="0" w:line="178" w:lineRule="exact"/>
        <w:rPr>
          <w:sz w:val="20"/>
          <w:szCs w:val="20"/>
          <w:color w:val="auto"/>
        </w:rPr>
      </w:pPr>
    </w:p>
    <w:p>
      <w:pPr>
        <w:ind w:left="500" w:hanging="254"/>
        <w:spacing w:after="0"/>
        <w:tabs>
          <w:tab w:leader="none" w:pos="50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rFonts w:ascii="Arial" w:cs="Arial" w:eastAsia="Arial" w:hAnsi="Arial"/>
          <w:sz w:val="18"/>
          <w:szCs w:val="18"/>
          <w:b w:val="1"/>
          <w:bCs w:val="1"/>
          <w:i w:val="1"/>
          <w:iCs w:val="1"/>
          <w:color w:val="auto"/>
        </w:rPr>
      </w:pPr>
    </w:p>
    <w:p>
      <w:pPr>
        <w:ind w:left="5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 summary of stock options under the plans described above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(In Years)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2018</w:t>
            </w:r>
          </w:p>
        </w:tc>
        <w:tc>
          <w:tcPr>
            <w:tcW w:w="1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Granted</w:t>
            </w:r>
          </w:p>
        </w:tc>
        <w:tc>
          <w:tcPr>
            <w:tcW w:w="3520" w:type="dxa"/>
            <w:vAlign w:val="bottom"/>
            <w:gridSpan w:val="3"/>
          </w:tcPr>
          <w:p>
            <w:pPr>
              <w:jc w:val="right"/>
              <w:ind w:right="300"/>
              <w:spacing w:after="0"/>
              <w:rPr>
                <w:sz w:val="20"/>
                <w:szCs w:val="20"/>
                <w:color w:val="auto"/>
              </w:rPr>
            </w:pPr>
            <w:r>
              <w:rPr>
                <w:rFonts w:ascii="Arial" w:cs="Arial" w:eastAsia="Arial" w:hAnsi="Arial"/>
                <w:sz w:val="18"/>
                <w:szCs w:val="18"/>
                <w:color w:val="auto"/>
              </w:rPr>
              <w:t>49,750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8.20</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Cancelled/forfeited</w:t>
            </w:r>
          </w:p>
        </w:tc>
        <w:tc>
          <w:tcPr>
            <w:tcW w:w="3520" w:type="dxa"/>
            <w:vAlign w:val="bottom"/>
            <w:gridSpan w:val="3"/>
          </w:tcPr>
          <w:p>
            <w:pPr>
              <w:jc w:val="right"/>
              <w:ind w:right="240"/>
              <w:spacing w:after="0"/>
              <w:rPr>
                <w:sz w:val="20"/>
                <w:szCs w:val="20"/>
                <w:color w:val="auto"/>
              </w:rPr>
            </w:pPr>
            <w:r>
              <w:rPr>
                <w:rFonts w:ascii="Arial" w:cs="Arial" w:eastAsia="Arial" w:hAnsi="Arial"/>
                <w:sz w:val="18"/>
                <w:szCs w:val="18"/>
                <w:color w:val="auto"/>
              </w:rPr>
              <w:t>(3,605)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392.80</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2019</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21.08</w:t>
            </w:r>
          </w:p>
        </w:tc>
        <w:tc>
          <w:tcPr>
            <w:tcW w:w="14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Exercisable as of April 30, 2019</w:t>
            </w:r>
          </w:p>
        </w:tc>
        <w:tc>
          <w:tcPr>
            <w:tcW w:w="186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55.60</w:t>
            </w:r>
          </w:p>
        </w:tc>
        <w:tc>
          <w:tcPr>
            <w:tcW w:w="14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17,822</w:t>
            </w:r>
          </w:p>
        </w:tc>
        <w:tc>
          <w:tcPr>
            <w:tcW w:w="3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1860"/>
              <w:spacing w:after="0"/>
              <w:rPr>
                <w:sz w:val="20"/>
                <w:szCs w:val="20"/>
                <w:color w:val="auto"/>
              </w:rPr>
            </w:pPr>
            <w:r>
              <w:rPr>
                <w:rFonts w:ascii="Arial" w:cs="Arial" w:eastAsia="Arial" w:hAnsi="Arial"/>
                <w:sz w:val="18"/>
                <w:szCs w:val="18"/>
                <w:color w:val="auto"/>
              </w:rPr>
              <w:t>F-22</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00" w:name="page101"/>
    <w:bookmarkEnd w:id="100"/>
    <w:p>
      <w:pPr>
        <w:jc w:val="both"/>
        <w:ind w:firstLine="495"/>
        <w:spacing w:after="0" w:line="273" w:lineRule="auto"/>
        <w:rPr>
          <w:sz w:val="20"/>
          <w:szCs w:val="20"/>
          <w:color w:val="auto"/>
        </w:rPr>
      </w:pPr>
      <w:r>
        <w:rPr>
          <w:rFonts w:ascii="Arial" w:cs="Arial" w:eastAsia="Arial" w:hAnsi="Arial"/>
          <w:sz w:val="17"/>
          <w:szCs w:val="17"/>
          <w:color w:val="auto"/>
        </w:rPr>
        <w:t>As of April 30, 2019, the total intrinsic value of outstanding and exercisable options was approximately zero. As of April 30, 2019, approximately 42,343 additional options were unvested, which options had no intrinsic value and a weighted-average remaining contractual term of 9.6 years. There was approximately $0.2 million and $0.2 million of total recognized compensation cost related to employees for stock options during the years ended April 30, 2019 and 2018, respectively. As of April 30, 2019, there was approximately $0.2 million of total unrecognized compensation cost related to non-vested stock options granted under the plans. This cost is expected to be recognized over a weighted-average period of 0.6 years. The Company typically issues newly authorized but unissued shares to satisfy option exercises under these plans.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Compensation expense for non- vested restricted stock is generally recorded based on its market value on the date of grant and recognized ratably over the associated service and performance period. During fiscal 2019, the Company granted 943 shares subject to service-based vesting requirements and no shares subject to performance-based vesting requirements.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A summary of unvested restricted stock under the plans described above is as follows:</w:t>
            </w:r>
          </w:p>
        </w:tc>
        <w:tc>
          <w:tcPr>
            <w:tcW w:w="1700" w:type="dxa"/>
            <w:vAlign w:val="bottom"/>
          </w:tcPr>
          <w:p>
            <w:pPr>
              <w:spacing w:after="0"/>
              <w:rPr>
                <w:sz w:val="20"/>
                <w:szCs w:val="20"/>
                <w:color w:val="auto"/>
              </w:rPr>
            </w:pPr>
          </w:p>
        </w:tc>
      </w:tr>
      <w:tr>
        <w:trPr>
          <w:trHeight w:val="414"/>
        </w:trPr>
        <w:tc>
          <w:tcPr>
            <w:tcW w:w="5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30"/>
        </w:trPr>
        <w:tc>
          <w:tcPr>
            <w:tcW w:w="5780" w:type="dxa"/>
            <w:vAlign w:val="bottom"/>
          </w:tcPr>
          <w:p>
            <w:pPr>
              <w:spacing w:after="0"/>
              <w:rPr>
                <w:sz w:val="19"/>
                <w:szCs w:val="19"/>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per</w:t>
            </w:r>
          </w:p>
        </w:tc>
      </w:tr>
      <w:tr>
        <w:trPr>
          <w:trHeight w:val="241"/>
        </w:trPr>
        <w:tc>
          <w:tcPr>
            <w:tcW w:w="57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Issued and unvested at April 30, 2018</w:t>
      </w:r>
    </w:p>
    <w:p>
      <w:pPr>
        <w:spacing w:after="0" w:line="4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Issued and unvested at April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20" w:type="dxa"/>
        <w:tblCellMar>
          <w:top w:w="0" w:type="dxa"/>
          <w:left w:w="0" w:type="dxa"/>
          <w:bottom w:w="0" w:type="dxa"/>
          <w:right w:w="0" w:type="dxa"/>
        </w:tblCellMar>
      </w:tblP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Pr>
          <w:p>
            <w:pPr>
              <w:spacing w:after="0"/>
              <w:rPr>
                <w:sz w:val="18"/>
                <w:szCs w:val="18"/>
                <w:color w:val="auto"/>
              </w:rPr>
            </w:pPr>
          </w:p>
        </w:tc>
        <w:tc>
          <w:tcPr>
            <w:tcW w:w="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16"/>
        </w:trPr>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22.80</w:t>
            </w:r>
          </w:p>
        </w:tc>
      </w:tr>
      <w:tr>
        <w:trPr>
          <w:trHeight w:val="216"/>
        </w:trPr>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64.40</w:t>
            </w:r>
          </w:p>
        </w:tc>
      </w:tr>
      <w:tr>
        <w:trPr>
          <w:trHeight w:val="251"/>
        </w:trPr>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(6,033)</w:t>
            </w:r>
          </w:p>
        </w:tc>
        <w:tc>
          <w:tcPr>
            <w:tcW w:w="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22.51</w:t>
            </w:r>
          </w:p>
        </w:tc>
      </w:tr>
      <w:tr>
        <w:trPr>
          <w:trHeight w:val="230"/>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40" w:type="dxa"/>
            <w:vAlign w:val="bottom"/>
          </w:tcPr>
          <w:p>
            <w:pPr>
              <w:spacing w:after="0"/>
              <w:rPr>
                <w:sz w:val="19"/>
                <w:szCs w:val="19"/>
                <w:color w:val="auto"/>
              </w:rPr>
            </w:pPr>
          </w:p>
        </w:tc>
        <w:tc>
          <w:tcPr>
            <w:tcW w:w="760" w:type="dxa"/>
            <w:vAlign w:val="bottom"/>
          </w:tcPr>
          <w:p>
            <w:pPr>
              <w:jc w:val="right"/>
              <w:ind w:right="51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30.08</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-745490</wp:posOffset>
            </wp:positionV>
            <wp:extent cx="506857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-471170</wp:posOffset>
            </wp:positionV>
            <wp:extent cx="506857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-179705</wp:posOffset>
            </wp:positionV>
            <wp:extent cx="506857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840" w:space="720"/>
            <w:col w:w="5860"/>
          </w:cols>
          <w:pgMar w:left="240" w:top="665" w:right="239" w:bottom="1440" w:gutter="0" w:footer="0" w:header="0"/>
          <w:type w:val="continuous"/>
        </w:sectPr>
      </w:pPr>
    </w:p>
    <w:bookmarkStart w:id="101" w:name="page102"/>
    <w:bookmarkEnd w:id="101"/>
    <w:p>
      <w:pPr>
        <w:jc w:val="both"/>
        <w:ind w:firstLine="495"/>
        <w:spacing w:after="0" w:line="286" w:lineRule="auto"/>
        <w:rPr>
          <w:sz w:val="20"/>
          <w:szCs w:val="20"/>
          <w:color w:val="auto"/>
        </w:rPr>
      </w:pPr>
      <w:r>
        <w:rPr>
          <w:rFonts w:ascii="Arial" w:cs="Arial" w:eastAsia="Arial" w:hAnsi="Arial"/>
          <w:sz w:val="17"/>
          <w:szCs w:val="17"/>
          <w:color w:val="auto"/>
        </w:rPr>
        <w:t>There was approximately $0.1 million and $0.1 million of total recognized compensation cost relating to restricted stock granted to employees during the years ended April 30, 2019 and 2018, respectively. As of April 30, 2019, there was $9,000 of total unrecognized compensation cost related to unvested restricted stock granted under the plans. This cost is expected to be recognized over a weighted-average period of 0.3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93" w:lineRule="exact"/>
        <w:rPr>
          <w:sz w:val="20"/>
          <w:szCs w:val="20"/>
          <w:color w:val="auto"/>
        </w:rPr>
      </w:pPr>
    </w:p>
    <w:p>
      <w:pPr>
        <w:jc w:val="both"/>
        <w:ind w:left="660" w:hanging="647"/>
        <w:spacing w:after="0" w:line="264"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660" w:right="20" w:hanging="647"/>
        <w:spacing w:after="0" w:line="264"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660" w:hanging="647"/>
        <w:spacing w:after="0" w:line="264" w:lineRule="auto"/>
        <w:rPr>
          <w:sz w:val="20"/>
          <w:szCs w:val="20"/>
          <w:color w:val="auto"/>
        </w:rPr>
      </w:pPr>
      <w:r>
        <w:rPr>
          <w:rFonts w:ascii="Arial" w:cs="Arial" w:eastAsia="Arial" w:hAnsi="Arial"/>
          <w:sz w:val="18"/>
          <w:szCs w:val="18"/>
          <w:color w:val="auto"/>
        </w:rPr>
        <w:t>Level 3 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the year ended April 30, 2019 and 2018.</w:t>
      </w:r>
    </w:p>
    <w:p>
      <w:pPr>
        <w:spacing w:after="0" w:line="170" w:lineRule="exact"/>
        <w:rPr>
          <w:sz w:val="20"/>
          <w:szCs w:val="20"/>
          <w:color w:val="auto"/>
        </w:rPr>
      </w:pPr>
    </w:p>
    <w:p>
      <w:pPr>
        <w:jc w:val="both"/>
        <w:ind w:right="20" w:firstLine="495"/>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 Liabilities</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fair value of the Company’s warrant liabilities (refer to Note 7)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90"/>
              </w:rPr>
              <w:t>Quoted prices in</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Significant</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90"/>
              </w:rPr>
              <w:t>active markets for</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other</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Total Carrying Value</w:t>
            </w:r>
          </w:p>
        </w:tc>
        <w:tc>
          <w:tcPr>
            <w:tcW w:w="240" w:type="dxa"/>
            <w:vAlign w:val="bottom"/>
          </w:tcPr>
          <w:p>
            <w:pPr>
              <w:spacing w:after="0"/>
              <w:rPr>
                <w:sz w:val="18"/>
                <w:szCs w:val="18"/>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86"/>
              </w:rPr>
              <w:t>identical assets or</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observable</w:t>
            </w:r>
          </w:p>
        </w:tc>
        <w:tc>
          <w:tcPr>
            <w:tcW w:w="3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in Consolidated</w:t>
            </w:r>
          </w:p>
        </w:tc>
        <w:tc>
          <w:tcPr>
            <w:tcW w:w="240" w:type="dxa"/>
            <w:vAlign w:val="bottom"/>
          </w:tcPr>
          <w:p>
            <w:pPr>
              <w:spacing w:after="0"/>
              <w:rPr>
                <w:sz w:val="18"/>
                <w:szCs w:val="18"/>
                <w:color w:val="auto"/>
              </w:rPr>
            </w:pPr>
          </w:p>
        </w:tc>
        <w:tc>
          <w:tcPr>
            <w:tcW w:w="2220" w:type="dxa"/>
            <w:vAlign w:val="bottom"/>
          </w:tcPr>
          <w:p>
            <w:pPr>
              <w:ind w:left="36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ind w:left="180"/>
              <w:spacing w:after="0"/>
              <w:rPr>
                <w:sz w:val="20"/>
                <w:szCs w:val="20"/>
                <w:color w:val="auto"/>
              </w:rPr>
            </w:pPr>
            <w:r>
              <w:rPr>
                <w:rFonts w:ascii="Arial" w:cs="Arial" w:eastAsia="Arial" w:hAnsi="Arial"/>
                <w:sz w:val="18"/>
                <w:szCs w:val="18"/>
                <w:b w:val="1"/>
                <w:bCs w:val="1"/>
                <w:color w:val="auto"/>
              </w:rPr>
              <w:t>inputs</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Balance Sheet</w:t>
            </w:r>
          </w:p>
        </w:tc>
        <w:tc>
          <w:tcPr>
            <w:tcW w:w="240" w:type="dxa"/>
            <w:vAlign w:val="bottom"/>
          </w:tcPr>
          <w:p>
            <w:pPr>
              <w:spacing w:after="0"/>
              <w:rPr>
                <w:sz w:val="20"/>
                <w:szCs w:val="20"/>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(Level 1)</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(Level 2)</w:t>
            </w:r>
          </w:p>
        </w:tc>
        <w:tc>
          <w:tcPr>
            <w:tcW w:w="38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w w:val="91"/>
              </w:rPr>
              <w:t>(in thousands)</w:t>
            </w:r>
          </w:p>
        </w:tc>
        <w:tc>
          <w:tcPr>
            <w:tcW w:w="14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500" w:type="dxa"/>
            <w:vAlign w:val="bottom"/>
            <w:gridSpan w:val="7"/>
          </w:tcPr>
          <w:p>
            <w:pPr>
              <w:spacing w:after="0"/>
              <w:rPr>
                <w:sz w:val="20"/>
                <w:szCs w:val="20"/>
                <w:color w:val="auto"/>
              </w:rPr>
            </w:pPr>
            <w:r>
              <w:rPr>
                <w:rFonts w:ascii="Arial" w:cs="Arial" w:eastAsia="Arial" w:hAnsi="Arial"/>
                <w:sz w:val="18"/>
                <w:szCs w:val="18"/>
                <w:color w:val="auto"/>
                <w:w w:val="97"/>
              </w:rPr>
              <w:t>The following table presents financial assets and liabilities measured at fair value on a recurring basis as of April 30, 2018:</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90"/>
              </w:rPr>
              <w:t>Quoted prices in</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Significant</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90"/>
              </w:rPr>
              <w:t>active markets for</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other</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Total Carrying Value</w:t>
            </w:r>
          </w:p>
        </w:tc>
        <w:tc>
          <w:tcPr>
            <w:tcW w:w="240" w:type="dxa"/>
            <w:vAlign w:val="bottom"/>
          </w:tcPr>
          <w:p>
            <w:pPr>
              <w:spacing w:after="0"/>
              <w:rPr>
                <w:sz w:val="18"/>
                <w:szCs w:val="18"/>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86"/>
              </w:rPr>
              <w:t>identical assets or</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observable</w:t>
            </w:r>
          </w:p>
        </w:tc>
        <w:tc>
          <w:tcPr>
            <w:tcW w:w="3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in Consolidated</w:t>
            </w:r>
          </w:p>
        </w:tc>
        <w:tc>
          <w:tcPr>
            <w:tcW w:w="240" w:type="dxa"/>
            <w:vAlign w:val="bottom"/>
          </w:tcPr>
          <w:p>
            <w:pPr>
              <w:spacing w:after="0"/>
              <w:rPr>
                <w:sz w:val="18"/>
                <w:szCs w:val="18"/>
                <w:color w:val="auto"/>
              </w:rPr>
            </w:pPr>
          </w:p>
        </w:tc>
        <w:tc>
          <w:tcPr>
            <w:tcW w:w="2220" w:type="dxa"/>
            <w:vAlign w:val="bottom"/>
          </w:tcPr>
          <w:p>
            <w:pPr>
              <w:ind w:left="36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ind w:left="180"/>
              <w:spacing w:after="0"/>
              <w:rPr>
                <w:sz w:val="20"/>
                <w:szCs w:val="20"/>
                <w:color w:val="auto"/>
              </w:rPr>
            </w:pPr>
            <w:r>
              <w:rPr>
                <w:rFonts w:ascii="Arial" w:cs="Arial" w:eastAsia="Arial" w:hAnsi="Arial"/>
                <w:sz w:val="18"/>
                <w:szCs w:val="18"/>
                <w:b w:val="1"/>
                <w:bCs w:val="1"/>
                <w:color w:val="auto"/>
              </w:rPr>
              <w:t>inputs</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Balance Sheet</w:t>
            </w:r>
          </w:p>
        </w:tc>
        <w:tc>
          <w:tcPr>
            <w:tcW w:w="240" w:type="dxa"/>
            <w:vAlign w:val="bottom"/>
          </w:tcPr>
          <w:p>
            <w:pPr>
              <w:spacing w:after="0"/>
              <w:rPr>
                <w:sz w:val="20"/>
                <w:szCs w:val="20"/>
                <w:color w:val="auto"/>
              </w:rPr>
            </w:pPr>
          </w:p>
        </w:tc>
        <w:tc>
          <w:tcPr>
            <w:tcW w:w="222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(Level 1)</w:t>
            </w:r>
          </w:p>
        </w:tc>
        <w:tc>
          <w:tcPr>
            <w:tcW w:w="140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(Level 2)</w:t>
            </w:r>
          </w:p>
        </w:tc>
        <w:tc>
          <w:tcPr>
            <w:tcW w:w="38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0</wp:posOffset>
            </wp:positionV>
            <wp:extent cx="47764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4776470" cy="1714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p>
      <w:pPr>
        <w:jc w:val="both"/>
        <w:ind w:right="100"/>
        <w:spacing w:after="0" w:line="508" w:lineRule="auto"/>
        <w:rPr>
          <w:sz w:val="20"/>
          <w:szCs w:val="20"/>
          <w:color w:val="auto"/>
        </w:rPr>
      </w:pPr>
      <w:r>
        <w:rPr>
          <w:rFonts w:ascii="Arial" w:cs="Arial" w:eastAsia="Arial" w:hAnsi="Arial"/>
          <w:sz w:val="18"/>
          <w:szCs w:val="18"/>
          <w:color w:val="auto"/>
        </w:rPr>
        <w:t>Warrant liabilities $ 201 $ - $ - $ 201 The following table provides a summary of changes in the fair value of the warrant liabilities during the year ended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Fair Value Measurement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253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502539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4"/>
              </w:rPr>
              <w:t>Total</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0"/>
              </w:rPr>
              <w:t>Warrant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rPr>
              <w:t>Liability</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(in thousands)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2017</w:t>
            </w:r>
          </w:p>
        </w:tc>
        <w:tc>
          <w:tcPr>
            <w:tcW w:w="3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Issuance</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Change in fair value</w:t>
            </w: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2018</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vMerge w:val="continue"/>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3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2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 April 30, 2019</w:t>
            </w:r>
          </w:p>
        </w:tc>
        <w:tc>
          <w:tcPr>
            <w:tcW w:w="3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jc w:val="right"/>
              <w:ind w:right="2190"/>
              <w:spacing w:after="0"/>
              <w:rPr>
                <w:sz w:val="20"/>
                <w:szCs w:val="20"/>
                <w:color w:val="auto"/>
              </w:rPr>
            </w:pPr>
            <w:r>
              <w:rPr>
                <w:rFonts w:ascii="Arial" w:cs="Arial" w:eastAsia="Arial" w:hAnsi="Arial"/>
                <w:sz w:val="18"/>
                <w:szCs w:val="18"/>
                <w:color w:val="auto"/>
              </w:rPr>
              <w:t>F-25</w:t>
            </w:r>
          </w:p>
        </w:tc>
        <w:tc>
          <w:tcPr>
            <w:tcW w:w="1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before income taxes for the years ended April 30, 2019 and 2018 consisted of the following components: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April 30, 2019</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2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loss before income taxes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73"/>
        <w:spacing w:after="0" w:line="277" w:lineRule="auto"/>
        <w:rPr>
          <w:sz w:val="20"/>
          <w:szCs w:val="20"/>
          <w:color w:val="auto"/>
        </w:rPr>
      </w:pPr>
      <w:r>
        <w:rPr>
          <w:rFonts w:ascii="Arial" w:cs="Arial" w:eastAsia="Arial" w:hAnsi="Arial"/>
          <w:sz w:val="18"/>
          <w:szCs w:val="18"/>
          <w:color w:val="auto"/>
        </w:rPr>
        <w:t>The income tax benefit for the years ended April 30, 2019 and 2018 consist of state income tax benefits of $0.9 million and $1.1 million, respectively, from the sale of New Jersey net operating losses and research and development credits.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Rate Reconciliation</w:t>
      </w:r>
    </w:p>
    <w:p>
      <w:pPr>
        <w:spacing w:after="0" w:line="229"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rate for the periods ended April 30, 2019 and 2018 to loss before income taxes as a result of the following:</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8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April 30, 2019</w:t>
            </w:r>
          </w:p>
        </w:tc>
        <w:tc>
          <w:tcPr>
            <w:tcW w:w="17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Increase(reduction) in income taxes resulting from:</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(benefit)</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Federal research and development tax credits</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rate differential</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Other non-deductible expenses</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of sale of New Jersey tax (benefits)</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U.S. tax reform effects</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Increase in valuation allowance</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20.8%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Significant Components of Deferred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tax effects of temporary differences and carry forwards that give rise to the Company’s deferred tax assets and deferred tax liabilities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April 30, 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Federal net operating loss carryforwards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32,025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29,329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net operating loss carryforwards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State operating loss carryforwards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and New Jersey research and development tax credits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Stock compensation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200" w:type="dxa"/>
            <w:vAlign w:val="bottom"/>
          </w:tcPr>
          <w:p>
            <w:pPr>
              <w:ind w:left="160"/>
              <w:spacing w:after="0" w:line="203" w:lineRule="exact"/>
              <w:rPr>
                <w:sz w:val="20"/>
                <w:szCs w:val="20"/>
                <w:color w:val="auto"/>
              </w:rPr>
            </w:pPr>
            <w:r>
              <w:rPr>
                <w:rFonts w:ascii="Arial" w:cs="Arial" w:eastAsia="Arial" w:hAnsi="Arial"/>
                <w:sz w:val="18"/>
                <w:szCs w:val="18"/>
                <w:color w:val="auto"/>
              </w:rPr>
              <w:t>Net deferred tax assets before valuation allowance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41,708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39,258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(39,258)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2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deferred tax assets</w:t>
            </w: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00" w:type="dxa"/>
            <w:vAlign w:val="bottom"/>
            <w:vMerge w:val="restart"/>
          </w:tcPr>
          <w:p>
            <w:pPr>
              <w:ind w:left="4400"/>
              <w:spacing w:after="0"/>
              <w:rPr>
                <w:sz w:val="20"/>
                <w:szCs w:val="20"/>
                <w:color w:val="auto"/>
              </w:rPr>
            </w:pPr>
            <w:r>
              <w:rPr>
                <w:rFonts w:ascii="Arial" w:cs="Arial" w:eastAsia="Arial" w:hAnsi="Arial"/>
                <w:sz w:val="18"/>
                <w:szCs w:val="18"/>
                <w:color w:val="auto"/>
              </w:rPr>
              <w:t>F-26</w:t>
            </w: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04" w:name="page105"/>
    <w:bookmarkEnd w:id="104"/>
    <w:p>
      <w:pPr>
        <w:jc w:val="both"/>
        <w:ind w:firstLine="486"/>
        <w:spacing w:after="0" w:line="297"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forwards become deductible or are utilized. As of April 30, 2019 and 2018, based upon the level of historical taxable losses, valuation allowances of $41.7 million and $39.3 million, respectively, were recorded to fully offset deferred tax assets. The valuation allowance increased $2.5 million during the year ended April 30, 2019 and decreased $15.4 million during the year ended 2018 respectively.</w:t>
      </w:r>
    </w:p>
    <w:p>
      <w:pPr>
        <w:spacing w:after="0" w:line="158"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As of April 30, 2019, the Company had net operating loss carry forwards for federal income tax purposes of approximately $152.5 million, which begin to expire in fiscal 2019. The Company also had federal research and development tax credit carry forwards of approximately $3.2 million as of April 30, 2019, which begins to expire in 2019. The Tax Reform Act of 1986 contains provisions that limit the utilization of net operating loss and tax credit carry 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 million. The Section 382 limitation is cumulative from year to year, and thus, to the extent net operating loss or other credit carry forwards are not utilized up to the amount of the available annual limitation, the limitation is carried forward and added to the following year’s available limitation. Such limitation only applies to net operating losses incurred in periods prior to the ownership change. The Company has not performed additional analysis on ownership changes that may have occurred subsequently to further limit the ability to utilize net tax attributes. As of April 30, 2019, the Company had state net operating loss carry forwards of approximately $23.3 million which begin to expire in 2037, which also may be limited to utilization limitations. As of April 30, 2019, the Company had foreign net operating loss carry forwards of approximately $16.9 million. The ability to utilize these carry forwards may also be limited in the event of a significant change to ownership.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Jersey Net Operating Loss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During the years ended April 30, 2019 and 2018, the Company sold New Jersey State net operating losses and research and development credits in the amount of $9.1 million and $11.5 million, respectively, resulting in the recognition of income tax benefits of $0.9 million and $1.1 million, respectively, recorded in the Company’s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2008 to 2014, when the Company’s Spanish branch was closed (see Note 15 to the Consolidated Financial Statements) . At April 30, 2019 and 2018,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Company does not have any interest or penalties accrued related to uncertain tax positions as it does not have any unrecognized tax benefits.</w:t>
      </w:r>
    </w:p>
    <w:p>
      <w:pPr>
        <w:spacing w:after="0" w:line="233"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500" w:hanging="254"/>
        <w:spacing w:after="0"/>
        <w:tabs>
          <w:tab w:leader="none" w:pos="500" w:val="left"/>
        </w:tabs>
        <w:numPr>
          <w:ilvl w:val="1"/>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 Commitments</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The Company leases office, laboratory, manufacturing and other space in Monroe Township, New Jersey under an operating lease that expires on October 31, 2024. The lease commencement date is November 1, 2017, with lease payments beginning the same month. The lease expiration date is seven years from the rent commencement date. The Company provided a cash security deposit of approximately $154,000. The Lease contains a tenant improvement allowance of up to $138,000 and annual escalations, as such, the Company accounts for rent expense on a straight-line basis. Rent expense under operating leases was approximately $0.5 million and $0.4 million for the years ended April 30, 2019 and 2018,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5" w:name="page106"/>
    <w:bookmarkEnd w:id="105"/>
    <w:p>
      <w:pPr>
        <w:ind w:left="500"/>
        <w:spacing w:after="0"/>
        <w:rPr>
          <w:sz w:val="20"/>
          <w:szCs w:val="20"/>
          <w:color w:val="auto"/>
        </w:rPr>
      </w:pPr>
      <w:r>
        <w:rPr>
          <w:rFonts w:ascii="Arial" w:cs="Arial" w:eastAsia="Arial" w:hAnsi="Arial"/>
          <w:sz w:val="18"/>
          <w:szCs w:val="18"/>
          <w:color w:val="auto"/>
        </w:rPr>
        <w:t>Future minimum lease payments under operating leases as of April 30, 2019 are as follows:</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were identified as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alleged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sought unspecified monetary damages and other relief.</w:t>
      </w:r>
    </w:p>
    <w:p>
      <w:pPr>
        <w:spacing w:after="0" w:line="18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On July 10, 2015, a second derivative lawsuit, captioned </w:t>
      </w:r>
      <w:r>
        <w:rPr>
          <w:rFonts w:ascii="Arial" w:cs="Arial" w:eastAsia="Arial" w:hAnsi="Arial"/>
          <w:sz w:val="18"/>
          <w:szCs w:val="18"/>
          <w:i w:val="1"/>
          <w:iCs w:val="1"/>
          <w:color w:val="auto"/>
        </w:rPr>
        <w:t>Rywolt v. Dunleavy, et al.,</w:t>
      </w:r>
      <w:r>
        <w:rPr>
          <w:rFonts w:ascii="Arial" w:cs="Arial" w:eastAsia="Arial" w:hAnsi="Arial"/>
          <w:sz w:val="18"/>
          <w:szCs w:val="18"/>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8"/>
          <w:szCs w:val="18"/>
          <w:i w:val="1"/>
          <w:iCs w:val="1"/>
          <w:color w:val="auto"/>
        </w:rPr>
        <w:t>Rywolt</w:t>
      </w:r>
      <w:r>
        <w:rPr>
          <w:rFonts w:ascii="Arial" w:cs="Arial" w:eastAsia="Arial" w:hAnsi="Arial"/>
          <w:sz w:val="18"/>
          <w:szCs w:val="18"/>
          <w:color w:val="auto"/>
        </w:rPr>
        <w:t xml:space="preserve"> complaint also seeks unspecified monetary damages and other relief.</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On April 21, 2016, a third derivative lawsuit, captioned </w:t>
      </w:r>
      <w:r>
        <w:rPr>
          <w:rFonts w:ascii="Arial" w:cs="Arial" w:eastAsia="Arial" w:hAnsi="Arial"/>
          <w:sz w:val="18"/>
          <w:szCs w:val="18"/>
          <w:i w:val="1"/>
          <w:iCs w:val="1"/>
          <w:color w:val="auto"/>
        </w:rPr>
        <w:t>LaCalamito v. Dunleavy, et al.</w:t>
      </w:r>
      <w:r>
        <w:rPr>
          <w:rFonts w:ascii="Arial" w:cs="Arial" w:eastAsia="Arial" w:hAnsi="Arial"/>
          <w:sz w:val="18"/>
          <w:szCs w:val="18"/>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8"/>
          <w:szCs w:val="18"/>
          <w:i w:val="1"/>
          <w:iCs w:val="1"/>
          <w:color w:val="auto"/>
        </w:rPr>
        <w:t>LaCalamito</w:t>
      </w:r>
      <w:r>
        <w:rPr>
          <w:rFonts w:ascii="Arial" w:cs="Arial" w:eastAsia="Arial" w:hAnsi="Arial"/>
          <w:sz w:val="18"/>
          <w:szCs w:val="18"/>
          <w:color w:val="auto"/>
        </w:rPr>
        <w:t xml:space="preserve"> complaint sought unspecified monetary damages and other relief.</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On June 9, 2016, a fourth derivative lawsuit, captioned </w:t>
      </w:r>
      <w:r>
        <w:rPr>
          <w:rFonts w:ascii="Arial" w:cs="Arial" w:eastAsia="Arial" w:hAnsi="Arial"/>
          <w:sz w:val="18"/>
          <w:szCs w:val="18"/>
          <w:i w:val="1"/>
          <w:iCs w:val="1"/>
          <w:color w:val="auto"/>
        </w:rPr>
        <w:t>Pucillo v. Dunleavy, et al.</w:t>
      </w:r>
      <w:r>
        <w:rPr>
          <w:rFonts w:ascii="Arial" w:cs="Arial" w:eastAsia="Arial" w:hAnsi="Arial"/>
          <w:sz w:val="18"/>
          <w:szCs w:val="18"/>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complaint seeks unspecified monetary damages and other relief.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both"/>
        <w:ind w:firstLine="495"/>
        <w:spacing w:after="0" w:line="286" w:lineRule="auto"/>
        <w:rPr>
          <w:sz w:val="20"/>
          <w:szCs w:val="20"/>
          <w:color w:val="auto"/>
        </w:rPr>
      </w:pPr>
      <w:r>
        <w:rPr>
          <w:rFonts w:ascii="Arial" w:cs="Arial" w:eastAsia="Arial" w:hAnsi="Arial"/>
          <w:sz w:val="17"/>
          <w:szCs w:val="17"/>
          <w:color w:val="auto"/>
        </w:rPr>
        <w:t xml:space="preserve">On October 25, 2016, the Court approved and entered a Stipulation and Order that, among other things, (i) consolidated the </w:t>
      </w:r>
      <w:r>
        <w:rPr>
          <w:rFonts w:ascii="Arial" w:cs="Arial" w:eastAsia="Arial" w:hAnsi="Arial"/>
          <w:sz w:val="17"/>
          <w:szCs w:val="17"/>
          <w:i w:val="1"/>
          <w:iCs w:val="1"/>
          <w:color w:val="auto"/>
        </w:rPr>
        <w:t>LaBare, Rywolt,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LaCalamito and Pucillo </w:t>
      </w:r>
      <w:r>
        <w:rPr>
          <w:rFonts w:ascii="Arial" w:cs="Arial" w:eastAsia="Arial" w:hAnsi="Arial"/>
          <w:sz w:val="17"/>
          <w:szCs w:val="17"/>
          <w:color w:val="auto"/>
        </w:rPr>
        <w:t>derivative actions; (ii) identified plaintiff</w:t>
      </w:r>
      <w:r>
        <w:rPr>
          <w:rFonts w:ascii="Arial" w:cs="Arial" w:eastAsia="Arial" w:hAnsi="Arial"/>
          <w:sz w:val="17"/>
          <w:szCs w:val="17"/>
          <w:i w:val="1"/>
          <w:iCs w:val="1"/>
          <w:color w:val="auto"/>
        </w:rPr>
        <w:t xml:space="preserve"> Pucillo </w:t>
      </w:r>
      <w:r>
        <w:rPr>
          <w:rFonts w:ascii="Arial" w:cs="Arial" w:eastAsia="Arial" w:hAnsi="Arial"/>
          <w:sz w:val="17"/>
          <w:szCs w:val="17"/>
          <w:color w:val="auto"/>
        </w:rPr>
        <w:t>as the lead plaintiff in the consolidated actions; and (iii) stayed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actions pending the November 14, 2016 settlement hearing in the now-settled securities class action and further order of the Court.</w:t>
      </w:r>
    </w:p>
    <w:p>
      <w:pPr>
        <w:spacing w:after="0" w:line="166"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On October 23, 2017, the parties entered into a Stipulation and Agreement of Settlement to resolve the four consolidated derivative lawsuits. The settlement provided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9, 2018. On May14, 2018, the Court held a final settlement approval hearing at which the Court stated that it was approving the settlement. On June 13, 2018, the Court issued a Final Order and Judgment, approving the Stipulation and Agreement of Settlement. The Company had accrued $350,000 related to this matter as a probable and reasonably estimable loss contingency during the twelve months ended April 30, 2018. The Company also recorded a receivable of $350,000 from its insurance carrier with the offset to the statement of operations. The Company’s insurance carrier made a payment of $350,000 to the plaintiffs’ attorneys on May 3, 2018. As a result, the consolidated derivatives lawsuits are now completely resolved, the releases are operative, and the matter is closed.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Arbitration</w:t>
      </w:r>
    </w:p>
    <w:p>
      <w:pPr>
        <w:spacing w:after="0" w:line="225"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shareholder litigation. The securities class action was resolved in November 2017 and the the derivatives litigation was resolved in June 2018.</w:t>
      </w:r>
    </w:p>
    <w:p>
      <w:pPr>
        <w:spacing w:after="0" w:line="16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On August 28, 2018, counsel for Mr. Dunleavy filed a demand for arbitration, captioned </w:t>
      </w:r>
      <w:r>
        <w:rPr>
          <w:rFonts w:ascii="Arial" w:cs="Arial" w:eastAsia="Arial" w:hAnsi="Arial"/>
          <w:sz w:val="17"/>
          <w:szCs w:val="17"/>
          <w:i w:val="1"/>
          <w:iCs w:val="1"/>
          <w:color w:val="auto"/>
        </w:rPr>
        <w:t>Charles F. Dunleavy v. Ocean Power Technologies, Inc.,</w:t>
      </w:r>
      <w:r>
        <w:rPr>
          <w:rFonts w:ascii="Arial" w:cs="Arial" w:eastAsia="Arial" w:hAnsi="Arial"/>
          <w:sz w:val="17"/>
          <w:szCs w:val="17"/>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three-member arbitration panel scheduled the discovery process to run from April 12, 2019 until November 9, 2019, set a pre-hearing case management conference for October 14, 2019, and set the hearing for December 9-13, 2019 in Princeton, New Jersey. As of April 30, 2019, the Company has not accrued any provision related to this matter since it cannot reasonably estimate the loss contingency.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 Runner Marine, Inc. Lawsuit</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 xml:space="preserve">On June 13, 2018, Tide Runner Marine, Inc. (“Tide Runner”) filed a lawsuit in the United States District Court for the District of New Jersey captioned </w:t>
      </w:r>
      <w:r>
        <w:rPr>
          <w:rFonts w:ascii="Arial" w:cs="Arial" w:eastAsia="Arial" w:hAnsi="Arial"/>
          <w:sz w:val="17"/>
          <w:szCs w:val="17"/>
          <w:i w:val="1"/>
          <w:iCs w:val="1"/>
          <w:color w:val="auto"/>
        </w:rPr>
        <w:t>Tide Runner Marine, Inc. v. Ocean Power Technologies, Inc.</w:t>
      </w:r>
      <w:r>
        <w:rPr>
          <w:rFonts w:ascii="Arial" w:cs="Arial" w:eastAsia="Arial" w:hAnsi="Arial"/>
          <w:sz w:val="17"/>
          <w:szCs w:val="17"/>
          <w:color w:val="auto"/>
        </w:rPr>
        <w:t>, Case No. 1:18-cv-10496. The complaint names the Company as defendant and alleges claims</w:t>
      </w:r>
      <w:r>
        <w:rPr>
          <w:rFonts w:ascii="Arial" w:cs="Arial" w:eastAsia="Arial" w:hAnsi="Arial"/>
          <w:sz w:val="17"/>
          <w:szCs w:val="17"/>
          <w:i w:val="1"/>
          <w:iCs w:val="1"/>
          <w:color w:val="auto"/>
        </w:rPr>
        <w:t xml:space="preserve"> </w:t>
      </w:r>
      <w:r>
        <w:rPr>
          <w:rFonts w:ascii="Arial" w:cs="Arial" w:eastAsia="Arial" w:hAnsi="Arial"/>
          <w:sz w:val="17"/>
          <w:szCs w:val="17"/>
          <w:color w:val="auto"/>
        </w:rPr>
        <w:t>for 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During the initial scheduling conference held on September 13, 2018, the parties agreed to engage in mediation in an effort to resolve this matter and also agreed to include Tide Runner’s subcontractor, Wittich Bros. Marine Inc. (“Wittich”) in the mediation process. The parties participated in mediation on November 15, 2018 but were unable to reach an agreement. However, the parties agreed to continue the mediation process and on February 11, 2019 reached a settlement agreement. On February 22, 2019, the parties executed a Settlement Agreement and Release (“Settlement”). Under the Settlement, the Company will pay to Wittich (i) $50,000 within 10 days after the final execution of the Settlement and (ii) another $150,000 on or before May 1, 2019. Subsequently, the parties filed a stipulation of dismissal of both Tide Runner’s complaint and the Company’s counterclaim with prejudice and without costs, and the Court granted the dismissal and terminated the case. The parties have also provided mutual releases for the matters in dispute in the litigation and will indemnify each other for future similar claims. As of April 30, 2019, the Company made the two required payments to Wittich.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Nasdaq Compliance</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August 9, 2018, the Company received written notification from Nasdaq indicating that the closing bid price of the Company’s common stock had been below $1.00 per share for a period of 30 consecutive trading days, and as a result, the Company was not in compliance with the minimum bid price requirement for continued listing. Under the Nasdaq Listing Rules, the Company was provided with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the grace period. If the Company did not regain compliance before February 5, 2019, Nasdaq stated that it would provide the Company with written notice that its securities are subject to delisting. At that time, the Company could appeal Nasdaq’s determination to a Nasdaq Listing Qualifications Panel, which would stay any further delisting action by Nasdaq pending a final decision by the panel. Alternatively, the Company could have been eligible for an additional 180 calendar day grace period if it met the continued listing standards, with the exception of bid price, for the Nasdaq Capital Market, and if the Company stated its intent to affect a reverse split, if necessary, to cure such deficiency.</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February 11, 2019, the Company received another written notification from Nasdaq indicating that the Company had not regained compliance with the minimum bid price requirement and that the Company’s stockholders’ equity, as reported in the Company’s Quarterly Report on Form 10-Q for the quarter ended October 31, 2018, did not qualify the Company for an additional 180 calendar day extension period for compliance. On February 19, 2019, the Company appealed Nasdaq’s determination to a Hearings Panel (the “Panel”), pursuant to the procedures set forth in the Nasdaq Listing Rule 5800 Series. The appeal stayed the suspension of the Company’s securities pending the Panel’s decision, during which time the Company’s common stock will continue to be listed on Nasdaq, and the Company’s common stock will continue to trade under the symbol “OPTT”.</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March 14, 2019, the Company received another written notification from Nasdaq indicating that the Company did not comply with the minimum stockholders’ equity requirement for continued listing. The earlier-filed appeal of the minimum bid price requirement was sufficient to encompass the minimum stockholder’s equity requirement, and the stay of suspension continued pending the Panel hearing and decision.</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Panel held its hearing on March 28, 2019. On April 4, 2019, the Panel issued the following two decisions: (i) the Panel concluded that the Company was in compliance with the minimum bid price rule; and (ii) the Panel granted the Company’s request to cure its stockholder equity deficiency by conducting a public offering that was estimated to raise $10 million by no later than April 30, 2019. On April 24, 2019, the Company provided the Panel with an update following a public offering that raised approximately $15.7 million (after deducting underwriter fees, commissions and other offering expenses) and closed on April 8, 2019. The update included revised projections of stockholder equity based upon the actual amount of proceeds raised during the public offering, which in the Company’s opinion was sufficient to cure the stockholder equity deficiency.</w:t>
      </w:r>
    </w:p>
    <w:p>
      <w:pPr>
        <w:spacing w:after="0" w:line="17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May 20, 2019 the Company received a letter from Nasdaq confirming that the Company has regained compliance with the minimum shareholders’ equity rule, as required by the Panel’s decision dated April 4, 2019, and is in compliance with other applicable requirements as set forth in the decision and required for listing on Nasdaq. Accordingly, the Panel has determined to continue the listing of the Company’s securities on Nasdaq and closed the matter.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Review</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4, 2019, FINRA notified the Company that it was conducting a routine review of the Company’s stock associated with two public announcements and asked several questions regarding: (i) an April 3, 2019 announcement that the Company had won a contract with a leading oil and gas operator; and (ii) an April 4, 2019 announcement of the pricing of an underwritten public offering. The Company provided its response to the FINRA questions on Tuesday, April 9, 2019. As of July 22, 2019, FINRA has not provided any follow-up.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during the fiscal year ended April 30, 2018 the Spanish tax inspector raised questions with respect to the Company’s recognition of funds received in 2011 to 2014 from a governmental grant from the European Commission in connection with the Waveport project. It is anticipated that we will be assessed a penalty relating to these tax years. The Company has estimated this penalty to be $177,000 and as of April 30, 2019 and 2018 has recorded the penalty in Accrued expenses in the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Operating Segments and Geographic Information</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Geographic information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91"/>
              </w:rPr>
              <w:t>Year Ended April 30, 2019</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5"/>
              </w:rPr>
              <w:t>North</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Asia and</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3"/>
              </w:rPr>
              <w:t>America</w:t>
            </w:r>
          </w:p>
        </w:tc>
        <w:tc>
          <w:tcPr>
            <w:tcW w:w="3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40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89"/>
              </w:rPr>
              <w:t>(in thousands)</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(13,045)</w:t>
            </w:r>
          </w:p>
        </w:tc>
        <w:tc>
          <w:tcPr>
            <w:tcW w:w="38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592</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18,028</w:t>
            </w:r>
          </w:p>
        </w:tc>
        <w:tc>
          <w:tcPr>
            <w:tcW w:w="3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18,366</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91"/>
              </w:rPr>
              <w:t>Year Ended April 30, 2018</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5"/>
              </w:rPr>
              <w:t>North</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Asia and</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3"/>
              </w:rPr>
              <w:t>America</w:t>
            </w:r>
          </w:p>
        </w:tc>
        <w:tc>
          <w:tcPr>
            <w:tcW w:w="3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40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89"/>
              </w:rPr>
              <w:t>(in thousands)</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511</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Operating loss</w:t>
            </w:r>
          </w:p>
        </w:tc>
        <w:tc>
          <w:tcPr>
            <w:tcW w:w="17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(11,282)</w:t>
            </w:r>
          </w:p>
        </w:tc>
        <w:tc>
          <w:tcPr>
            <w:tcW w:w="6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(243)</w:t>
            </w:r>
          </w:p>
        </w:tc>
        <w:tc>
          <w:tcPr>
            <w:tcW w:w="6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712</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13,762</w:t>
            </w:r>
          </w:p>
        </w:tc>
        <w:tc>
          <w:tcPr>
            <w:tcW w:w="6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337</w:t>
            </w: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14,121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Adoption of Revenue Recognition Guidance</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adopted the new revenue recognition guidance effective May 1, 2018, using the modified retrospective method. The primary impact of the new guidance was a change in the timing of revenue recognition on certain long-term contracts. The new guidance does not change the total sales or operating income on the related customer contracts, only the timing of when sales and operating income are recognized. The Company uses the expected cost plus a margin approach and lease accounting literature for revenue recognition on customer contracts. The impact of the adoption for the twelve months ended April 30, 2019 was an increase of $118,000 to net loss. Further, as the Company’s adoption of the guidance decelerated the timing of revenue recognition on the Company’s contracts, the adoption resulted in an $118,000 increase in the Company’s remaining performance obligations, also referred to as backlog, as of April 30, 2019.</w:t>
      </w:r>
    </w:p>
    <w:p>
      <w:pPr>
        <w:spacing w:after="0" w:line="18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condensed statement of operations for the twelve months ended April 30,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Twelve months ended April 30, 2019</w:t>
            </w:r>
          </w:p>
        </w:tc>
        <w:tc>
          <w:tcPr>
            <w:tcW w:w="1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right"/>
              <w:ind w:right="777"/>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Effect of Adoption</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(13,271</w:t>
            </w:r>
          </w:p>
        </w:tc>
        <w:tc>
          <w:tcPr>
            <w:tcW w:w="360" w:type="dxa"/>
            <w:vAlign w:val="bottom"/>
            <w:tcBorders>
              <w:top w:val="single" w:sz="8" w:color="CCEEFF"/>
              <w:bottom w:val="single" w:sz="8" w:color="CCEEFF"/>
            </w:tcBorders>
          </w:tcPr>
          <w:p>
            <w:pPr>
              <w:jc w:val="right"/>
              <w:ind w:right="217"/>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(13,153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3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360" w:type="dxa"/>
            <w:vAlign w:val="bottom"/>
            <w:tcBorders>
              <w:bottom w:val="single" w:sz="8" w:color="CCEEFF"/>
            </w:tcBorders>
          </w:tcPr>
          <w:p>
            <w:pPr>
              <w:jc w:val="right"/>
              <w:ind w:right="217"/>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Weighted average shares used to compute basic and</w:t>
            </w:r>
          </w:p>
        </w:tc>
        <w:tc>
          <w:tcPr>
            <w:tcW w:w="300" w:type="dxa"/>
            <w:vAlign w:val="bottom"/>
            <w:shd w:val="clear" w:color="auto" w:fill="CCEEFF"/>
          </w:tcPr>
          <w:p>
            <w:pPr>
              <w:spacing w:after="0"/>
              <w:rPr>
                <w:sz w:val="13"/>
                <w:szCs w:val="13"/>
                <w:color w:val="auto"/>
              </w:rPr>
            </w:pPr>
          </w:p>
        </w:tc>
        <w:tc>
          <w:tcPr>
            <w:tcW w:w="2020" w:type="dxa"/>
            <w:vAlign w:val="bottom"/>
            <w:gridSpan w:val="2"/>
            <w:vMerge w:val="restart"/>
            <w:shd w:val="clear" w:color="auto" w:fill="CCEEFF"/>
          </w:tcPr>
          <w:p>
            <w:pPr>
              <w:jc w:val="right"/>
              <w:ind w:right="277"/>
              <w:spacing w:after="0"/>
              <w:rPr>
                <w:sz w:val="20"/>
                <w:szCs w:val="20"/>
                <w:color w:val="auto"/>
              </w:rPr>
            </w:pPr>
            <w:r>
              <w:rPr>
                <w:rFonts w:ascii="Arial" w:cs="Arial" w:eastAsia="Arial" w:hAnsi="Arial"/>
                <w:sz w:val="18"/>
                <w:szCs w:val="18"/>
                <w:color w:val="auto"/>
              </w:rPr>
              <w:t>1,286,727</w:t>
            </w:r>
          </w:p>
        </w:tc>
        <w:tc>
          <w:tcPr>
            <w:tcW w:w="160" w:type="dxa"/>
            <w:vAlign w:val="bottom"/>
            <w:shd w:val="clear" w:color="auto" w:fill="CCEEFF"/>
          </w:tcPr>
          <w:p>
            <w:pPr>
              <w:spacing w:after="0"/>
              <w:rPr>
                <w:sz w:val="13"/>
                <w:szCs w:val="13"/>
                <w:color w:val="auto"/>
              </w:rPr>
            </w:pPr>
          </w:p>
        </w:tc>
        <w:tc>
          <w:tcPr>
            <w:tcW w:w="1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1,286,727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1,286,727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statement of comprehensive loss for the twelve months ended April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Twelve months ended April 30, 2019</w:t>
            </w:r>
          </w:p>
        </w:tc>
        <w:tc>
          <w:tcPr>
            <w:tcW w:w="1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right"/>
              <w:ind w:right="775"/>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Effect of Adoption</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(12,246)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0"/>
                <w:szCs w:val="20"/>
                <w:color w:val="auto"/>
              </w:rPr>
            </w:pPr>
          </w:p>
        </w:tc>
        <w:tc>
          <w:tcPr>
            <w:tcW w:w="2020" w:type="dxa"/>
            <w:vAlign w:val="bottom"/>
            <w:gridSpan w:val="2"/>
          </w:tcPr>
          <w:p>
            <w:pPr>
              <w:jc w:val="right"/>
              <w:ind w:right="215"/>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360" w:type="dxa"/>
            <w:vAlign w:val="bottom"/>
            <w:tcBorders>
              <w:top w:val="single" w:sz="8" w:color="CCEEFF"/>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consolidated balance sheet as of April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8"/>
              </w:rPr>
              <w:t>As of April 30, 2019</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Effect of Adoption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Contract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Contract liability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(209,784)</w:t>
            </w: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15,775</w:t>
            </w:r>
          </w:p>
        </w:tc>
        <w:tc>
          <w:tcPr>
            <w:tcW w:w="3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consolidated statement of cash flows for the twelve months ended April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Twelve months ended April 30, 2019</w:t>
            </w:r>
          </w:p>
        </w:tc>
        <w:tc>
          <w:tcPr>
            <w:tcW w:w="1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right"/>
              <w:ind w:right="775"/>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Effect of Adoption</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(12,246)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8"/>
                <w:szCs w:val="18"/>
                <w:color w:val="auto"/>
              </w:rPr>
            </w:pPr>
          </w:p>
        </w:tc>
        <w:tc>
          <w:tcPr>
            <w:tcW w:w="2020" w:type="dxa"/>
            <w:vAlign w:val="bottom"/>
            <w:gridSpan w:val="2"/>
          </w:tcPr>
          <w:p>
            <w:pPr>
              <w:jc w:val="right"/>
              <w:ind w:right="215"/>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w:t>
            </w:r>
          </w:p>
        </w:tc>
        <w:tc>
          <w:tcPr>
            <w:tcW w:w="3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(12,140</w:t>
            </w:r>
          </w:p>
        </w:tc>
        <w:tc>
          <w:tcPr>
            <w:tcW w:w="360" w:type="dxa"/>
            <w:vAlign w:val="bottom"/>
            <w:tcBorders>
              <w:top w:val="single" w:sz="8" w:color="CCEEFF"/>
              <w:bottom w:val="single" w:sz="8" w:color="CCEEFF"/>
            </w:tcBorders>
          </w:tcPr>
          <w:p>
            <w:pPr>
              <w:jc w:val="right"/>
              <w:ind w:right="215"/>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(12,140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Net increase in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915"/>
              <w:spacing w:after="0"/>
              <w:rPr>
                <w:sz w:val="20"/>
                <w:szCs w:val="20"/>
                <w:color w:val="auto"/>
              </w:rPr>
            </w:pPr>
            <w:r>
              <w:rPr>
                <w:rFonts w:ascii="Arial" w:cs="Arial" w:eastAsia="Arial" w:hAnsi="Arial"/>
                <w:sz w:val="18"/>
                <w:szCs w:val="18"/>
                <w:color w:val="auto"/>
              </w:rPr>
              <w:t>F-31</w:t>
            </w: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110" w:name="page111"/>
    <w:bookmarkEnd w:id="1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8089900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78638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78638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78638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8638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78638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ind w:left="2160"/>
              <w:spacing w:after="0"/>
              <w:rPr>
                <w:sz w:val="20"/>
                <w:szCs w:val="20"/>
                <w:color w:val="auto"/>
              </w:rPr>
            </w:pPr>
            <w:r>
              <w:rPr>
                <w:rFonts w:ascii="Arial" w:cs="Arial" w:eastAsia="Arial" w:hAnsi="Arial"/>
                <w:sz w:val="18"/>
                <w:szCs w:val="18"/>
                <w:b w:val="1"/>
                <w:bCs w:val="1"/>
                <w:color w:val="auto"/>
              </w:rPr>
              <w:t>EXHIBIT 21.1</w:t>
            </w:r>
          </w:p>
        </w:tc>
      </w:tr>
      <w:tr>
        <w:trPr>
          <w:trHeight w:val="453"/>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4"/>
                <w:szCs w:val="24"/>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18"/>
        </w:trPr>
        <w:tc>
          <w:tcPr>
            <w:tcW w:w="8120" w:type="dxa"/>
            <w:vAlign w:val="bottom"/>
            <w:gridSpan w:val="2"/>
          </w:tcPr>
          <w:p>
            <w:pPr>
              <w:spacing w:after="0"/>
              <w:rPr>
                <w:sz w:val="20"/>
                <w:szCs w:val="20"/>
                <w:color w:val="auto"/>
              </w:rPr>
            </w:pPr>
            <w:r>
              <w:rPr>
                <w:rFonts w:ascii="Arial" w:cs="Arial" w:eastAsia="Arial" w:hAnsi="Arial"/>
                <w:sz w:val="18"/>
                <w:szCs w:val="18"/>
                <w:color w:val="auto"/>
              </w:rPr>
              <w:t>Ocean Power Technologies Ltd</w:t>
            </w: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Ocean Power Technologies (Australasia) Pty Ltd</w:t>
            </w:r>
          </w:p>
        </w:tc>
        <w:tc>
          <w:tcPr>
            <w:tcW w:w="330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Reedsport OPT Wave Park LLC</w:t>
            </w: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Oregon Wave Energy Partners I, LLC</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Victorian Wave Partners Pty Ltd</w:t>
            </w:r>
          </w:p>
        </w:tc>
        <w:tc>
          <w:tcPr>
            <w:tcW w:w="330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439"/>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8" w:right="239" w:bottom="1440" w:gutter="0" w:footer="0" w:header="0"/>
        </w:sectPr>
      </w:pPr>
    </w:p>
    <w:bookmarkStart w:id="175" w:name="page176"/>
    <w:bookmarkEnd w:id="1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333-217209, No. 333-213519, No. 333-226820 and No. 333-230199) on Form S-1, registration statements (No. 333-208522, No. 333-214316, and No. 333-224436) on Form S-8, and the registration statement (No. 333-221867) on Form S-3 of Ocean Power Technologies, Inc. of our report dated July 22, 2019, with respect to the consolidated balance sheets of Ocean Power Technologies, Inc. and subsidiaries as of April 30, 2019 and 2018, the related consolidated statements of operations, comprehensive loss, stockholders’ equity, and cash flows for each of the years in the two-year period ended April 30, 2019, and the related notes, which report appears in the April 30, 2019 annual report on Form 10-K of Ocean Power Technologies, Inc.</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report dated July 22, 2019 contains an explanatory paragraph that states that the Company’s cash balance, recurring losses from operations, and accumulated deficit raise substantial doubt about the Company’s ability to continue as a going concern, as discussed in Note 1(b) to the consolidated financial statements. The consolidated financial statements do not include any adjustments that might result from the outcome of that uncertainty.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report on the consolidated financial statements also refers to the Company’s adoption of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7" w:name="page178"/>
    <w:bookmarkEnd w:id="1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460" w:hanging="330"/>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80" w:hanging="326"/>
        <w:spacing w:after="0" w:line="264"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80" w:hanging="326"/>
        <w:spacing w:after="0" w:line="264"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80" w:hanging="326"/>
        <w:spacing w:after="0" w:line="308" w:lineRule="auto"/>
        <w:tabs>
          <w:tab w:leader="none" w:pos="7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80" w:hanging="326"/>
        <w:spacing w:after="0" w:line="264"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330"/>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rFonts w:ascii="Arial" w:cs="Arial" w:eastAsia="Arial" w:hAnsi="Arial"/>
          <w:sz w:val="17"/>
          <w:szCs w:val="17"/>
          <w:color w:val="auto"/>
        </w:rPr>
      </w:pPr>
    </w:p>
    <w:p>
      <w:pPr>
        <w:ind w:left="780" w:hanging="326"/>
        <w:spacing w:after="0" w:line="277"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80" w:hanging="326"/>
        <w:spacing w:after="0" w:line="277"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9" w:name="page180"/>
    <w:bookmarkEnd w:id="1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460" w:hanging="330"/>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80" w:hanging="326"/>
        <w:spacing w:after="0" w:line="264"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80" w:hanging="326"/>
        <w:spacing w:after="0" w:line="264"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80" w:hanging="326"/>
        <w:spacing w:after="0" w:line="308" w:lineRule="auto"/>
        <w:tabs>
          <w:tab w:leader="none" w:pos="7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80" w:hanging="326"/>
        <w:spacing w:after="0" w:line="264"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330"/>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rFonts w:ascii="Arial" w:cs="Arial" w:eastAsia="Arial" w:hAnsi="Arial"/>
          <w:sz w:val="17"/>
          <w:szCs w:val="17"/>
          <w:color w:val="auto"/>
        </w:rPr>
      </w:pPr>
    </w:p>
    <w:p>
      <w:pPr>
        <w:ind w:left="780" w:hanging="326"/>
        <w:spacing w:after="0" w:line="277"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80" w:hanging="326"/>
        <w:spacing w:after="0" w:line="277" w:lineRule="auto"/>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1" w:name="page182"/>
    <w:bookmarkEnd w:id="1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2019 as filed with the Securities and Exchange Commission on the date hereof (the “Report”), the undersigned, George H. Kirby III, Chief Executive Officer of the Company, hereby certifies, pursuant to 18 U.S.C. Section 1350, that:</w:t>
      </w:r>
    </w:p>
    <w:p>
      <w:pPr>
        <w:spacing w:after="0" w:line="18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2019</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83" w:name="page184"/>
    <w:bookmarkEnd w:id="1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2019 as filed with the Securities and Exchange Commission on the date hereof (the “Report”), the undersigned, Matthew T. Shafer, Chief Financial Officer of the Company, hereby certifies, pursuant to 18 U.S.C. Section 1350, that:</w:t>
      </w:r>
    </w:p>
    <w:p>
      <w:pPr>
        <w:spacing w:after="0" w:line="18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2019</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upperLetter"/>
      <w:start w:val="24"/>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decimal"/>
      <w:start w:val="10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lvl w:ilvl="1">
      <w:lvlJc w:val="left"/>
      <w:lvlText w:val="(%2)"/>
      <w:numFmt w:val="lowerLetter"/>
      <w:start w:val="1"/>
    </w:lvl>
  </w:abstractNum>
  <w:abstractNum w:abstractNumId="43">
    <w:nsid w:val="38437FDB"/>
    <w:multiLevelType w:val="hybridMultilevel"/>
    <w:lvl w:ilvl="0">
      <w:lvlJc w:val="left"/>
      <w:lvlText w:val="(%1)"/>
      <w:numFmt w:val="decimal"/>
      <w:start w:val="2"/>
    </w:lvl>
    <w:lvl w:ilvl="1">
      <w:lvlJc w:val="left"/>
      <w:lvlText w:val="(%2)"/>
      <w:numFmt w:val="lowerLetter"/>
      <w:start w:val="1"/>
    </w:lvl>
  </w:abstractNum>
  <w:abstractNum w:abstractNumId="44">
    <w:nsid w:val="7644A45C"/>
    <w:multiLevelType w:val="hybridMultilevel"/>
    <w:lvl w:ilvl="0">
      <w:lvlJc w:val="left"/>
      <w:lvlText w:val="(%1)"/>
      <w:numFmt w:val="decimal"/>
      <w:start w:val="1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decimal"/>
      <w:start w:val="14"/>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6"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97" Type="http://schemas.openxmlformats.org/officeDocument/2006/relationships/hyperlink" Target="http://www.sec.gov/Archives/edgar/data/1378140/000095012307012637/y39497exv3w1.txt" TargetMode="External"/><Relationship Id="rId98" Type="http://schemas.openxmlformats.org/officeDocument/2006/relationships/hyperlink" Target="http://www.sec.gov/Archives/edgar/data/1378140/000143774915018957/ex3-1.htm" TargetMode="External"/><Relationship Id="rId99" Type="http://schemas.openxmlformats.org/officeDocument/2006/relationships/hyperlink" Target="http://www.sec.gov/Archives/edgar/data/1378140/000143774916034324/ex3-2.htm" TargetMode="External"/><Relationship Id="rId100" Type="http://schemas.openxmlformats.org/officeDocument/2006/relationships/hyperlink" Target="http://www.sec.gov/Archives/edgar/data/1378140/000143774916040048/ex3-1.htm" TargetMode="External"/><Relationship Id="rId101" Type="http://schemas.openxmlformats.org/officeDocument/2006/relationships/hyperlink" Target="http://www.sec.gov/Archives/edgar/data/1378140/000149315218017201/ex3-1.htm" TargetMode="External"/><Relationship Id="rId102" Type="http://schemas.openxmlformats.org/officeDocument/2006/relationships/hyperlink" Target="http://www.sec.gov/Archives/edgar/data/1378140/000095012307004036/y25790a2exv4w1.htm" TargetMode="External"/><Relationship Id="rId103" Type="http://schemas.openxmlformats.org/officeDocument/2006/relationships/hyperlink" Target="http://www.sec.gov/Archives/edgar/data/1378140/000143774916033412/ex4-1.htm" TargetMode="External"/><Relationship Id="rId104" Type="http://schemas.openxmlformats.org/officeDocument/2006/relationships/hyperlink" Target="http://www.sec.gov/Archives/edgar/data/1378140/000095012306013892/y25790exv10w4.txt" TargetMode="External"/><Relationship Id="rId105" Type="http://schemas.openxmlformats.org/officeDocument/2006/relationships/hyperlink" Target="http://www.sec.gov/Archives/edgar/data/1378140/000143774913011400/optt20130826_def14a.htm" TargetMode="External"/><Relationship Id="rId106" Type="http://schemas.openxmlformats.org/officeDocument/2006/relationships/hyperlink" Target="http://www.sec.gov/Archives/edgar/data/1378140/000095012307004036/y25790a2exv10w18.txt" TargetMode="External"/><Relationship Id="rId107" Type="http://schemas.openxmlformats.org/officeDocument/2006/relationships/hyperlink" Target="http://www.sec.gov/Archives/edgar/data/1378140/000095012311025230/c14079exv10w1.htm" TargetMode="External"/><Relationship Id="rId108" Type="http://schemas.openxmlformats.org/officeDocument/2006/relationships/hyperlink" Target="http://www.sec.gov/Archives/edgar/data/1378140/000143774913008763/optt20130701_10kex10-23.htm" TargetMode="External"/><Relationship Id="rId109" Type="http://schemas.openxmlformats.org/officeDocument/2006/relationships/hyperlink" Target="http://www.sec.gov/Archives/edgar/data/1378140/000143774915004705/ex10-1.htm" TargetMode="External"/><Relationship Id="rId110" Type="http://schemas.openxmlformats.org/officeDocument/2006/relationships/hyperlink" Target="http://www.sec.gov/Archives/edgar/data/1378140/000143774916033194/ex99-2.htm" TargetMode="External"/><Relationship Id="rId111" Type="http://schemas.openxmlformats.org/officeDocument/2006/relationships/hyperlink" Target="http://www.sec.gov/Archives/edgar/data/1378140/000143774916033194/ex99-3.htm" TargetMode="External"/><Relationship Id="rId112" Type="http://schemas.openxmlformats.org/officeDocument/2006/relationships/hyperlink" Target="http://www.sec.gov/Archives/edgar/data/1378140/000143774916033412/ex99-4.htm" TargetMode="External"/><Relationship Id="rId113" Type="http://schemas.openxmlformats.org/officeDocument/2006/relationships/hyperlink" Target="http://www.sec.gov/Archives/edgar/data/1378140/000143774915016806/optt20150901_def14a.htm" TargetMode="External"/><Relationship Id="rId114" Type="http://schemas.openxmlformats.org/officeDocument/2006/relationships/hyperlink" Target="http://www.sec.gov/Archives/edgar/data/1378140/000143774916031489/ex10-1.htm" TargetMode="External"/><Relationship Id="rId115" Type="http://schemas.openxmlformats.org/officeDocument/2006/relationships/hyperlink" Target="http://www.sec.gov/Archives/edgar/data/1378140/000143774916033355/ex10-1.htm" TargetMode="External"/><Relationship Id="rId117" Type="http://schemas.openxmlformats.org/officeDocument/2006/relationships/hyperlink" Target="http://www.sec.gov/Archives/edgar/data/1378140/000143774916035442/ex99-2.htm" TargetMode="External"/><Relationship Id="rId118" Type="http://schemas.openxmlformats.org/officeDocument/2006/relationships/hyperlink" Target="http://www.sec.gov/Archives/edgar/data/1378140/000143774916035503/ex1-1.htm" TargetMode="External"/><Relationship Id="rId119" Type="http://schemas.openxmlformats.org/officeDocument/2006/relationships/hyperlink" Target="http://www.sec.gov/Archives/edgar/data/1378140/000143774916035503/ex10-1.htm" TargetMode="External"/><Relationship Id="rId120" Type="http://schemas.openxmlformats.org/officeDocument/2006/relationships/hyperlink" Target="http://www.sec.gov/Archives/edgar/data/1378140/000143774916038184/ex10-1.htm" TargetMode="External"/><Relationship Id="rId121" Type="http://schemas.openxmlformats.org/officeDocument/2006/relationships/hyperlink" Target="http://www.sec.gov/Archives/edgar/data/1378140/000143774916038184/ex10-3.htm" TargetMode="External"/><Relationship Id="rId122" Type="http://schemas.openxmlformats.org/officeDocument/2006/relationships/hyperlink" Target="http://www.sec.gov/Archives/edgar/data/1378140/000143774916038184/ex10-4.htm" TargetMode="External"/><Relationship Id="rId123" Type="http://schemas.openxmlformats.org/officeDocument/2006/relationships/hyperlink" Target="http://www.sec.gov/Archives/edgar/data/1378140/000143774916038184/ex10-5.htm" TargetMode="External"/><Relationship Id="rId124" Type="http://schemas.openxmlformats.org/officeDocument/2006/relationships/hyperlink" Target="http://www.sec.gov/Archives/edgar/data/1378140/000143774916038671/ex10-1.htm" TargetMode="External"/><Relationship Id="rId125" Type="http://schemas.openxmlformats.org/officeDocument/2006/relationships/hyperlink" Target="http://www.sec.gov/Archives/edgar/data/1378140/000149315218000778/ex10-1.htm" TargetMode="External"/><Relationship Id="rId126" Type="http://schemas.openxmlformats.org/officeDocument/2006/relationships/hyperlink" Target="http://www.sec.gov/Archives/edgar/data/1378140/000149315218000778/ex10-2.htm" TargetMode="External"/><Relationship Id="rId127" Type="http://schemas.openxmlformats.org/officeDocument/2006/relationships/hyperlink" Target="http://www.sec.gov/Archives/edgar/data/1378140/000149315218003541/ex10-1.htm" TargetMode="External"/><Relationship Id="rId128" Type="http://schemas.openxmlformats.org/officeDocument/2006/relationships/hyperlink" Target="http://www.sec.gov/Archives/edgar/data/1378140/000149315218010086/ex10-27.htm" TargetMode="External"/><Relationship Id="rId129" Type="http://schemas.openxmlformats.org/officeDocument/2006/relationships/hyperlink" Target="http://www.sec.gov/Archives/edgar/data/1378140/000149315218010119/ex10-2.htm" TargetMode="External"/><Relationship Id="rId130" Type="http://schemas.openxmlformats.org/officeDocument/2006/relationships/hyperlink" Target="http://www.sec.gov/Archives/edgar/data/1378140/000149315218011541/ex10-1.htm" TargetMode="External"/><Relationship Id="rId131" Type="http://schemas.openxmlformats.org/officeDocument/2006/relationships/hyperlink" Target="http://www.sec.gov/Archives/edgar/data/1378140/000149315218011541/ex4-1.htm" TargetMode="External"/><Relationship Id="rId132" Type="http://schemas.openxmlformats.org/officeDocument/2006/relationships/hyperlink" Target="http://www.sec.gov/Archives/edgar/data/1378140/000149315219000240/ex10-1.htm" TargetMode="External"/><Relationship Id="rId133" Type="http://schemas.openxmlformats.org/officeDocument/2006/relationships/hyperlink" Target="http://www.sec.gov/Archives/edgar/data/1378140/000149315219003082/ex10-2.htm" TargetMode="External"/><Relationship Id="rId134" Type="http://schemas.openxmlformats.org/officeDocument/2006/relationships/hyperlink" Target="http://www.sec.gov/Archives/edgar/data/1378140/000149315219004836/ex4-7.htm" TargetMode="External"/><Relationship Id="rId135" Type="http://schemas.openxmlformats.org/officeDocument/2006/relationships/hyperlink" Target="http://www.sec.gov/Archives/edgar/data/1378140/000149315219004956/ex4-2.htm" TargetMode="External"/><Relationship Id="rId136" Type="http://schemas.openxmlformats.org/officeDocument/2006/relationships/hyperlink" Target="http://www.sec.gov/Archives/edgar/data/1378140/000149315219004956/ex4-3.htm" TargetMode="External"/><Relationship Id="rId137" Type="http://schemas.openxmlformats.org/officeDocument/2006/relationships/hyperlink" Target="http://www.sec.gov/Archives/edgar/data/1378140/000149315219005032/ex4-1.htm" TargetMode="External"/><Relationship Id="rId138" Type="http://schemas.openxmlformats.org/officeDocument/2006/relationships/hyperlink" Target="http://www.sec.gov/Archives/edgar/data/1378140/00014931521900970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2019-12-28T10:09:27Z</dcterms:created>
  <dcterms:modified xsi:type="dcterms:W3CDTF">2019-12-28T10:09:27Z</dcterms:modified>
</cp:coreProperties>
</file>