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7_edei--DocumentType_c20240501__20"/>
      <w:bookmarkEnd w:id="2"/>
      <w:r>
        <w:rPr>
          <w:rFonts w:ascii="Times New Roman;Times;Serif" w:hAnsi="Times New Roman;Times;Serif"/>
          <w:b/>
          <w:i w:val="false"/>
          <w:caps w:val="false"/>
          <w:smallCaps w:val="false"/>
          <w:sz w:val="36"/>
        </w:rPr>
        <w:t>10-Q</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0_edei--DocumentQuarterlyReport_c2"/>
            <w:bookmarkEnd w:id="3"/>
            <w:r>
              <w:rPr>
                <w:caps w:val="false"/>
                <w:smallCaps w:val="false"/>
              </w:rPr>
              <w:t>☒</w:t>
            </w:r>
          </w:p>
        </w:tc>
        <w:tc>
          <w:tcPr>
            <w:tcW w:w="98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E_edei--DocumentPeriodEndDate_c202"/>
      <w:bookmarkEnd w:id="4"/>
      <w:r>
        <w:rPr>
          <w:rFonts w:ascii="Times New Roman;Times;Serif" w:hAnsi="Times New Roman;Times;Serif"/>
          <w:b/>
          <w:i w:val="false"/>
          <w:caps w:val="false"/>
          <w:smallCaps w:val="false"/>
          <w:sz w:val="20"/>
        </w:rPr>
        <w:t>January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caps w:val="false"/>
                <w:smallCaps w:val="false"/>
              </w:rPr>
            </w:pPr>
            <w:bookmarkStart w:id="5" w:name="xdx_90A_edei--DocumentTransitionReport_c"/>
            <w:bookmarkEnd w:id="5"/>
            <w:r>
              <w:rPr>
                <w:caps w:val="false"/>
                <w:smallCaps w:val="false"/>
              </w:rPr>
              <w:t>☐</w:t>
            </w:r>
          </w:p>
        </w:tc>
        <w:tc>
          <w:tcPr>
            <w:tcW w:w="98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______to______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6" w:name="xdx_90B_edei--EntityFileNumber_c20240501"/>
      <w:bookmarkEnd w:id="6"/>
      <w:r>
        <w:rPr>
          <w:rFonts w:ascii="Times New Roman;Times;Serif" w:hAnsi="Times New Roman;Times;Serif"/>
          <w:b/>
          <w:i w:val="false"/>
          <w:caps w:val="false"/>
          <w:smallCaps w:val="false"/>
          <w:sz w:val="20"/>
        </w:rPr>
        <w:t>001-33417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7" w:name="xdx_909_edei--EntityRegistrantName_c2024"/>
      <w:bookmarkEnd w:id="7"/>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615"/>
        <w:gridCol w:w="60"/>
        <w:gridCol w:w="1550"/>
      </w:tblGrid>
      <w:tr>
        <w:trPr/>
        <w:tc>
          <w:tcPr>
            <w:tcW w:w="26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6_edei--EntityIncorporationStateCo"/>
            <w:bookmarkEnd w:id="8"/>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C_edei--EntityTaxIdentificationNum"/>
            <w:bookmarkEnd w:id="9"/>
            <w:r>
              <w:rPr>
                <w:rFonts w:ascii="Times New Roman;Times;Serif" w:hAnsi="Times New Roman;Times;Serif"/>
                <w:b/>
                <w:i w:val="false"/>
                <w:caps w:val="false"/>
                <w:smallCaps w:val="false"/>
                <w:sz w:val="20"/>
              </w:rPr>
              <w:t>22-2535818</w:t>
            </w:r>
          </w:p>
        </w:tc>
      </w:tr>
      <w:tr>
        <w:trPr/>
        <w:tc>
          <w:tcPr>
            <w:tcW w:w="2615"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0" w:type="dxa"/>
            <w:tcBorders/>
            <w:vAlign w:val="center"/>
          </w:tcPr>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AddressLine1_"/>
      <w:bookmarkEnd w:id="10"/>
      <w:r>
        <w:rPr>
          <w:rFonts w:ascii="Times New Roman;Times;Serif" w:hAnsi="Times New Roman;Times;Serif"/>
          <w:b/>
          <w:i w:val="false"/>
          <w:caps w:val="false"/>
          <w:smallCaps w:val="false"/>
          <w:sz w:val="20"/>
        </w:rPr>
        <w:t xml:space="preserve">28 ENGELHARD DRIVE, </w:t>
      </w:r>
      <w:bookmarkStart w:id="11" w:name="xdx_90D_edei--EntityAddressAddressLine2_"/>
      <w:bookmarkEnd w:id="11"/>
      <w:r>
        <w:rPr>
          <w:rFonts w:ascii="Times New Roman;Times;Serif" w:hAnsi="Times New Roman;Times;Serif"/>
          <w:b/>
          <w:i w:val="false"/>
          <w:caps w:val="false"/>
          <w:smallCaps w:val="false"/>
          <w:sz w:val="20"/>
        </w:rPr>
        <w:t xml:space="preserve">SUITE B, </w:t>
      </w:r>
      <w:bookmarkStart w:id="12" w:name="xdx_909_edei--EntityAddressCityOrTown_c2"/>
      <w:bookmarkEnd w:id="12"/>
      <w:r>
        <w:rPr>
          <w:rFonts w:ascii="Times New Roman;Times;Serif" w:hAnsi="Times New Roman;Times;Serif"/>
          <w:b/>
          <w:i w:val="false"/>
          <w:caps w:val="false"/>
          <w:smallCaps w:val="false"/>
          <w:sz w:val="20"/>
        </w:rPr>
        <w:t xml:space="preserve">MONROE TOWNSHIP, </w:t>
      </w:r>
      <w:bookmarkStart w:id="13" w:name="xdx_903_edei--EntityAddressStateOrProvin"/>
      <w:bookmarkEnd w:id="13"/>
      <w:r>
        <w:rPr>
          <w:rFonts w:ascii="Times New Roman;Times;Serif" w:hAnsi="Times New Roman;Times;Serif"/>
          <w:b/>
          <w:i w:val="false"/>
          <w:caps w:val="false"/>
          <w:smallCaps w:val="false"/>
          <w:sz w:val="20"/>
        </w:rPr>
        <w:t xml:space="preserve">NJ </w:t>
      </w:r>
      <w:bookmarkStart w:id="14" w:name="xdx_903_edei--EntityAddressPostalZipCode"/>
      <w:bookmarkEnd w:id="14"/>
      <w:r>
        <w:rPr>
          <w:rFonts w:ascii="Times New Roman;Times;Serif" w:hAnsi="Times New Roman;Times;Serif"/>
          <w:b/>
          <w:i w:val="false"/>
          <w:caps w:val="false"/>
          <w:smallCaps w:val="false"/>
          <w:sz w:val="20"/>
        </w:rPr>
        <w:t>08831</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C_edei--CityAreaCode_c20240501__20"/>
      <w:bookmarkEnd w:id="15"/>
      <w:r>
        <w:rPr>
          <w:rFonts w:ascii="Times New Roman;Times;Serif" w:hAnsi="Times New Roman;Times;Serif"/>
          <w:b/>
          <w:i w:val="false"/>
          <w:caps w:val="false"/>
          <w:smallCaps w:val="false"/>
          <w:sz w:val="20"/>
        </w:rPr>
        <w:t xml:space="preserve">(609) </w:t>
      </w:r>
      <w:bookmarkStart w:id="16" w:name="xdx_90A_edei--LocalPhoneNumber_c20240501"/>
      <w:bookmarkEnd w:id="16"/>
      <w:r>
        <w:rPr>
          <w:rFonts w:ascii="Times New Roman;Times;Serif" w:hAnsi="Times New Roman;Times;Serif"/>
          <w:b/>
          <w:i w:val="false"/>
          <w:caps w:val="false"/>
          <w:smallCaps w:val="false"/>
          <w:sz w:val="20"/>
        </w:rPr>
        <w:t>730-0400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565" w:type="dxa"/>
        <w:jc w:val="left"/>
        <w:tblInd w:w="0" w:type="dxa"/>
        <w:tblLayout w:type="fixed"/>
        <w:tblCellMar>
          <w:top w:w="0" w:type="dxa"/>
          <w:left w:w="0" w:type="dxa"/>
          <w:bottom w:w="28" w:type="dxa"/>
          <w:right w:w="0" w:type="dxa"/>
        </w:tblCellMar>
      </w:tblPr>
      <w:tblGrid>
        <w:gridCol w:w="3320"/>
        <w:gridCol w:w="60"/>
        <w:gridCol w:w="1535"/>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A_edei--Security12bTitle_c20240501"/>
            <w:bookmarkEnd w:id="17"/>
            <w:r>
              <w:rPr>
                <w:rFonts w:ascii="Times New Roman;Times;Serif" w:hAnsi="Times New Roman;Times;Serif"/>
                <w:b w:val="false"/>
                <w:i w:val="false"/>
                <w:caps w:val="false"/>
                <w:smallCaps w:val="false"/>
                <w:sz w:val="20"/>
              </w:rPr>
              <w:t>Common Stock $0.001 par value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4_edei--TradingSymbol_c20240501__2"/>
            <w:bookmarkEnd w:id="18"/>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ExchangeName_c2024"/>
            <w:bookmarkEnd w:id="19"/>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Security12bTitle_c20240501"/>
            <w:bookmarkEnd w:id="20"/>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NoTradingSymbolFlag_dbT_c2"/>
            <w:bookmarkEnd w:id="21"/>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8_edei--SecurityExchangeName_c2024"/>
            <w:bookmarkEnd w:id="22"/>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3" w:name="xdx_90B_edei--EntityCurrentReportingStat"/>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4" w:name="xdx_904_edei--EntityInteractiveDataCurre"/>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both"/>
        <w:rPr>
          <w:caps w:val="false"/>
          <w:smallCaps w:val="false"/>
        </w:rPr>
      </w:pPr>
      <w:r>
        <w:rPr>
          <w:caps w:val="false"/>
          <w:smallCaps w:val="false"/>
        </w:rPr>
        <w:t> </w:t>
      </w:r>
    </w:p>
    <w:tbl>
      <w:tblPr>
        <w:tblW w:w="8450" w:type="dxa"/>
        <w:jc w:val="left"/>
        <w:tblInd w:w="0" w:type="dxa"/>
        <w:tblLayout w:type="fixed"/>
        <w:tblCellMar>
          <w:top w:w="0" w:type="dxa"/>
          <w:left w:w="0" w:type="dxa"/>
          <w:bottom w:w="0" w:type="dxa"/>
          <w:right w:w="0" w:type="dxa"/>
        </w:tblCellMar>
      </w:tblPr>
      <w:tblGrid>
        <w:gridCol w:w="2465"/>
        <w:gridCol w:w="1580"/>
        <w:gridCol w:w="1940"/>
        <w:gridCol w:w="2465"/>
      </w:tblGrid>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5" w:name="xdx_909_edei--EntityFilerCategory_c20240"/>
            <w:bookmarkEnd w:id="25"/>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6" w:name="xdx_908_edei--EntitySmallBusiness_c20240"/>
            <w:bookmarkEnd w:id="26"/>
            <w:r>
              <w:rPr>
                <w:rFonts w:ascii="Times New Roman;Times;Serif" w:hAnsi="Times New Roman;Times;Serif"/>
                <w:b w:val="false"/>
                <w:i w:val="false"/>
                <w:caps w:val="false"/>
                <w:smallCaps w:val="false"/>
                <w:sz w:val="20"/>
              </w:rPr>
              <w:t>☒</w:t>
            </w:r>
          </w:p>
        </w:tc>
      </w:tr>
      <w:tr>
        <w:trPr/>
        <w:tc>
          <w:tcPr>
            <w:tcW w:w="2465"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1_edei--EntityEmergingGrowthCompan"/>
            <w:bookmarkEnd w:id="27"/>
            <w:r>
              <w:rPr>
                <w:rFonts w:ascii="Times New Roman;Times;Serif" w:hAnsi="Times New Roman;Times;Serif"/>
                <w:b w:val="false"/>
                <w:i w:val="false"/>
                <w:caps w:val="false"/>
                <w:smallCaps w:val="false"/>
                <w:sz w:val="20"/>
              </w:rPr>
              <w:t>☐</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8" w:name="xdx_904_edei--EntityShellCompany_dbF_c20"/>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14, 2025, the number of outstanding shares of common stock of the registrant was </w:t>
      </w:r>
      <w:bookmarkStart w:id="29" w:name="xdx_903_edei--EntityCommonStockSharesOut"/>
      <w:bookmarkEnd w:id="29"/>
      <w:r>
        <w:rPr>
          <w:rFonts w:ascii="Times New Roman;Times;Serif" w:hAnsi="Times New Roman;Times;Serif"/>
          <w:b w:val="false"/>
          <w:i w:val="false"/>
          <w:caps w:val="false"/>
          <w:smallCaps w:val="false"/>
          <w:sz w:val="20"/>
        </w:rPr>
        <w:t>170,050,563.</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toc_001"/>
      <w:bookmarkEnd w:id="30"/>
      <w:r>
        <w:rPr>
          <w:rFonts w:ascii="Times New Roman;Times;Serif" w:hAnsi="Times New Roman;Times;Serif"/>
          <w:b/>
          <w:i w:val="false"/>
          <w:caps w:val="false"/>
          <w:smallCaps w:val="false"/>
          <w:sz w:val="20"/>
        </w:rPr>
        <w:t>INDEX TO FORM 10-Q</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80"/>
        <w:gridCol w:w="725"/>
      </w:tblGrid>
      <w:tr>
        <w:trPr/>
        <w:tc>
          <w:tcPr>
            <w:tcW w:w="9480" w:type="dxa"/>
            <w:tcBorders/>
            <w:vAlign w:val="center"/>
          </w:tcPr>
          <w:p>
            <w:pPr>
              <w:pStyle w:val="TableContents"/>
              <w:bidi w:val="0"/>
              <w:spacing w:before="0" w:after="283"/>
              <w:jc w:val="left"/>
              <w:rPr>
                <w:caps w:val="false"/>
                <w:smallCaps w:val="false"/>
              </w:rPr>
            </w:pPr>
            <w:r>
              <w:rPr>
                <w:caps w:val="false"/>
                <w:smallCaps w:val="false"/>
              </w:rPr>
              <w:t> </w:t>
            </w:r>
          </w:p>
        </w:tc>
        <w:tc>
          <w:tcPr>
            <w:tcW w:w="725"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r>
      <w:tr>
        <w:trPr/>
        <w:tc>
          <w:tcPr>
            <w:tcW w:w="9480" w:type="dxa"/>
            <w:tcBorders/>
            <w:shd w:fill="CCEEFF" w:val="clear"/>
            <w:vAlign w:val="center"/>
          </w:tcPr>
          <w:p>
            <w:pPr>
              <w:pStyle w:val="TableContents"/>
              <w:bidi w:val="0"/>
              <w:spacing w:before="0" w:after="283"/>
              <w:jc w:val="left"/>
              <w:rPr/>
            </w:pPr>
            <w:hyperlink w:anchor="toc_001">
              <w:r>
                <w:rPr>
                  <w:rStyle w:val="InternetLink"/>
                  <w:rFonts w:ascii="Times New Roman;Times;Serif" w:hAnsi="Times New Roman;Times;Serif"/>
                  <w:b/>
                  <w:i w:val="false"/>
                  <w:caps w:val="false"/>
                  <w:smallCaps w:val="false"/>
                  <w:sz w:val="20"/>
                </w:rPr>
                <w:t>PART I — FINANCIAL INFORMATION</w:t>
              </w:r>
            </w:hyperlink>
          </w:p>
        </w:tc>
        <w:tc>
          <w:tcPr>
            <w:tcW w:w="72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48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1. Financial Statements:</w:t>
              </w:r>
            </w:hyperlink>
          </w:p>
        </w:tc>
        <w:tc>
          <w:tcPr>
            <w:tcW w:w="7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48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Consolidated Balance Sheets as of January 31, 2025 (unaudited) and April 30, 2024</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48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Unaudited Consolidated Statements of Operations for the three and nine months ended January 31, 2025 and 2024</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48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Unaudited Consolidated Statements of Comprehensive Loss for the three and nine months ended January 31, 2025 and 2024</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48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Unaudited Consolidated Statement of Shareholders’ Equity for the three and nine months ended January 31, 2025 and 2024</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48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Unaudited Consolidated Statements of Cash Flows for the nine months ended January 31, 2025 and 2024</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48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Notes to Unaudited Consolidated Financial Statements</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48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48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48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Item 4. Controls and Procedures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48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i w:val="false"/>
                  <w:caps w:val="false"/>
                  <w:smallCaps w:val="false"/>
                  <w:sz w:val="20"/>
                </w:rPr>
                <w:t>PART II — OTHER INFORMATION</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48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1. Legal Proceedings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48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1A. Risk Factors</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48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480" w:type="dxa"/>
            <w:tcBorders/>
            <w:shd w:fill="FFFF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3. Defaults Upon Senior Securities</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48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Item 4. Mine Safety Disclosures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480" w:type="dxa"/>
            <w:tcBorders/>
            <w:shd w:fill="FFFF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Item 5. Other Information</w:t>
              </w:r>
            </w:hyperlink>
          </w:p>
        </w:tc>
        <w:tc>
          <w:tcPr>
            <w:tcW w:w="7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948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Item 6. Exhibits</w:t>
              </w:r>
            </w:hyperlink>
          </w:p>
        </w:tc>
        <w:tc>
          <w:tcPr>
            <w:tcW w:w="7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01"/>
      <w:bookmarkEnd w:id="31"/>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 w:name="a_002"/>
      <w:bookmarkEnd w:id="32"/>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a_003"/>
      <w:bookmarkEnd w:id="33"/>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data)</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4" w:name="xdx_30D_111_pn3n3_zeyYstyAXtta"/>
      <w:bookmarkStart w:id="35" w:name="xdx_30D_111_pn3n3_zeyYstyAXtta"/>
      <w:bookmarkEnd w:id="35"/>
    </w:p>
    <w:tbl>
      <w:tblPr>
        <w:tblW w:w="10205" w:type="dxa"/>
        <w:jc w:val="left"/>
        <w:tblInd w:w="0" w:type="dxa"/>
        <w:tblLayout w:type="fixed"/>
        <w:tblCellMar>
          <w:top w:w="0" w:type="dxa"/>
          <w:left w:w="0" w:type="dxa"/>
          <w:bottom w:w="0" w:type="dxa"/>
          <w:right w:w="0" w:type="dxa"/>
        </w:tblCellMar>
      </w:tblPr>
      <w:tblGrid>
        <w:gridCol w:w="7417"/>
        <w:gridCol w:w="60"/>
        <w:gridCol w:w="220"/>
        <w:gridCol w:w="1084"/>
        <w:gridCol w:w="95"/>
        <w:gridCol w:w="60"/>
        <w:gridCol w:w="159"/>
        <w:gridCol w:w="997"/>
        <w:gridCol w:w="113"/>
      </w:tblGrid>
      <w:tr>
        <w:trPr/>
        <w:tc>
          <w:tcPr>
            <w:tcW w:w="74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6" w:name="xdx_49A_20250131_zGvk7R2PL5Jl"/>
            <w:bookmarkEnd w:id="36"/>
          </w:p>
        </w:tc>
        <w:tc>
          <w:tcPr>
            <w:tcW w:w="13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 w:name="xdx_492_20240430_zFicsbmjcRR4"/>
            <w:bookmarkEnd w:id="37"/>
          </w:p>
        </w:tc>
        <w:tc>
          <w:tcPr>
            <w:tcW w:w="11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 2024</w:t>
            </w:r>
          </w:p>
        </w:tc>
        <w:tc>
          <w:tcPr>
            <w:tcW w:w="113" w:type="dxa"/>
            <w:tcBorders/>
            <w:vAlign w:val="center"/>
          </w:tcPr>
          <w:p>
            <w:pPr>
              <w:pStyle w:val="TableContents"/>
              <w:bidi w:val="0"/>
              <w:spacing w:before="0" w:after="283"/>
              <w:jc w:val="left"/>
              <w:rPr/>
            </w:pPr>
            <w:r>
              <w:rPr/>
              <w:t> </w:t>
            </w:r>
          </w:p>
        </w:tc>
      </w:tr>
      <w:tr>
        <w:trPr/>
        <w:tc>
          <w:tcPr>
            <w:tcW w:w="741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0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6"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bookmarkStart w:id="38" w:name="xdx_407_eus-gaap--AssetsAbstract_iB_zXAO"/>
            <w:bookmarkEnd w:id="38"/>
          </w:p>
        </w:tc>
      </w:tr>
      <w:tr>
        <w:trPr/>
        <w:tc>
          <w:tcPr>
            <w:tcW w:w="7417"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9" w:name="xdx_409_eus-gaap--AssetsCurrentAbstract_"/>
            <w:bookmarkEnd w:id="39"/>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assets: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0" w:name="xdx_40C_eus-gaap--CashAndCashEquivalents"/>
            <w:bookmarkEnd w:id="40"/>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w:t>
            </w:r>
          </w:p>
        </w:tc>
        <w:tc>
          <w:tcPr>
            <w:tcW w:w="113" w:type="dxa"/>
            <w:tcBorders/>
            <w:shd w:fill="CCEEFF" w:val="clear"/>
            <w:vAlign w:val="center"/>
          </w:tcPr>
          <w:p>
            <w:pPr>
              <w:pStyle w:val="TableContents"/>
              <w:bidi w:val="0"/>
              <w:spacing w:before="0" w:after="283"/>
              <w:jc w:val="left"/>
              <w:rPr/>
            </w:pPr>
            <w:r>
              <w:rPr/>
              <w:t> </w:t>
            </w:r>
            <w:bookmarkStart w:id="41" w:name="xdx_400_eus-gaap--AccountsReceivableNetC"/>
            <w:bookmarkEnd w:id="41"/>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 net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796</w:t>
            </w:r>
          </w:p>
        </w:tc>
        <w:tc>
          <w:tcPr>
            <w:tcW w:w="113" w:type="dxa"/>
            <w:tcBorders/>
            <w:shd w:fill="FFFFFF" w:val="clear"/>
            <w:vAlign w:val="center"/>
          </w:tcPr>
          <w:p>
            <w:pPr>
              <w:pStyle w:val="TableContents"/>
              <w:bidi w:val="0"/>
              <w:spacing w:before="0" w:after="283"/>
              <w:jc w:val="left"/>
              <w:rPr/>
            </w:pPr>
            <w:r>
              <w:rPr/>
              <w:t> </w:t>
            </w:r>
            <w:bookmarkStart w:id="42" w:name="xdx_406_eus-gaap--ContractWithCustomerAs"/>
            <w:bookmarkEnd w:id="42"/>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assets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113" w:type="dxa"/>
            <w:tcBorders/>
            <w:shd w:fill="CCEEFF" w:val="clear"/>
            <w:vAlign w:val="center"/>
          </w:tcPr>
          <w:p>
            <w:pPr>
              <w:pStyle w:val="TableContents"/>
              <w:bidi w:val="0"/>
              <w:spacing w:before="0" w:after="283"/>
              <w:jc w:val="left"/>
              <w:rPr/>
            </w:pPr>
            <w:r>
              <w:rPr/>
              <w:t> </w:t>
            </w:r>
            <w:bookmarkStart w:id="43" w:name="xdx_40A_eus-gaap--InventoryNet_i02I_maCz"/>
            <w:bookmarkEnd w:id="43"/>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4,831</w:t>
            </w:r>
          </w:p>
        </w:tc>
        <w:tc>
          <w:tcPr>
            <w:tcW w:w="113" w:type="dxa"/>
            <w:tcBorders/>
            <w:shd w:fill="FFFFFF" w:val="clear"/>
            <w:vAlign w:val="center"/>
          </w:tcPr>
          <w:p>
            <w:pPr>
              <w:pStyle w:val="TableContents"/>
              <w:bidi w:val="0"/>
              <w:spacing w:before="0" w:after="283"/>
              <w:jc w:val="left"/>
              <w:rPr/>
            </w:pPr>
            <w:r>
              <w:rPr/>
              <w:t> </w:t>
            </w:r>
            <w:bookmarkStart w:id="44" w:name="xdx_40A_eus-gaap--OtherAssetsCurrent_i02"/>
            <w:bookmarkEnd w:id="44"/>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current assets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1,747</w:t>
            </w:r>
          </w:p>
        </w:tc>
        <w:tc>
          <w:tcPr>
            <w:tcW w:w="113" w:type="dxa"/>
            <w:tcBorders/>
            <w:shd w:fill="CCEEFF" w:val="clear"/>
            <w:vAlign w:val="center"/>
          </w:tcPr>
          <w:p>
            <w:pPr>
              <w:pStyle w:val="TableContents"/>
              <w:bidi w:val="0"/>
              <w:spacing w:before="0" w:after="283"/>
              <w:jc w:val="left"/>
              <w:rPr/>
            </w:pPr>
            <w:r>
              <w:rPr/>
              <w:t> </w:t>
            </w:r>
            <w:bookmarkStart w:id="45" w:name="xdx_40B_eus-gaap--AssetsCurrent_i02TI_mt"/>
            <w:bookmarkEnd w:id="45"/>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assets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10,543</w:t>
            </w:r>
          </w:p>
        </w:tc>
        <w:tc>
          <w:tcPr>
            <w:tcW w:w="113" w:type="dxa"/>
            <w:tcBorders/>
            <w:shd w:fill="FFFFFF" w:val="clear"/>
            <w:vAlign w:val="center"/>
          </w:tcPr>
          <w:p>
            <w:pPr>
              <w:pStyle w:val="TableContents"/>
              <w:bidi w:val="0"/>
              <w:spacing w:before="0" w:after="283"/>
              <w:jc w:val="left"/>
              <w:rPr/>
            </w:pPr>
            <w:r>
              <w:rPr/>
              <w:t> </w:t>
            </w:r>
            <w:bookmarkStart w:id="46" w:name="xdx_40E_eus-gaap--PropertyPlantAndEquipm"/>
            <w:bookmarkEnd w:id="46"/>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Property and equipment, net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3,443</w:t>
            </w:r>
          </w:p>
        </w:tc>
        <w:tc>
          <w:tcPr>
            <w:tcW w:w="113" w:type="dxa"/>
            <w:tcBorders/>
            <w:shd w:fill="CCEEFF" w:val="clear"/>
            <w:vAlign w:val="center"/>
          </w:tcPr>
          <w:p>
            <w:pPr>
              <w:pStyle w:val="TableContents"/>
              <w:bidi w:val="0"/>
              <w:spacing w:before="0" w:after="283"/>
              <w:jc w:val="left"/>
              <w:rPr/>
            </w:pPr>
            <w:r>
              <w:rPr/>
              <w:t> </w:t>
            </w:r>
            <w:bookmarkStart w:id="47" w:name="xdx_40A_eus-gaap--IntangibleAssetsNetExc"/>
            <w:bookmarkEnd w:id="47"/>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Intangibles, net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3,622</w:t>
            </w:r>
          </w:p>
        </w:tc>
        <w:tc>
          <w:tcPr>
            <w:tcW w:w="113" w:type="dxa"/>
            <w:tcBorders/>
            <w:shd w:fill="FFFFFF" w:val="clear"/>
            <w:vAlign w:val="center"/>
          </w:tcPr>
          <w:p>
            <w:pPr>
              <w:pStyle w:val="TableContents"/>
              <w:bidi w:val="0"/>
              <w:spacing w:before="0" w:after="283"/>
              <w:jc w:val="left"/>
              <w:rPr/>
            </w:pPr>
            <w:r>
              <w:rPr/>
              <w:t> </w:t>
            </w:r>
            <w:bookmarkStart w:id="48" w:name="xdx_40A_eus-gaap--OperatingLeaseRightOfU"/>
            <w:bookmarkEnd w:id="48"/>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assets, net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2,405</w:t>
            </w:r>
          </w:p>
        </w:tc>
        <w:tc>
          <w:tcPr>
            <w:tcW w:w="113" w:type="dxa"/>
            <w:tcBorders/>
            <w:shd w:fill="CCEEFF" w:val="clear"/>
            <w:vAlign w:val="center"/>
          </w:tcPr>
          <w:p>
            <w:pPr>
              <w:pStyle w:val="TableContents"/>
              <w:bidi w:val="0"/>
              <w:spacing w:before="0" w:after="283"/>
              <w:jc w:val="left"/>
              <w:rPr/>
            </w:pPr>
            <w:r>
              <w:rPr/>
              <w:t> </w:t>
            </w:r>
            <w:bookmarkStart w:id="49" w:name="xdx_40F_eus-gaap--RestrictedCashNoncurre"/>
            <w:bookmarkEnd w:id="49"/>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long-term</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113" w:type="dxa"/>
            <w:tcBorders/>
            <w:shd w:fill="FFFFFF" w:val="clear"/>
            <w:vAlign w:val="center"/>
          </w:tcPr>
          <w:p>
            <w:pPr>
              <w:pStyle w:val="TableContents"/>
              <w:bidi w:val="0"/>
              <w:spacing w:before="0" w:after="283"/>
              <w:jc w:val="left"/>
              <w:rPr/>
            </w:pPr>
            <w:r>
              <w:rPr/>
              <w:t> </w:t>
            </w:r>
            <w:bookmarkStart w:id="50" w:name="xdx_407_eus-gaap--Goodwill_i01I_maCz1tN_"/>
            <w:bookmarkEnd w:id="50"/>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Goodwill</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8,537</w:t>
            </w:r>
          </w:p>
        </w:tc>
        <w:tc>
          <w:tcPr>
            <w:tcW w:w="113" w:type="dxa"/>
            <w:tcBorders/>
            <w:shd w:fill="CCEEFF" w:val="clear"/>
            <w:vAlign w:val="center"/>
          </w:tcPr>
          <w:p>
            <w:pPr>
              <w:pStyle w:val="TableContents"/>
              <w:bidi w:val="0"/>
              <w:spacing w:before="0" w:after="283"/>
              <w:jc w:val="left"/>
              <w:rPr/>
            </w:pPr>
            <w:r>
              <w:rPr/>
              <w:t> </w:t>
            </w:r>
            <w:bookmarkStart w:id="51" w:name="xdx_406_eus-gaap--Assets_i01TI_mtCz1tN_z"/>
            <w:bookmarkEnd w:id="51"/>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28,704</w:t>
            </w:r>
          </w:p>
        </w:tc>
        <w:tc>
          <w:tcPr>
            <w:tcW w:w="113" w:type="dxa"/>
            <w:tcBorders/>
            <w:shd w:fill="FFFFFF" w:val="clear"/>
            <w:vAlign w:val="center"/>
          </w:tcPr>
          <w:p>
            <w:pPr>
              <w:pStyle w:val="TableContents"/>
              <w:bidi w:val="0"/>
              <w:spacing w:before="0" w:after="283"/>
              <w:jc w:val="left"/>
              <w:rPr/>
            </w:pPr>
            <w:r>
              <w:rPr/>
              <w:t> </w:t>
            </w:r>
            <w:bookmarkStart w:id="52" w:name="xdx_40C_eus-gaap--LiabilitiesAndStockhol"/>
            <w:bookmarkEnd w:id="52"/>
          </w:p>
        </w:tc>
      </w:tr>
      <w:tr>
        <w:trPr/>
        <w:tc>
          <w:tcPr>
            <w:tcW w:w="7417"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3" w:name="xdx_407_eus-gaap--LiabilitiesCurrentAbst"/>
            <w:bookmarkEnd w:id="53"/>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Current liabilities: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4" w:name="xdx_40B_eus-gaap--AccountsPayableCurrent"/>
            <w:bookmarkEnd w:id="54"/>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3,366</w:t>
            </w:r>
          </w:p>
        </w:tc>
        <w:tc>
          <w:tcPr>
            <w:tcW w:w="113" w:type="dxa"/>
            <w:tcBorders/>
            <w:shd w:fill="CCEEFF" w:val="clear"/>
            <w:vAlign w:val="center"/>
          </w:tcPr>
          <w:p>
            <w:pPr>
              <w:pStyle w:val="TableContents"/>
              <w:bidi w:val="0"/>
              <w:spacing w:before="0" w:after="283"/>
              <w:jc w:val="left"/>
              <w:rPr/>
            </w:pPr>
            <w:r>
              <w:rPr/>
              <w:t> </w:t>
            </w:r>
            <w:bookmarkStart w:id="55" w:name="xdx_404_ecustom--EarnOutPayableCurrent_i"/>
            <w:bookmarkEnd w:id="55"/>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payable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1,130</w:t>
            </w:r>
          </w:p>
        </w:tc>
        <w:tc>
          <w:tcPr>
            <w:tcW w:w="113" w:type="dxa"/>
            <w:tcBorders/>
            <w:shd w:fill="FFFFFF" w:val="clear"/>
            <w:vAlign w:val="center"/>
          </w:tcPr>
          <w:p>
            <w:pPr>
              <w:pStyle w:val="TableContents"/>
              <w:bidi w:val="0"/>
              <w:spacing w:before="0" w:after="283"/>
              <w:jc w:val="left"/>
              <w:rPr/>
            </w:pPr>
            <w:r>
              <w:rPr/>
              <w:t> </w:t>
            </w:r>
            <w:bookmarkStart w:id="56" w:name="xdx_40C_eus-gaap--AccruedLiabilitiesCurr"/>
            <w:bookmarkEnd w:id="56"/>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w:t>
            </w:r>
          </w:p>
        </w:tc>
        <w:tc>
          <w:tcPr>
            <w:tcW w:w="113" w:type="dxa"/>
            <w:tcBorders/>
            <w:shd w:fill="CCEEFF" w:val="clear"/>
            <w:vAlign w:val="center"/>
          </w:tcPr>
          <w:p>
            <w:pPr>
              <w:pStyle w:val="TableContents"/>
              <w:bidi w:val="0"/>
              <w:spacing w:before="0" w:after="283"/>
              <w:jc w:val="left"/>
              <w:rPr/>
            </w:pPr>
            <w:r>
              <w:rPr/>
              <w:t> </w:t>
            </w:r>
            <w:bookmarkStart w:id="57" w:name="xdx_405_eus-gaap--OperatingLeaseLiabilit"/>
            <w:bookmarkEnd w:id="57"/>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liabilities, current portion</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774</w:t>
            </w:r>
          </w:p>
        </w:tc>
        <w:tc>
          <w:tcPr>
            <w:tcW w:w="113" w:type="dxa"/>
            <w:tcBorders/>
            <w:shd w:fill="FFFFFF" w:val="clear"/>
            <w:vAlign w:val="center"/>
          </w:tcPr>
          <w:p>
            <w:pPr>
              <w:pStyle w:val="TableContents"/>
              <w:bidi w:val="0"/>
              <w:spacing w:before="0" w:after="283"/>
              <w:jc w:val="left"/>
              <w:rPr/>
            </w:pPr>
            <w:r>
              <w:rPr/>
              <w:t> </w:t>
            </w:r>
            <w:bookmarkStart w:id="58" w:name="xdx_40D_eus-gaap--ContractWithCustomerLi"/>
            <w:bookmarkEnd w:id="58"/>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w:t>
            </w:r>
          </w:p>
        </w:tc>
        <w:tc>
          <w:tcPr>
            <w:tcW w:w="113" w:type="dxa"/>
            <w:tcBorders/>
            <w:shd w:fill="CCEEFF" w:val="clear"/>
            <w:vAlign w:val="center"/>
          </w:tcPr>
          <w:p>
            <w:pPr>
              <w:pStyle w:val="TableContents"/>
              <w:bidi w:val="0"/>
              <w:spacing w:before="0" w:after="283"/>
              <w:jc w:val="left"/>
              <w:rPr/>
            </w:pPr>
            <w:r>
              <w:rPr/>
              <w:t> </w:t>
            </w:r>
            <w:bookmarkStart w:id="59" w:name="xdx_406_eus-gaap--LiabilitiesCurrent_i02"/>
            <w:bookmarkEnd w:id="59"/>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current liabilities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7,359</w:t>
            </w:r>
          </w:p>
        </w:tc>
        <w:tc>
          <w:tcPr>
            <w:tcW w:w="113" w:type="dxa"/>
            <w:tcBorders/>
            <w:shd w:fill="FFFFFF" w:val="clear"/>
            <w:vAlign w:val="center"/>
          </w:tcPr>
          <w:p>
            <w:pPr>
              <w:pStyle w:val="TableContents"/>
              <w:bidi w:val="0"/>
              <w:spacing w:before="0" w:after="283"/>
              <w:jc w:val="left"/>
              <w:rPr/>
            </w:pPr>
            <w:r>
              <w:rPr/>
              <w:t> </w:t>
            </w:r>
            <w:bookmarkStart w:id="60" w:name="xdx_40A_eus-gaap--DeferredIncomeTaxLiabi"/>
            <w:bookmarkEnd w:id="60"/>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Deferred tax liability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203</w:t>
            </w:r>
          </w:p>
        </w:tc>
        <w:tc>
          <w:tcPr>
            <w:tcW w:w="113" w:type="dxa"/>
            <w:tcBorders/>
            <w:shd w:fill="CCEEFF" w:val="clear"/>
            <w:vAlign w:val="center"/>
          </w:tcPr>
          <w:p>
            <w:pPr>
              <w:pStyle w:val="TableContents"/>
              <w:bidi w:val="0"/>
              <w:spacing w:before="0" w:after="283"/>
              <w:jc w:val="left"/>
              <w:rPr/>
            </w:pPr>
            <w:r>
              <w:rPr/>
              <w:t> </w:t>
            </w:r>
            <w:bookmarkStart w:id="61" w:name="xdx_409_eus-gaap--OperatingLeaseLiabilit"/>
            <w:bookmarkEnd w:id="61"/>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liabilities, less current portion</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1,798</w:t>
            </w:r>
          </w:p>
        </w:tc>
        <w:tc>
          <w:tcPr>
            <w:tcW w:w="113" w:type="dxa"/>
            <w:tcBorders/>
            <w:shd w:fill="FFFFFF" w:val="clear"/>
            <w:vAlign w:val="center"/>
          </w:tcPr>
          <w:p>
            <w:pPr>
              <w:pStyle w:val="TableContents"/>
              <w:bidi w:val="0"/>
              <w:spacing w:before="0" w:after="283"/>
              <w:jc w:val="left"/>
              <w:rPr/>
            </w:pPr>
            <w:r>
              <w:rPr/>
              <w:t> </w:t>
            </w:r>
            <w:bookmarkStart w:id="62" w:name="xdx_400_eus-gaap--Liabilities_i01TI_mtCz"/>
            <w:bookmarkEnd w:id="62"/>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9,360</w:t>
            </w:r>
          </w:p>
        </w:tc>
        <w:tc>
          <w:tcPr>
            <w:tcW w:w="113" w:type="dxa"/>
            <w:tcBorders/>
            <w:shd w:fill="CCEEFF" w:val="clear"/>
            <w:vAlign w:val="center"/>
          </w:tcPr>
          <w:p>
            <w:pPr>
              <w:pStyle w:val="TableContents"/>
              <w:bidi w:val="0"/>
              <w:spacing w:before="0" w:after="283"/>
              <w:jc w:val="left"/>
              <w:rPr/>
            </w:pPr>
            <w:r>
              <w:rPr/>
              <w:t> </w:t>
            </w:r>
            <w:bookmarkStart w:id="63" w:name="xdx_405_eus-gaap--CommitmentsAndContinge"/>
            <w:bookmarkEnd w:id="63"/>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Commitments and contingencies (Note 14)</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113" w:type="dxa"/>
            <w:tcBorders/>
            <w:shd w:fill="FFFFFF" w:val="clear"/>
            <w:vAlign w:val="center"/>
          </w:tcPr>
          <w:p>
            <w:pPr>
              <w:pStyle w:val="TableContents"/>
              <w:bidi w:val="0"/>
              <w:spacing w:before="0" w:after="283"/>
              <w:jc w:val="left"/>
              <w:rPr/>
            </w:pPr>
            <w:r>
              <w:rPr/>
              <w:t> </w:t>
            </w:r>
            <w:bookmarkStart w:id="64" w:name="xdx_402_eus-gaap--StockholdersEquityAbst"/>
            <w:bookmarkEnd w:id="64"/>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Shareholders’ Equity: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5" w:name="xdx_40A_eus-gaap--PreferredStockValue_i0"/>
            <w:bookmarkEnd w:id="65"/>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Preferred stock, $</w:t>
            </w:r>
            <w:bookmarkStart w:id="66" w:name="xdx_90A_eus-gaap--PreferredStockParOrSta"/>
            <w:bookmarkStart w:id="67" w:name="xdx_901_eus-gaap--PreferredStockParOrSta"/>
            <w:bookmarkEnd w:id="66"/>
            <w:bookmarkEnd w:id="67"/>
            <w:r>
              <w:rPr>
                <w:rFonts w:ascii="Times New Roman;Times;Serif" w:hAnsi="Times New Roman;Times;Serif"/>
              </w:rPr>
              <w:t xml:space="preserve">0.001 par value; authorized </w:t>
            </w:r>
            <w:bookmarkStart w:id="68" w:name="xdx_90E_eus-gaap--PreferredStockSharesAu"/>
            <w:bookmarkStart w:id="69" w:name="xdx_901_eus-gaap--PreferredStockSharesAu"/>
            <w:bookmarkEnd w:id="68"/>
            <w:bookmarkEnd w:id="69"/>
            <w:r>
              <w:rPr>
                <w:rFonts w:ascii="Times New Roman;Times;Serif" w:hAnsi="Times New Roman;Times;Serif"/>
              </w:rPr>
              <w:t xml:space="preserve">5,000,000 shares, </w:t>
            </w:r>
            <w:bookmarkStart w:id="70" w:name="xdx_903_eus-gaap--PreferredStockSharesOu"/>
            <w:bookmarkStart w:id="71" w:name="xdx_90B_eus-gaap--PreferredStockSharesIs"/>
            <w:bookmarkStart w:id="72" w:name="xdx_905_eus-gaap--PreferredStockSharesOu"/>
            <w:bookmarkStart w:id="73" w:name="xdx_906_eus-gaap--PreferredStockSharesIs"/>
            <w:bookmarkEnd w:id="70"/>
            <w:bookmarkEnd w:id="71"/>
            <w:bookmarkEnd w:id="72"/>
            <w:bookmarkEnd w:id="73"/>
            <w:r>
              <w:rPr>
                <w:rFonts w:ascii="Times New Roman;Times;Serif" w:hAnsi="Times New Roman;Times;Serif"/>
              </w:rPr>
              <w:t xml:space="preserve">none issued or outstanding; </w:t>
            </w:r>
            <w:bookmarkStart w:id="74" w:name="xdx_904_eus-gaap--PreferredStockSharesAu"/>
            <w:bookmarkStart w:id="75" w:name="xdx_90C_eus-gaap--PreferredStockSharesAu"/>
            <w:bookmarkEnd w:id="74"/>
            <w:bookmarkEnd w:id="75"/>
            <w:r>
              <w:rPr>
                <w:rFonts w:ascii="Times New Roman;Times;Serif" w:hAnsi="Times New Roman;Times;Serif"/>
              </w:rPr>
              <w:t>100,000 designated as Series A</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76" w:name="xdx_40D_eus-gaap--CommonStockValue_i02I_"/>
            <w:bookmarkEnd w:id="76"/>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w:t>
            </w:r>
            <w:bookmarkStart w:id="77" w:name="xdx_904_eus-gaap--CommonStockParOrStated"/>
            <w:bookmarkStart w:id="78" w:name="xdx_904_eus-gaap--CommonStockParOrStated"/>
            <w:bookmarkEnd w:id="77"/>
            <w:bookmarkEnd w:id="78"/>
            <w:r>
              <w:rPr>
                <w:rFonts w:ascii="Times New Roman;Times;Serif" w:hAnsi="Times New Roman;Times;Serif"/>
              </w:rPr>
              <w:t xml:space="preserve">0.001 par value; authorized </w:t>
            </w:r>
            <w:bookmarkStart w:id="79" w:name="xdx_906_eus-gaap--CommonStockSharesAutho"/>
            <w:bookmarkStart w:id="80" w:name="xdx_905_eus-gaap--CommonStockSharesAutho"/>
            <w:bookmarkEnd w:id="79"/>
            <w:bookmarkEnd w:id="80"/>
            <w:r>
              <w:rPr>
                <w:rFonts w:ascii="Times New Roman;Times;Serif" w:hAnsi="Times New Roman;Times;Serif"/>
              </w:rPr>
              <w:t xml:space="preserve">200,000,000 shares, issued </w:t>
            </w:r>
            <w:bookmarkStart w:id="81" w:name="xdx_90E_eus-gaap--CommonStockSharesIssue"/>
            <w:bookmarkEnd w:id="81"/>
            <w:r>
              <w:rPr>
                <w:rFonts w:ascii="Times New Roman;Times;Serif" w:hAnsi="Times New Roman;Times;Serif"/>
              </w:rPr>
              <w:t xml:space="preserve">170,790,707 shares and </w:t>
            </w:r>
            <w:bookmarkStart w:id="82" w:name="xdx_906_eus-gaap--CommonStockSharesIssue"/>
            <w:bookmarkEnd w:id="82"/>
            <w:r>
              <w:rPr>
                <w:rFonts w:ascii="Times New Roman;Times;Serif" w:hAnsi="Times New Roman;Times;Serif"/>
              </w:rPr>
              <w:t xml:space="preserve">61,352,731 shares, respectively; outstanding </w:t>
            </w:r>
            <w:bookmarkStart w:id="83" w:name="xdx_90C_eus-gaap--CommonStockSharesOutst"/>
            <w:bookmarkEnd w:id="83"/>
            <w:r>
              <w:rPr>
                <w:rFonts w:ascii="Times New Roman;Times;Serif" w:hAnsi="Times New Roman;Times;Serif"/>
              </w:rPr>
              <w:t xml:space="preserve">170,003,230 shares and </w:t>
            </w:r>
            <w:bookmarkStart w:id="84" w:name="xdx_90A_eus-gaap--CommonStockSharesOutst"/>
            <w:bookmarkEnd w:id="84"/>
            <w:r>
              <w:rPr>
                <w:rFonts w:ascii="Times New Roman;Times;Serif" w:hAnsi="Times New Roman;Times;Serif"/>
              </w:rPr>
              <w:t>61,264,714 shares, respectively</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113" w:type="dxa"/>
            <w:tcBorders/>
            <w:shd w:fill="CCEEFF" w:val="clear"/>
            <w:vAlign w:val="center"/>
          </w:tcPr>
          <w:p>
            <w:pPr>
              <w:pStyle w:val="TableContents"/>
              <w:bidi w:val="0"/>
              <w:spacing w:before="0" w:after="283"/>
              <w:jc w:val="left"/>
              <w:rPr/>
            </w:pPr>
            <w:r>
              <w:rPr/>
              <w:t> </w:t>
            </w:r>
            <w:bookmarkStart w:id="85" w:name="xdx_406_eus-gaap--TreasuryStockValue_i02"/>
            <w:bookmarkEnd w:id="85"/>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Treasury stock, at cost; </w:t>
            </w:r>
            <w:bookmarkStart w:id="86" w:name="xdx_900_eus-gaap--TreasuryStockCommonSha"/>
            <w:bookmarkEnd w:id="86"/>
            <w:r>
              <w:rPr>
                <w:rFonts w:ascii="Times New Roman;Times;Serif" w:hAnsi="Times New Roman;Times;Serif"/>
              </w:rPr>
              <w:t xml:space="preserve">787,477 and </w:t>
            </w:r>
            <w:bookmarkStart w:id="87" w:name="xdx_904_eus-gaap--TreasuryStockCommonSha"/>
            <w:bookmarkEnd w:id="87"/>
            <w:r>
              <w:rPr>
                <w:rFonts w:ascii="Times New Roman;Times;Serif" w:hAnsi="Times New Roman;Times;Serif"/>
              </w:rPr>
              <w:t>88,017 shares, respectively</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88" w:name="xdx_40C_eus-gaap--AdditionalPaidInCapita"/>
            <w:bookmarkEnd w:id="88"/>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Additional paid-in capital</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99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327,276</w:t>
            </w:r>
          </w:p>
        </w:tc>
        <w:tc>
          <w:tcPr>
            <w:tcW w:w="113" w:type="dxa"/>
            <w:tcBorders/>
            <w:shd w:fill="CCEEFF" w:val="clear"/>
            <w:vAlign w:val="center"/>
          </w:tcPr>
          <w:p>
            <w:pPr>
              <w:pStyle w:val="TableContents"/>
              <w:bidi w:val="0"/>
              <w:spacing w:before="0" w:after="283"/>
              <w:jc w:val="left"/>
              <w:rPr/>
            </w:pPr>
            <w:r>
              <w:rPr/>
              <w:t> </w:t>
            </w:r>
            <w:bookmarkStart w:id="89" w:name="xdx_403_eus-gaap--RetainedEarningsAccumu"/>
            <w:bookmarkEnd w:id="89"/>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deficit</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(322,664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99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(307,579</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0" w:name="xdx_408_eus-gaap--AccumulatedOtherCompre"/>
            <w:bookmarkEnd w:id="90"/>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91" w:name="xdx_40C_eus-gaap--StockholdersEquity_i02"/>
            <w:bookmarkEnd w:id="91"/>
          </w:p>
        </w:tc>
      </w:tr>
      <w:tr>
        <w:trPr/>
        <w:tc>
          <w:tcPr>
            <w:tcW w:w="74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shareholders’ equity</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19,344</w:t>
            </w:r>
          </w:p>
        </w:tc>
        <w:tc>
          <w:tcPr>
            <w:tcW w:w="113" w:type="dxa"/>
            <w:tcBorders/>
            <w:shd w:fill="FFFFFF" w:val="clear"/>
            <w:vAlign w:val="center"/>
          </w:tcPr>
          <w:p>
            <w:pPr>
              <w:pStyle w:val="TableContents"/>
              <w:bidi w:val="0"/>
              <w:spacing w:before="0" w:after="283"/>
              <w:jc w:val="left"/>
              <w:rPr/>
            </w:pPr>
            <w:r>
              <w:rPr/>
              <w:t> </w:t>
            </w:r>
            <w:bookmarkStart w:id="92" w:name="xdx_402_eus-gaap--LiabilitiesAndStockhol"/>
            <w:bookmarkEnd w:id="92"/>
          </w:p>
        </w:tc>
      </w:tr>
      <w:tr>
        <w:trPr/>
        <w:tc>
          <w:tcPr>
            <w:tcW w:w="74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8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28,704</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3" w:name="a_004"/>
      <w:bookmarkEnd w:id="93"/>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per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4" w:name="xdx_30E_113_pn3n3_z8qjmTvwUQ25"/>
      <w:bookmarkStart w:id="95" w:name="xdx_30E_113_pn3n3_z8qjmTvwUQ25"/>
      <w:bookmarkEnd w:id="95"/>
    </w:p>
    <w:tbl>
      <w:tblPr>
        <w:tblW w:w="10205" w:type="dxa"/>
        <w:jc w:val="left"/>
        <w:tblInd w:w="0" w:type="dxa"/>
        <w:tblLayout w:type="fixed"/>
        <w:tblCellMar>
          <w:top w:w="0" w:type="dxa"/>
          <w:left w:w="0" w:type="dxa"/>
          <w:bottom w:w="0" w:type="dxa"/>
          <w:right w:w="0" w:type="dxa"/>
        </w:tblCellMar>
      </w:tblPr>
      <w:tblGrid>
        <w:gridCol w:w="3951"/>
        <w:gridCol w:w="60"/>
        <w:gridCol w:w="151"/>
        <w:gridCol w:w="1324"/>
        <w:gridCol w:w="103"/>
        <w:gridCol w:w="64"/>
        <w:gridCol w:w="151"/>
        <w:gridCol w:w="1193"/>
        <w:gridCol w:w="95"/>
        <w:gridCol w:w="60"/>
        <w:gridCol w:w="149"/>
        <w:gridCol w:w="1301"/>
        <w:gridCol w:w="101"/>
        <w:gridCol w:w="63"/>
        <w:gridCol w:w="149"/>
        <w:gridCol w:w="1173"/>
        <w:gridCol w:w="117"/>
      </w:tblGrid>
      <w:tr>
        <w:trPr/>
        <w:tc>
          <w:tcPr>
            <w:tcW w:w="39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6" w:name="xdx_49A_20241101__20250131_z39P9V3bQBIc"/>
            <w:bookmarkEnd w:id="96"/>
          </w:p>
        </w:tc>
        <w:tc>
          <w:tcPr>
            <w:tcW w:w="14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3"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bookmarkStart w:id="97" w:name="xdx_49C_20231101__20240131_zWwJNncn1MWj"/>
            <w:bookmarkEnd w:id="97"/>
          </w:p>
        </w:tc>
        <w:tc>
          <w:tcPr>
            <w:tcW w:w="13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8" w:name="xdx_49D_20240501__20250131_zYpCJkSTidWc"/>
            <w:bookmarkEnd w:id="98"/>
          </w:p>
        </w:tc>
        <w:tc>
          <w:tcPr>
            <w:tcW w:w="14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99" w:name="xdx_49B_20230501__20240131_z2ZnWaQ8ZmQ2"/>
            <w:bookmarkEnd w:id="99"/>
          </w:p>
        </w:tc>
        <w:tc>
          <w:tcPr>
            <w:tcW w:w="13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7" w:type="dxa"/>
            <w:tcBorders/>
            <w:vAlign w:val="center"/>
          </w:tcPr>
          <w:p>
            <w:pPr>
              <w:pStyle w:val="TableContents"/>
              <w:bidi w:val="0"/>
              <w:spacing w:before="0" w:after="283"/>
              <w:jc w:val="left"/>
              <w:rPr/>
            </w:pPr>
            <w:r>
              <w:rPr/>
              <w:t> </w:t>
            </w:r>
          </w:p>
        </w:tc>
      </w:tr>
      <w:tr>
        <w:trPr/>
        <w:tc>
          <w:tcPr>
            <w:tcW w:w="39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January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January 31,</w:t>
            </w:r>
          </w:p>
        </w:tc>
        <w:tc>
          <w:tcPr>
            <w:tcW w:w="117" w:type="dxa"/>
            <w:tcBorders/>
            <w:vAlign w:val="center"/>
          </w:tcPr>
          <w:p>
            <w:pPr>
              <w:pStyle w:val="TableContents"/>
              <w:bidi w:val="0"/>
              <w:spacing w:before="0" w:after="283"/>
              <w:jc w:val="left"/>
              <w:rPr/>
            </w:pPr>
            <w:r>
              <w:rPr/>
              <w:t> </w:t>
            </w:r>
          </w:p>
        </w:tc>
      </w:tr>
      <w:tr>
        <w:trPr/>
        <w:tc>
          <w:tcPr>
            <w:tcW w:w="395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3"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7" w:type="dxa"/>
            <w:tcBorders/>
            <w:vAlign w:val="center"/>
          </w:tcPr>
          <w:p>
            <w:pPr>
              <w:pStyle w:val="TableContents"/>
              <w:bidi w:val="0"/>
              <w:spacing w:before="0" w:after="283"/>
              <w:jc w:val="left"/>
              <w:rPr/>
            </w:pPr>
            <w:r>
              <w:rPr/>
              <w:t> </w:t>
            </w:r>
          </w:p>
        </w:tc>
      </w:tr>
      <w:tr>
        <w:trPr/>
        <w:tc>
          <w:tcPr>
            <w:tcW w:w="39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4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0" w:type="dxa"/>
            <w:gridSpan w:val="2"/>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bookmarkStart w:id="100" w:name="xdx_40E_eus-gaap--Revenues_maGPzwSO_zF9y"/>
            <w:bookmarkEnd w:id="100"/>
          </w:p>
        </w:tc>
      </w:tr>
      <w:tr>
        <w:trPr/>
        <w:tc>
          <w:tcPr>
            <w:tcW w:w="39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4,545</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3,953</w:t>
            </w:r>
          </w:p>
        </w:tc>
        <w:tc>
          <w:tcPr>
            <w:tcW w:w="117" w:type="dxa"/>
            <w:tcBorders/>
            <w:shd w:fill="CCEEFF" w:val="clear"/>
            <w:vAlign w:val="center"/>
          </w:tcPr>
          <w:p>
            <w:pPr>
              <w:pStyle w:val="TableContents"/>
              <w:bidi w:val="0"/>
              <w:spacing w:before="0" w:after="283"/>
              <w:jc w:val="left"/>
              <w:rPr/>
            </w:pPr>
            <w:r>
              <w:rPr/>
              <w:t> </w:t>
            </w:r>
            <w:bookmarkStart w:id="101" w:name="xdx_40B_eus-gaap--CostOfRevenue_msGPzwSO"/>
            <w:bookmarkEnd w:id="101"/>
          </w:p>
        </w:tc>
      </w:tr>
      <w:tr>
        <w:trPr/>
        <w:tc>
          <w:tcPr>
            <w:tcW w:w="39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3,106</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1,989</w:t>
            </w:r>
          </w:p>
        </w:tc>
        <w:tc>
          <w:tcPr>
            <w:tcW w:w="117" w:type="dxa"/>
            <w:tcBorders/>
            <w:shd w:fill="FFFFFF" w:val="clear"/>
            <w:vAlign w:val="center"/>
          </w:tcPr>
          <w:p>
            <w:pPr>
              <w:pStyle w:val="TableContents"/>
              <w:bidi w:val="0"/>
              <w:spacing w:before="0" w:after="283"/>
              <w:jc w:val="left"/>
              <w:rPr/>
            </w:pPr>
            <w:r>
              <w:rPr/>
              <w:t> </w:t>
            </w:r>
            <w:bookmarkStart w:id="102" w:name="xdx_402_eus-gaap--GrossProfit_iT_mtGPzwS"/>
            <w:bookmarkEnd w:id="102"/>
          </w:p>
        </w:tc>
      </w:tr>
      <w:tr>
        <w:trPr/>
        <w:tc>
          <w:tcPr>
            <w:tcW w:w="39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1,439</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1,964</w:t>
            </w:r>
          </w:p>
        </w:tc>
        <w:tc>
          <w:tcPr>
            <w:tcW w:w="117" w:type="dxa"/>
            <w:tcBorders/>
            <w:shd w:fill="CCEEFF" w:val="clear"/>
            <w:vAlign w:val="center"/>
          </w:tcPr>
          <w:p>
            <w:pPr>
              <w:pStyle w:val="TableContents"/>
              <w:bidi w:val="0"/>
              <w:spacing w:before="0" w:after="283"/>
              <w:jc w:val="left"/>
              <w:rPr/>
            </w:pPr>
            <w:r>
              <w:rPr/>
              <w:t> </w:t>
            </w:r>
          </w:p>
        </w:tc>
      </w:tr>
      <w:tr>
        <w:trPr/>
        <w:tc>
          <w:tcPr>
            <w:tcW w:w="39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03" w:name="xdx_408_eus-gaap--OperatingExpenses_msOI"/>
            <w:bookmarkEnd w:id="103"/>
          </w:p>
        </w:tc>
      </w:tr>
      <w:tr>
        <w:trPr/>
        <w:tc>
          <w:tcPr>
            <w:tcW w:w="39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6,072</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15,702</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24,648</w:t>
            </w:r>
          </w:p>
        </w:tc>
        <w:tc>
          <w:tcPr>
            <w:tcW w:w="117" w:type="dxa"/>
            <w:tcBorders/>
            <w:shd w:fill="CCEEFF" w:val="clear"/>
            <w:vAlign w:val="center"/>
          </w:tcPr>
          <w:p>
            <w:pPr>
              <w:pStyle w:val="TableContents"/>
              <w:bidi w:val="0"/>
              <w:spacing w:before="0" w:after="283"/>
              <w:jc w:val="left"/>
              <w:rPr/>
            </w:pPr>
            <w:r>
              <w:rPr/>
              <w:t> </w:t>
            </w:r>
            <w:bookmarkStart w:id="104" w:name="xdx_403_eus-gaap--BusinessCombinationCon"/>
            <w:bookmarkEnd w:id="104"/>
          </w:p>
        </w:tc>
      </w:tr>
      <w:tr>
        <w:trPr/>
        <w:tc>
          <w:tcPr>
            <w:tcW w:w="39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from change in fair value of consideration</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5" w:name="xdx_405_eus-gaap--OperatingIncomeLoss_iT"/>
            <w:bookmarkEnd w:id="105"/>
          </w:p>
        </w:tc>
      </w:tr>
      <w:tr>
        <w:trPr/>
        <w:tc>
          <w:tcPr>
            <w:tcW w:w="39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(5,875</w:t>
            </w:r>
          </w:p>
        </w:tc>
        <w:tc>
          <w:tcPr>
            <w:tcW w:w="1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(7,705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(14,263</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(22,567</w:t>
            </w:r>
          </w:p>
        </w:tc>
        <w:tc>
          <w:tcPr>
            <w:tcW w:w="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bookmarkStart w:id="106" w:name="xdx_405_eus-gaap--InterestIncomeExpenseN"/>
            <w:bookmarkEnd w:id="106"/>
          </w:p>
        </w:tc>
      </w:tr>
      <w:tr>
        <w:trPr/>
        <w:tc>
          <w:tcPr>
            <w:tcW w:w="39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 net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w:t>
            </w:r>
          </w:p>
        </w:tc>
        <w:tc>
          <w:tcPr>
            <w:tcW w:w="117" w:type="dxa"/>
            <w:tcBorders/>
            <w:shd w:fill="CCEEFF" w:val="clear"/>
            <w:vAlign w:val="center"/>
          </w:tcPr>
          <w:p>
            <w:pPr>
              <w:pStyle w:val="TableContents"/>
              <w:bidi w:val="0"/>
              <w:spacing w:before="0" w:after="283"/>
              <w:jc w:val="left"/>
              <w:rPr/>
            </w:pPr>
            <w:r>
              <w:rPr/>
              <w:t> </w:t>
            </w:r>
            <w:bookmarkStart w:id="107" w:name="xdx_40D_eus-gaap--OtherIncome_maILFCOzBU"/>
            <w:bookmarkEnd w:id="107"/>
          </w:p>
        </w:tc>
      </w:tr>
      <w:tr>
        <w:trPr/>
        <w:tc>
          <w:tcPr>
            <w:tcW w:w="39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bookmarkStart w:id="108" w:name="xdx_40A_eus-gaap--GainLossOnDispositionO"/>
            <w:bookmarkEnd w:id="108"/>
          </w:p>
        </w:tc>
      </w:tr>
      <w:tr>
        <w:trPr/>
        <w:tc>
          <w:tcPr>
            <w:tcW w:w="39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disposition of assets</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301"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09" w:name="xdx_403_eus-gaap--GainsLossesOnExtinguis"/>
            <w:bookmarkEnd w:id="109"/>
          </w:p>
        </w:tc>
      </w:tr>
      <w:tr>
        <w:trPr/>
        <w:tc>
          <w:tcPr>
            <w:tcW w:w="39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w:t>
            </w:r>
          </w:p>
        </w:tc>
        <w:tc>
          <w:tcPr>
            <w:tcW w:w="1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30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117" w:type="dxa"/>
            <w:tcBorders/>
            <w:shd w:fill="FFFFFF" w:val="clear"/>
            <w:vAlign w:val="center"/>
          </w:tcPr>
          <w:p>
            <w:pPr>
              <w:pStyle w:val="TableContents"/>
              <w:bidi w:val="0"/>
              <w:spacing w:before="0" w:after="283"/>
              <w:jc w:val="left"/>
              <w:rPr/>
            </w:pPr>
            <w:r>
              <w:rPr/>
              <w:t> </w:t>
            </w:r>
            <w:bookmarkStart w:id="110" w:name="xdx_40D_eus-gaap--ForeignCurrencyTransac"/>
            <w:bookmarkEnd w:id="110"/>
          </w:p>
        </w:tc>
      </w:tr>
      <w:tr>
        <w:trPr/>
        <w:tc>
          <w:tcPr>
            <w:tcW w:w="39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exchange gain (loss)</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7" w:type="dxa"/>
            <w:tcBorders/>
            <w:shd w:fill="CCEEFF" w:val="clear"/>
            <w:vAlign w:val="center"/>
          </w:tcPr>
          <w:p>
            <w:pPr>
              <w:pStyle w:val="TableContents"/>
              <w:bidi w:val="0"/>
              <w:spacing w:before="0" w:after="283"/>
              <w:jc w:val="left"/>
              <w:rPr/>
            </w:pPr>
            <w:r>
              <w:rPr/>
              <w:t> </w:t>
            </w:r>
            <w:bookmarkStart w:id="111" w:name="xdx_40D_eus-gaap--IncomeLossFromContinui"/>
            <w:bookmarkEnd w:id="111"/>
          </w:p>
        </w:tc>
      </w:tr>
      <w:tr>
        <w:trPr/>
        <w:tc>
          <w:tcPr>
            <w:tcW w:w="39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w:t>
            </w:r>
          </w:p>
        </w:tc>
        <w:tc>
          <w:tcPr>
            <w:tcW w:w="1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(15,085</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(22,015</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12" w:name="xdx_40B_eus-gaap--IncomeTaxExpenseBenefi"/>
            <w:bookmarkEnd w:id="112"/>
          </w:p>
        </w:tc>
      </w:tr>
      <w:tr>
        <w:trPr/>
        <w:tc>
          <w:tcPr>
            <w:tcW w:w="39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3"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1,254</w:t>
            </w:r>
          </w:p>
        </w:tc>
        <w:tc>
          <w:tcPr>
            <w:tcW w:w="117" w:type="dxa"/>
            <w:tcBorders/>
            <w:shd w:fill="CCEEFF" w:val="clear"/>
            <w:vAlign w:val="center"/>
          </w:tcPr>
          <w:p>
            <w:pPr>
              <w:pStyle w:val="TableContents"/>
              <w:bidi w:val="0"/>
              <w:spacing w:before="0" w:after="283"/>
              <w:jc w:val="left"/>
              <w:rPr/>
            </w:pPr>
            <w:r>
              <w:rPr/>
              <w:t> </w:t>
            </w:r>
            <w:bookmarkStart w:id="113" w:name="xdx_407_eus-gaap--NetIncomeLoss_iT_mtNIL"/>
            <w:bookmarkEnd w:id="113"/>
          </w:p>
        </w:tc>
      </w:tr>
      <w:tr>
        <w:trPr/>
        <w:tc>
          <w:tcPr>
            <w:tcW w:w="39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w:t>
            </w:r>
          </w:p>
        </w:tc>
        <w:tc>
          <w:tcPr>
            <w:tcW w:w="10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(15,085</w:t>
            </w:r>
          </w:p>
        </w:tc>
        <w:tc>
          <w:tcPr>
            <w:tcW w:w="10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(20,761</w:t>
            </w:r>
          </w:p>
        </w:tc>
        <w:tc>
          <w:tcPr>
            <w:tcW w:w="1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14" w:name="xdx_901_eus-gaap--EarningsPerShareDilute"/>
            <w:bookmarkStart w:id="115" w:name="xdx_904_eus-gaap--EarningsPerShareBasic_"/>
            <w:bookmarkEnd w:id="114"/>
            <w:bookmarkEnd w:id="115"/>
            <w:r>
              <w:rPr>
                <w:rFonts w:ascii="Times New Roman;Times;Serif" w:hAnsi="Times New Roman;Times;Serif"/>
              </w:rPr>
              <w:t>(0.04</w:t>
            </w:r>
          </w:p>
        </w:tc>
        <w:tc>
          <w:tcPr>
            <w:tcW w:w="10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4"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16" w:name="xdx_90B_eus-gaap--EarningsPerShareDilute"/>
            <w:bookmarkStart w:id="117" w:name="xdx_905_eus-gaap--EarningsPerShareBasic_"/>
            <w:bookmarkEnd w:id="116"/>
            <w:bookmarkEnd w:id="117"/>
            <w:r>
              <w:rPr>
                <w:rFonts w:ascii="Times New Roman;Times;Serif" w:hAnsi="Times New Roman;Times;Serif"/>
              </w:rPr>
              <w:t>(0.11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0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18" w:name="xdx_905_eus-gaap--EarningsPerShareDilute"/>
            <w:bookmarkStart w:id="119" w:name="xdx_907_eus-gaap--EarningsPerShareBasic_"/>
            <w:bookmarkEnd w:id="118"/>
            <w:bookmarkEnd w:id="119"/>
            <w:r>
              <w:rPr>
                <w:rFonts w:ascii="Times New Roman;Times;Serif" w:hAnsi="Times New Roman;Times;Serif"/>
              </w:rPr>
              <w:t>(0.13</w:t>
            </w:r>
          </w:p>
        </w:tc>
        <w:tc>
          <w:tcPr>
            <w:tcW w:w="1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3"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120" w:name="xdx_90C_eus-gaap--EarningsPerShareDilute"/>
            <w:bookmarkStart w:id="121" w:name="xdx_904_eus-gaap--EarningsPerShareBasic_"/>
            <w:bookmarkEnd w:id="120"/>
            <w:bookmarkEnd w:id="121"/>
            <w:r>
              <w:rPr>
                <w:rFonts w:ascii="Times New Roman;Times;Serif" w:hAnsi="Times New Roman;Times;Serif"/>
              </w:rPr>
              <w:t>(0.35</w:t>
            </w:r>
          </w:p>
        </w:tc>
        <w:tc>
          <w:tcPr>
            <w:tcW w:w="1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9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shares used to compute basic and diluted net loss per common share</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2" w:name="xdx_903_eus-gaap--WeightedAverageNumberO"/>
            <w:bookmarkStart w:id="123" w:name="xdx_901_eus-gaap--WeightedAverageNumberO"/>
            <w:bookmarkEnd w:id="122"/>
            <w:bookmarkEnd w:id="123"/>
            <w:r>
              <w:rPr>
                <w:rFonts w:ascii="Times New Roman;Times;Serif" w:hAnsi="Times New Roman;Times;Serif"/>
              </w:rPr>
              <w:t>147,543,452</w:t>
            </w:r>
          </w:p>
        </w:tc>
        <w:tc>
          <w:tcPr>
            <w:tcW w:w="10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4" w:name="xdx_90D_eus-gaap--WeightedAverageNumberO"/>
            <w:bookmarkStart w:id="125" w:name="xdx_905_eus-gaap--WeightedAverageNumberO"/>
            <w:bookmarkEnd w:id="124"/>
            <w:bookmarkEnd w:id="125"/>
            <w:r>
              <w:rPr>
                <w:rFonts w:ascii="Times New Roman;Times;Serif" w:hAnsi="Times New Roman;Times;Serif"/>
              </w:rPr>
              <w:t>58,865,898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6" w:name="xdx_90E_eus-gaap--WeightedAverageNumberO"/>
            <w:bookmarkStart w:id="127" w:name="xdx_906_eus-gaap--WeightedAverageNumberO"/>
            <w:bookmarkEnd w:id="126"/>
            <w:bookmarkEnd w:id="127"/>
            <w:r>
              <w:rPr>
                <w:rFonts w:ascii="Times New Roman;Times;Serif" w:hAnsi="Times New Roman;Times;Serif"/>
              </w:rPr>
              <w:t>112,630,443</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128" w:name="xdx_904_eus-gaap--WeightedAverageNumberO"/>
            <w:bookmarkStart w:id="129" w:name="xdx_903_eus-gaap--WeightedAverageNumberO"/>
            <w:bookmarkEnd w:id="128"/>
            <w:bookmarkEnd w:id="129"/>
            <w:r>
              <w:rPr>
                <w:rFonts w:ascii="Times New Roman;Times;Serif" w:hAnsi="Times New Roman;Times;Serif"/>
              </w:rPr>
              <w:t>58,790,160</w:t>
            </w:r>
          </w:p>
        </w:tc>
        <w:tc>
          <w:tcPr>
            <w:tcW w:w="11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0" w:name="a_005"/>
      <w:bookmarkEnd w:id="130"/>
      <w:r>
        <w:rPr>
          <w:rFonts w:ascii="Times New Roman;Times;Serif" w:hAnsi="Times New Roman;Times;Serif"/>
          <w:b/>
          <w:i w:val="false"/>
          <w:caps w:val="false"/>
          <w:smallCaps w:val="false"/>
          <w:sz w:val="20"/>
        </w:rPr>
        <w:t>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1" w:name="xdx_30B_113_pn3n3_zv0DeAnrmnT4"/>
      <w:bookmarkStart w:id="132" w:name="xdx_30B_113_pn3n3_zv0DeAnrmnT4"/>
      <w:bookmarkEnd w:id="132"/>
    </w:p>
    <w:tbl>
      <w:tblPr>
        <w:tblW w:w="10205" w:type="dxa"/>
        <w:jc w:val="left"/>
        <w:tblInd w:w="0" w:type="dxa"/>
        <w:tblLayout w:type="fixed"/>
        <w:tblCellMar>
          <w:top w:w="0" w:type="dxa"/>
          <w:left w:w="0" w:type="dxa"/>
          <w:bottom w:w="0" w:type="dxa"/>
          <w:right w:w="0" w:type="dxa"/>
        </w:tblCellMar>
      </w:tblPr>
      <w:tblGrid>
        <w:gridCol w:w="3535"/>
        <w:gridCol w:w="60"/>
        <w:gridCol w:w="263"/>
        <w:gridCol w:w="1200"/>
        <w:gridCol w:w="179"/>
        <w:gridCol w:w="113"/>
        <w:gridCol w:w="263"/>
        <w:gridCol w:w="1200"/>
        <w:gridCol w:w="95"/>
        <w:gridCol w:w="60"/>
        <w:gridCol w:w="224"/>
        <w:gridCol w:w="1213"/>
        <w:gridCol w:w="152"/>
        <w:gridCol w:w="95"/>
        <w:gridCol w:w="224"/>
        <w:gridCol w:w="1213"/>
        <w:gridCol w:w="116"/>
      </w:tblGrid>
      <w:tr>
        <w:trPr/>
        <w:tc>
          <w:tcPr>
            <w:tcW w:w="3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33" w:name="xdx_49D_20241101__20250131_zz6blSzefgJ8"/>
            <w:bookmarkEnd w:id="133"/>
          </w:p>
        </w:tc>
        <w:tc>
          <w:tcPr>
            <w:tcW w:w="14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9"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134" w:name="xdx_495_20231101__20240131_zkITw9mHJBE6"/>
            <w:bookmarkEnd w:id="134"/>
          </w:p>
        </w:tc>
        <w:tc>
          <w:tcPr>
            <w:tcW w:w="14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5" w:name="xdx_49B_20240501__20250131_zcc00Dw6owia"/>
            <w:bookmarkEnd w:id="135"/>
          </w:p>
        </w:tc>
        <w:tc>
          <w:tcPr>
            <w:tcW w:w="14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bookmarkStart w:id="136" w:name="xdx_494_20230501__20240131_zID5aJjoeRFi"/>
            <w:bookmarkEnd w:id="136"/>
          </w:p>
        </w:tc>
        <w:tc>
          <w:tcPr>
            <w:tcW w:w="14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6"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1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January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January 31,</w:t>
            </w:r>
          </w:p>
        </w:tc>
        <w:tc>
          <w:tcPr>
            <w:tcW w:w="116"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9"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6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6" w:type="dxa"/>
            <w:tcBorders/>
            <w:vAlign w:val="center"/>
          </w:tcPr>
          <w:p>
            <w:pPr>
              <w:pStyle w:val="TableContents"/>
              <w:bidi w:val="0"/>
              <w:spacing w:before="0" w:after="283"/>
              <w:jc w:val="left"/>
              <w:rPr/>
            </w:pPr>
            <w:r>
              <w:rPr/>
              <w:t> </w:t>
            </w:r>
          </w:p>
        </w:tc>
      </w:tr>
      <w:tr>
        <w:trPr/>
        <w:tc>
          <w:tcPr>
            <w:tcW w:w="3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3" w:type="dxa"/>
            <w:gridSpan w:val="2"/>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6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bookmarkStart w:id="137" w:name="xdx_40E_eus-gaap--NetIncomeLoss_maCzEpY_"/>
            <w:bookmarkEnd w:id="137"/>
          </w:p>
        </w:tc>
      </w:tr>
      <w:tr>
        <w:trPr/>
        <w:tc>
          <w:tcPr>
            <w:tcW w:w="35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(15,085</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(20,761</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38" w:name="xdx_40A_eus-gaap--OtherComprehensiveInco"/>
            <w:bookmarkEnd w:id="138"/>
          </w:p>
        </w:tc>
      </w:tr>
      <w:tr>
        <w:trPr/>
        <w:tc>
          <w:tcPr>
            <w:tcW w:w="35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79"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2"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139" w:name="xdx_409_eus-gaap--ComprehensiveIncomeNet"/>
            <w:bookmarkEnd w:id="139"/>
          </w:p>
        </w:tc>
      </w:tr>
      <w:tr>
        <w:trPr/>
        <w:tc>
          <w:tcPr>
            <w:tcW w:w="35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comprehensive loss</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w:t>
            </w:r>
          </w:p>
        </w:tc>
        <w:tc>
          <w:tcPr>
            <w:tcW w:w="17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(15,085</w:t>
            </w:r>
          </w:p>
        </w:tc>
        <w:tc>
          <w:tcPr>
            <w:tcW w:w="1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(20,761</w:t>
            </w:r>
          </w:p>
        </w:tc>
        <w:tc>
          <w:tcPr>
            <w:tcW w:w="11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0" w:name="a_006"/>
      <w:bookmarkEnd w:id="140"/>
      <w:r>
        <w:rPr>
          <w:rFonts w:ascii="Times New Roman;Times;Serif" w:hAnsi="Times New Roman;Times;Serif"/>
          <w:b/>
          <w:i w:val="false"/>
          <w:caps w:val="false"/>
          <w:smallCaps w:val="false"/>
          <w:sz w:val="20"/>
        </w:rPr>
        <w:t>Consolidated Statements of Shareholders’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 except share data)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41" w:name="xdx_308_114_pn3n3_zZYgvcrLJ8je"/>
      <w:bookmarkStart w:id="142" w:name="xdx_308_114_pn3n3_zZYgvcrLJ8je"/>
      <w:bookmarkEnd w:id="142"/>
    </w:p>
    <w:tbl>
      <w:tblPr>
        <w:tblW w:w="11845" w:type="dxa"/>
        <w:jc w:val="left"/>
        <w:tblInd w:w="0" w:type="dxa"/>
        <w:tblLayout w:type="fixed"/>
        <w:tblCellMar>
          <w:top w:w="0" w:type="dxa"/>
          <w:left w:w="0" w:type="dxa"/>
          <w:bottom w:w="0" w:type="dxa"/>
          <w:right w:w="0" w:type="dxa"/>
        </w:tblCellMar>
      </w:tblPr>
      <w:tblGrid>
        <w:gridCol w:w="1340"/>
        <w:gridCol w:w="60"/>
        <w:gridCol w:w="60"/>
        <w:gridCol w:w="1220"/>
        <w:gridCol w:w="60"/>
        <w:gridCol w:w="60"/>
        <w:gridCol w:w="231"/>
        <w:gridCol w:w="629"/>
        <w:gridCol w:w="60"/>
        <w:gridCol w:w="60"/>
        <w:gridCol w:w="60"/>
        <w:gridCol w:w="875"/>
        <w:gridCol w:w="95"/>
        <w:gridCol w:w="60"/>
        <w:gridCol w:w="155"/>
        <w:gridCol w:w="705"/>
        <w:gridCol w:w="95"/>
        <w:gridCol w:w="60"/>
        <w:gridCol w:w="163"/>
        <w:gridCol w:w="937"/>
        <w:gridCol w:w="60"/>
        <w:gridCol w:w="60"/>
        <w:gridCol w:w="188"/>
        <w:gridCol w:w="1182"/>
        <w:gridCol w:w="95"/>
        <w:gridCol w:w="60"/>
        <w:gridCol w:w="251"/>
        <w:gridCol w:w="1359"/>
        <w:gridCol w:w="95"/>
        <w:gridCol w:w="60"/>
        <w:gridCol w:w="209"/>
        <w:gridCol w:w="1131"/>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3" w:name="xdx_4B9_us-gaap--StatementEquityComponen"/>
            <w:bookmarkEnd w:id="143"/>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4" w:name="xdx_4B8_us-gaap--StatementEquityComponen"/>
            <w:bookmarkEnd w:id="144"/>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5" w:name="xdx_4B0_us-gaap--StatementEquityComponen"/>
            <w:bookmarkEnd w:id="145"/>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6" w:name="xdx_4B3_us-gaap--StatementEquityComponen"/>
            <w:bookmarkEnd w:id="146"/>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7" w:name="xdx_4B4_us-gaap--StatementEquityComponen"/>
            <w:bookmarkEnd w:id="147"/>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8" w:name="xdx_4BF_zgoYmHMsBWxd"/>
            <w:bookmarkEnd w:id="148"/>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45" w:type="dxa"/>
            <w:gridSpan w:val="31"/>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January 31, 2025</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49" w:name="xdx_431_c20240501__20250131_eus-gaap--St"/>
            <w:bookmarkEnd w:id="149"/>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May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0" w:name="xdx_98C_eus-gaap--SharesOutstanding_iS_p"/>
            <w:bookmarkEnd w:id="150"/>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61,352,731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1" w:name="xdx_98E_eus-gaap--TreasuryStockCommonSha"/>
            <w:bookmarkEnd w:id="151"/>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327,276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(307,579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9" w:type="dxa"/>
            <w:tcBorders/>
            <w:shd w:fill="CCEEFF" w:val="clear"/>
            <w:vAlign w:val="center"/>
          </w:tcPr>
          <w:p>
            <w:pPr>
              <w:pStyle w:val="TableContents"/>
              <w:bidi w:val="0"/>
              <w:spacing w:before="0" w:after="283"/>
              <w:jc w:val="right"/>
              <w:rPr/>
            </w:pPr>
            <w:r>
              <w:rPr/>
              <w:t>       </w:t>
            </w:r>
            <w:r>
              <w:rPr>
                <w:rFonts w:ascii="Times New Roman;Times;Serif" w:hAnsi="Times New Roman;Times;Serif"/>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19,344</w:t>
            </w:r>
          </w:p>
        </w:tc>
        <w:tc>
          <w:tcPr>
            <w:tcW w:w="110" w:type="dxa"/>
            <w:tcBorders/>
            <w:shd w:fill="CCEEFF" w:val="clear"/>
            <w:vAlign w:val="center"/>
          </w:tcPr>
          <w:p>
            <w:pPr>
              <w:pStyle w:val="TableContents"/>
              <w:bidi w:val="0"/>
              <w:spacing w:before="0" w:after="283"/>
              <w:jc w:val="left"/>
              <w:rPr/>
            </w:pPr>
            <w:r>
              <w:rPr/>
              <w:t> </w:t>
            </w:r>
            <w:bookmarkStart w:id="152" w:name="xdx_400_eus-gaap--NetIncomeLoss_zZyJlylW"/>
            <w:bookmarkEnd w:id="152"/>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53" w:name="xdx_403_eus-gaap--AdjustmentsToAdditiona"/>
            <w:bookmarkEnd w:id="153"/>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w:t>
            </w:r>
          </w:p>
        </w:tc>
        <w:tc>
          <w:tcPr>
            <w:tcW w:w="110" w:type="dxa"/>
            <w:tcBorders/>
            <w:shd w:fill="CCEEFF" w:val="clear"/>
            <w:vAlign w:val="center"/>
          </w:tcPr>
          <w:p>
            <w:pPr>
              <w:pStyle w:val="TableContents"/>
              <w:bidi w:val="0"/>
              <w:spacing w:before="0" w:after="283"/>
              <w:jc w:val="left"/>
              <w:rPr/>
            </w:pPr>
            <w:r>
              <w:rPr/>
              <w:t> </w:t>
            </w:r>
            <w:bookmarkStart w:id="154" w:name="xdx_407_eus-gaap--StockIssuedDuringPerio"/>
            <w:bookmarkEnd w:id="154"/>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related to bonus and earnout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5" w:name="xdx_98B_eus-gaap--StockIssuedDuringPerio"/>
            <w:bookmarkEnd w:id="155"/>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2,864,808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w:t>
            </w:r>
          </w:p>
        </w:tc>
        <w:tc>
          <w:tcPr>
            <w:tcW w:w="110" w:type="dxa"/>
            <w:tcBorders/>
            <w:shd w:fill="FFFFFF" w:val="clear"/>
            <w:vAlign w:val="center"/>
          </w:tcPr>
          <w:p>
            <w:pPr>
              <w:pStyle w:val="TableContents"/>
              <w:bidi w:val="0"/>
              <w:spacing w:before="0" w:after="283"/>
              <w:jc w:val="left"/>
              <w:rPr/>
            </w:pPr>
            <w:r>
              <w:rPr/>
              <w:t> </w:t>
            </w:r>
            <w:bookmarkStart w:id="156" w:name="xdx_400_eus-gaap--StockIssuedDuringPerio"/>
            <w:bookmarkEnd w:id="156"/>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upon vesting of restricted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7" w:name="xdx_980_eus-gaap--StockIssuedDuringPerio"/>
            <w:bookmarkEnd w:id="157"/>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2,964,209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0" w:type="dxa"/>
            <w:tcBorders/>
            <w:shd w:fill="CCEEFF" w:val="clear"/>
            <w:vAlign w:val="center"/>
          </w:tcPr>
          <w:p>
            <w:pPr>
              <w:pStyle w:val="TableContents"/>
              <w:bidi w:val="0"/>
              <w:spacing w:before="0" w:after="283"/>
              <w:jc w:val="left"/>
              <w:rPr/>
            </w:pPr>
            <w:r>
              <w:rPr/>
              <w:t> </w:t>
            </w:r>
            <w:bookmarkStart w:id="158" w:name="xdx_403_ecustom--StockIssuedDuringPeriod"/>
            <w:bookmarkEnd w:id="158"/>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 AGP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9" w:name="xdx_981_ecustom--StockIssuedDuringPeriod"/>
            <w:bookmarkEnd w:id="159"/>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66,720,451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16,879</w:t>
            </w:r>
          </w:p>
        </w:tc>
        <w:tc>
          <w:tcPr>
            <w:tcW w:w="110" w:type="dxa"/>
            <w:tcBorders/>
            <w:shd w:fill="FFFFFF" w:val="clear"/>
            <w:vAlign w:val="center"/>
          </w:tcPr>
          <w:p>
            <w:pPr>
              <w:pStyle w:val="TableContents"/>
              <w:bidi w:val="0"/>
              <w:spacing w:before="0" w:after="283"/>
              <w:jc w:val="left"/>
              <w:rPr/>
            </w:pPr>
            <w:r>
              <w:rPr/>
              <w:t> </w:t>
            </w:r>
            <w:bookmarkStart w:id="160" w:name="xdx_40A_ecustom--StockIssuedDuringPeriod"/>
            <w:bookmarkEnd w:id="16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 Capital Raise,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1" w:name="xdx_98E_ecustom--StockIssuedDuringPeriod"/>
            <w:bookmarkEnd w:id="161"/>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21,446,079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2,451</w:t>
            </w:r>
          </w:p>
        </w:tc>
        <w:tc>
          <w:tcPr>
            <w:tcW w:w="110" w:type="dxa"/>
            <w:tcBorders/>
            <w:shd w:fill="CCEEFF" w:val="clear"/>
            <w:vAlign w:val="center"/>
          </w:tcPr>
          <w:p>
            <w:pPr>
              <w:pStyle w:val="TableContents"/>
              <w:bidi w:val="0"/>
              <w:spacing w:before="0" w:after="283"/>
              <w:jc w:val="left"/>
              <w:rPr/>
            </w:pPr>
            <w:r>
              <w:rPr/>
              <w:t> </w:t>
            </w:r>
            <w:bookmarkStart w:id="162" w:name="xdx_402_ecustom--StockIssuedDuringPeriod"/>
            <w:bookmarkEnd w:id="162"/>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 Convertible Debt,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 w:name="xdx_983_ecustom--StockIssuedDuringPeriod"/>
            <w:bookmarkEnd w:id="163"/>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15,442,429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4,008</w:t>
            </w:r>
          </w:p>
        </w:tc>
        <w:tc>
          <w:tcPr>
            <w:tcW w:w="110" w:type="dxa"/>
            <w:tcBorders/>
            <w:shd w:fill="FFFFFF" w:val="clear"/>
            <w:vAlign w:val="center"/>
          </w:tcPr>
          <w:p>
            <w:pPr>
              <w:pStyle w:val="TableContents"/>
              <w:bidi w:val="0"/>
              <w:spacing w:before="0" w:after="283"/>
              <w:jc w:val="left"/>
              <w:rPr/>
            </w:pPr>
            <w:r>
              <w:rPr/>
              <w:t> </w:t>
            </w:r>
            <w:bookmarkStart w:id="164" w:name="xdx_402_ecustom--StockIssuedDuringPeriod"/>
            <w:bookmarkEnd w:id="164"/>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withheld for tax withholdings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 w:name="xdx_986_ecustom--StockIssuedDuringPeriod"/>
            <w:bookmarkEnd w:id="165"/>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(699,460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66" w:name="xdx_43E_c20240501__20250131_eus-gaap--St"/>
            <w:bookmarkEnd w:id="166"/>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at January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7" w:name="xdx_98C_eus-gaap--SharesOutstanding_iE_p"/>
            <w:bookmarkEnd w:id="167"/>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170,790,707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8" w:name="xdx_980_eus-gaap--TreasuryStockCommonSha"/>
            <w:bookmarkEnd w:id="168"/>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(787,477</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(322,664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28,911</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1605"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301"/>
        <w:gridCol w:w="559"/>
        <w:gridCol w:w="60"/>
        <w:gridCol w:w="60"/>
        <w:gridCol w:w="60"/>
        <w:gridCol w:w="755"/>
        <w:gridCol w:w="95"/>
        <w:gridCol w:w="60"/>
        <w:gridCol w:w="202"/>
        <w:gridCol w:w="658"/>
        <w:gridCol w:w="95"/>
        <w:gridCol w:w="60"/>
        <w:gridCol w:w="163"/>
        <w:gridCol w:w="937"/>
        <w:gridCol w:w="60"/>
        <w:gridCol w:w="60"/>
        <w:gridCol w:w="188"/>
        <w:gridCol w:w="1182"/>
        <w:gridCol w:w="95"/>
        <w:gridCol w:w="60"/>
        <w:gridCol w:w="251"/>
        <w:gridCol w:w="1359"/>
        <w:gridCol w:w="95"/>
        <w:gridCol w:w="60"/>
        <w:gridCol w:w="209"/>
        <w:gridCol w:w="1131"/>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205" w:type="dxa"/>
            <w:gridSpan w:val="31"/>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January 31, 2024</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69" w:name="xdx_43E_c20230501__20240131_eus-gaap--St"/>
            <w:bookmarkEnd w:id="169"/>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May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0" w:name="xdx_985_eus-gaap--SharesOutstanding_iS_p"/>
            <w:bookmarkEnd w:id="170"/>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56,304,642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1" w:name="xdx_987_eus-gaap--TreasuryStockCommonSha"/>
            <w:bookmarkEnd w:id="171"/>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(40,914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(280,096</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9" w:type="dxa"/>
            <w:tcBorders/>
            <w:shd w:fill="CCEEFF" w:val="clear"/>
            <w:vAlign w:val="center"/>
          </w:tcPr>
          <w:p>
            <w:pPr>
              <w:pStyle w:val="TableContents"/>
              <w:bidi w:val="0"/>
              <w:spacing w:before="0" w:after="283"/>
              <w:jc w:val="right"/>
              <w:rPr/>
            </w:pPr>
            <w:r>
              <w:rPr/>
              <w:t>       </w:t>
            </w:r>
            <w:r>
              <w:rPr>
                <w:rFonts w:ascii="Times New Roman;Times;Serif" w:hAnsi="Times New Roman;Times;Serif"/>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43,953</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72" w:name="xdx_407_eus-gaap--NetIncomeLoss_zcnWAflx"/>
            <w:bookmarkEnd w:id="172"/>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(20,761</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(20,761</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73" w:name="xdx_40F_eus-gaap--AdjustmentsToAdditiona"/>
            <w:bookmarkEnd w:id="173"/>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w:t>
            </w:r>
          </w:p>
        </w:tc>
        <w:tc>
          <w:tcPr>
            <w:tcW w:w="110" w:type="dxa"/>
            <w:tcBorders/>
            <w:shd w:fill="FFFFFF" w:val="clear"/>
            <w:vAlign w:val="center"/>
          </w:tcPr>
          <w:p>
            <w:pPr>
              <w:pStyle w:val="TableContents"/>
              <w:bidi w:val="0"/>
              <w:spacing w:before="0" w:after="283"/>
              <w:jc w:val="left"/>
              <w:rPr/>
            </w:pPr>
            <w:r>
              <w:rPr/>
              <w:t> </w:t>
            </w:r>
            <w:bookmarkStart w:id="174" w:name="xdx_404_eus-gaap--StockIssuedDuringPerio"/>
            <w:bookmarkEnd w:id="174"/>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related to bonus and earnout payments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5" w:name="xdx_984_eus-gaap--StockIssuedDuringPerio"/>
            <w:bookmarkEnd w:id="175"/>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2,403,846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w:t>
            </w:r>
          </w:p>
        </w:tc>
        <w:tc>
          <w:tcPr>
            <w:tcW w:w="110" w:type="dxa"/>
            <w:tcBorders/>
            <w:shd w:fill="CCEEFF" w:val="clear"/>
            <w:vAlign w:val="center"/>
          </w:tcPr>
          <w:p>
            <w:pPr>
              <w:pStyle w:val="TableContents"/>
              <w:bidi w:val="0"/>
              <w:spacing w:before="0" w:after="283"/>
              <w:jc w:val="left"/>
              <w:rPr/>
            </w:pPr>
            <w:r>
              <w:rPr/>
              <w:t> </w:t>
            </w:r>
            <w:bookmarkStart w:id="176" w:name="xdx_402_eus-gaap--StockIssuedDuringPerio"/>
            <w:bookmarkEnd w:id="176"/>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upon vesting of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7" w:name="xdx_98B_eus-gaap--StockIssuedDuringPerio"/>
            <w:bookmarkEnd w:id="177"/>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786,998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78" w:name="xdx_405_eus-gaap--StockIssuedDuringPerio"/>
            <w:bookmarkEnd w:id="178"/>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 Cantor At The Market offering,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 w:name="xdx_981_eus-gaap--StockIssuedDuringPerio"/>
            <w:bookmarkEnd w:id="179"/>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110" w:type="dxa"/>
            <w:tcBorders/>
            <w:shd w:fill="CCEEFF" w:val="clear"/>
            <w:vAlign w:val="center"/>
          </w:tcPr>
          <w:p>
            <w:pPr>
              <w:pStyle w:val="TableContents"/>
              <w:bidi w:val="0"/>
              <w:spacing w:before="0" w:after="283"/>
              <w:jc w:val="left"/>
              <w:rPr/>
            </w:pPr>
            <w:r>
              <w:rPr/>
              <w:t> </w:t>
            </w:r>
            <w:bookmarkStart w:id="180" w:name="xdx_402_ecustom--StockIssuedDuringPeriod"/>
            <w:bookmarkEnd w:id="180"/>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withheld for tax withholdings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81" w:name="xdx_988_ecustom--StockIssuedDuringPeriod"/>
            <w:bookmarkEnd w:id="181"/>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(47,103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82" w:name="xdx_436_c20230501__20240131_eus-gaap--St"/>
            <w:bookmarkEnd w:id="182"/>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at Balance, January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3" w:name="xdx_980_eus-gaap--SharesOutstanding_iE_p"/>
            <w:bookmarkEnd w:id="18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59,551,090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84" w:name="xdx_98A_eus-gaap--TreasuryStockCommonSha"/>
            <w:bookmarkEnd w:id="184"/>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(300,857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25,261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1845" w:type="dxa"/>
        <w:jc w:val="left"/>
        <w:tblInd w:w="0" w:type="dxa"/>
        <w:tblLayout w:type="fixed"/>
        <w:tblCellMar>
          <w:top w:w="0" w:type="dxa"/>
          <w:left w:w="0" w:type="dxa"/>
          <w:bottom w:w="0" w:type="dxa"/>
          <w:right w:w="0" w:type="dxa"/>
        </w:tblCellMar>
      </w:tblPr>
      <w:tblGrid>
        <w:gridCol w:w="1340"/>
        <w:gridCol w:w="60"/>
        <w:gridCol w:w="60"/>
        <w:gridCol w:w="1220"/>
        <w:gridCol w:w="60"/>
        <w:gridCol w:w="60"/>
        <w:gridCol w:w="231"/>
        <w:gridCol w:w="629"/>
        <w:gridCol w:w="60"/>
        <w:gridCol w:w="60"/>
        <w:gridCol w:w="60"/>
        <w:gridCol w:w="875"/>
        <w:gridCol w:w="95"/>
        <w:gridCol w:w="60"/>
        <w:gridCol w:w="155"/>
        <w:gridCol w:w="705"/>
        <w:gridCol w:w="95"/>
        <w:gridCol w:w="60"/>
        <w:gridCol w:w="163"/>
        <w:gridCol w:w="937"/>
        <w:gridCol w:w="60"/>
        <w:gridCol w:w="60"/>
        <w:gridCol w:w="188"/>
        <w:gridCol w:w="1182"/>
        <w:gridCol w:w="95"/>
        <w:gridCol w:w="60"/>
        <w:gridCol w:w="222"/>
        <w:gridCol w:w="1388"/>
        <w:gridCol w:w="95"/>
        <w:gridCol w:w="60"/>
        <w:gridCol w:w="228"/>
        <w:gridCol w:w="1112"/>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5" w:name="xdx_4B2_us-gaap--StatementEquityComponen"/>
            <w:bookmarkEnd w:id="185"/>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6" w:name="xdx_4BA_us-gaap--StatementEquityComponen"/>
            <w:bookmarkEnd w:id="186"/>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7" w:name="xdx_4B2_us-gaap--StatementEquityComponen"/>
            <w:bookmarkEnd w:id="187"/>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8" w:name="xdx_4B2_us-gaap--StatementEquityComponen"/>
            <w:bookmarkEnd w:id="188"/>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9" w:name="xdx_4B2_us-gaap--StatementEquityComponen"/>
            <w:bookmarkEnd w:id="189"/>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0" w:name="xdx_4BE_zypj9NNWiJQ7"/>
            <w:bookmarkEnd w:id="190"/>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35"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January 31, 2025</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191" w:name="xdx_432_c20241101__20250131_eus-gaap--St"/>
            <w:bookmarkEnd w:id="191"/>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November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2" w:name="xdx_986_eus-gaap--SharesOutstanding_iS_p"/>
            <w:bookmarkEnd w:id="192"/>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124,683,555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3" w:name="xdx_98B_eus-gaap--TreasuryStockCommonSha"/>
            <w:bookmarkEnd w:id="193"/>
          </w:p>
        </w:tc>
        <w:tc>
          <w:tcPr>
            <w:tcW w:w="8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(315,944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8" w:type="dxa"/>
            <w:tcBorders/>
            <w:shd w:fill="CCEEFF" w:val="clear"/>
            <w:vAlign w:val="center"/>
          </w:tcPr>
          <w:p>
            <w:pPr>
              <w:pStyle w:val="TableContents"/>
              <w:bidi w:val="0"/>
              <w:spacing w:before="0" w:after="283"/>
              <w:jc w:val="right"/>
              <w:rPr/>
            </w:pPr>
            <w:r>
              <w:rPr/>
              <w:t>         </w:t>
            </w:r>
            <w:r>
              <w:rPr>
                <w:rFonts w:ascii="Times New Roman;Times;Serif" w:hAnsi="Times New Roman;Times;Serif"/>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22,119</w:t>
            </w:r>
          </w:p>
        </w:tc>
        <w:tc>
          <w:tcPr>
            <w:tcW w:w="110" w:type="dxa"/>
            <w:tcBorders/>
            <w:shd w:fill="CCEEFF" w:val="clear"/>
            <w:vAlign w:val="center"/>
          </w:tcPr>
          <w:p>
            <w:pPr>
              <w:pStyle w:val="TableContents"/>
              <w:bidi w:val="0"/>
              <w:spacing w:before="0" w:after="283"/>
              <w:jc w:val="left"/>
              <w:rPr/>
            </w:pPr>
            <w:r>
              <w:rPr/>
              <w:t> </w:t>
            </w:r>
            <w:bookmarkStart w:id="194" w:name="xdx_40E_eus-gaap--NetIncomeLoss_z15lY7UF"/>
            <w:bookmarkEnd w:id="194"/>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195" w:name="xdx_405_eus-gaap--AdjustmentsToAdditiona"/>
            <w:bookmarkEnd w:id="195"/>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w:t>
            </w:r>
          </w:p>
        </w:tc>
        <w:tc>
          <w:tcPr>
            <w:tcW w:w="110" w:type="dxa"/>
            <w:tcBorders/>
            <w:shd w:fill="CCEEFF" w:val="clear"/>
            <w:vAlign w:val="center"/>
          </w:tcPr>
          <w:p>
            <w:pPr>
              <w:pStyle w:val="TableContents"/>
              <w:bidi w:val="0"/>
              <w:spacing w:before="0" w:after="283"/>
              <w:jc w:val="left"/>
              <w:rPr/>
            </w:pPr>
            <w:r>
              <w:rPr/>
              <w:t> </w:t>
            </w:r>
            <w:bookmarkStart w:id="196" w:name="xdx_40D_eus-gaap--StockIssuedDuringPerio"/>
            <w:bookmarkEnd w:id="196"/>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related to bonus and earnout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97" w:name="xdx_40D_eus-gaap--StockIssuedDuringPerio"/>
            <w:bookmarkEnd w:id="197"/>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upon vesting of restricted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8" w:name="xdx_981_eus-gaap--StockIssuedDuringPerio"/>
            <w:bookmarkEnd w:id="198"/>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2,954,209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0" w:type="dxa"/>
            <w:tcBorders/>
            <w:shd w:fill="CCEEFF" w:val="clear"/>
            <w:vAlign w:val="center"/>
          </w:tcPr>
          <w:p>
            <w:pPr>
              <w:pStyle w:val="TableContents"/>
              <w:bidi w:val="0"/>
              <w:spacing w:before="0" w:after="283"/>
              <w:jc w:val="left"/>
              <w:rPr/>
            </w:pPr>
            <w:r>
              <w:rPr/>
              <w:t> </w:t>
            </w:r>
            <w:bookmarkStart w:id="199" w:name="xdx_403_ecustom--StockIssuedDuringPeriod"/>
            <w:bookmarkEnd w:id="199"/>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 AGP At The Market Offering, net of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0" w:name="xdx_989_ecustom--StockIssuedDuringPeriod"/>
            <w:bookmarkEnd w:id="200"/>
          </w:p>
        </w:tc>
        <w:tc>
          <w:tcPr>
            <w:tcW w:w="12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27,710,514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9,371</w:t>
            </w:r>
          </w:p>
        </w:tc>
        <w:tc>
          <w:tcPr>
            <w:tcW w:w="110" w:type="dxa"/>
            <w:tcBorders/>
            <w:shd w:fill="FFFFFF" w:val="clear"/>
            <w:vAlign w:val="center"/>
          </w:tcPr>
          <w:p>
            <w:pPr>
              <w:pStyle w:val="TableContents"/>
              <w:bidi w:val="0"/>
              <w:spacing w:before="0" w:after="283"/>
              <w:jc w:val="left"/>
              <w:rPr/>
            </w:pPr>
            <w:r>
              <w:rPr/>
              <w:t> </w:t>
            </w:r>
            <w:bookmarkStart w:id="201" w:name="xdx_402_ecustom--StockIssuedDuringPeriod"/>
            <w:bookmarkEnd w:id="201"/>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Issuance of common stock - Convertible Debt, net of issuance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2" w:name="xdx_98A_ecustom--StockIssuedDuringPeriod"/>
            <w:bookmarkEnd w:id="202"/>
          </w:p>
        </w:tc>
        <w:tc>
          <w:tcPr>
            <w:tcW w:w="12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15,442,429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38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4,008</w:t>
            </w:r>
          </w:p>
        </w:tc>
        <w:tc>
          <w:tcPr>
            <w:tcW w:w="110" w:type="dxa"/>
            <w:tcBorders/>
            <w:shd w:fill="CCEEFF" w:val="clear"/>
            <w:vAlign w:val="center"/>
          </w:tcPr>
          <w:p>
            <w:pPr>
              <w:pStyle w:val="TableContents"/>
              <w:bidi w:val="0"/>
              <w:spacing w:before="0" w:after="283"/>
              <w:jc w:val="left"/>
              <w:rPr/>
            </w:pPr>
            <w:r>
              <w:rPr/>
              <w:t> </w:t>
            </w:r>
            <w:bookmarkStart w:id="203" w:name="xdx_402_ecustom--StockIssuedDuringPeriod"/>
            <w:bookmarkEnd w:id="203"/>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withheld for tax withholdings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4" w:name="xdx_985_ecustom--StockIssuedDuringPeriod"/>
            <w:bookmarkEnd w:id="204"/>
          </w:p>
        </w:tc>
        <w:tc>
          <w:tcPr>
            <w:tcW w:w="8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(699,460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38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05" w:name="xdx_433_c20241101__20250131_eus-gaap--St"/>
            <w:bookmarkEnd w:id="205"/>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at January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6" w:name="xdx_98B_eus-gaap--SharesOutstanding_iE_p"/>
            <w:bookmarkEnd w:id="206"/>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170,790,707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07" w:name="xdx_98B_eus-gaap--TreasuryStockCommonSha"/>
            <w:bookmarkEnd w:id="207"/>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(787,477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(322,664</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28,911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1605" w:type="dxa"/>
        <w:jc w:val="left"/>
        <w:tblInd w:w="0" w:type="dxa"/>
        <w:tblLayout w:type="fixed"/>
        <w:tblCellMar>
          <w:top w:w="0" w:type="dxa"/>
          <w:left w:w="0" w:type="dxa"/>
          <w:bottom w:w="0" w:type="dxa"/>
          <w:right w:w="0" w:type="dxa"/>
        </w:tblCellMar>
      </w:tblPr>
      <w:tblGrid>
        <w:gridCol w:w="1340"/>
        <w:gridCol w:w="60"/>
        <w:gridCol w:w="60"/>
        <w:gridCol w:w="1100"/>
        <w:gridCol w:w="60"/>
        <w:gridCol w:w="60"/>
        <w:gridCol w:w="301"/>
        <w:gridCol w:w="559"/>
        <w:gridCol w:w="60"/>
        <w:gridCol w:w="60"/>
        <w:gridCol w:w="60"/>
        <w:gridCol w:w="755"/>
        <w:gridCol w:w="95"/>
        <w:gridCol w:w="60"/>
        <w:gridCol w:w="202"/>
        <w:gridCol w:w="658"/>
        <w:gridCol w:w="95"/>
        <w:gridCol w:w="60"/>
        <w:gridCol w:w="163"/>
        <w:gridCol w:w="937"/>
        <w:gridCol w:w="60"/>
        <w:gridCol w:w="60"/>
        <w:gridCol w:w="188"/>
        <w:gridCol w:w="1182"/>
        <w:gridCol w:w="95"/>
        <w:gridCol w:w="60"/>
        <w:gridCol w:w="236"/>
        <w:gridCol w:w="1374"/>
        <w:gridCol w:w="95"/>
        <w:gridCol w:w="60"/>
        <w:gridCol w:w="228"/>
        <w:gridCol w:w="1112"/>
        <w:gridCol w:w="11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5" w:type="dxa"/>
            <w:gridSpan w:val="3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January 31, 2024</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Treasury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208" w:name="xdx_433_c20231101__20240131_eus-gaap--St"/>
            <w:bookmarkEnd w:id="208"/>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 at November 1,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9" w:name="xdx_981_eus-gaap--SharesOutstanding_iS_p"/>
            <w:bookmarkEnd w:id="209"/>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58,833,756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0" w:name="xdx_98C_eus-gaap--TreasuryStockCommonSha"/>
            <w:bookmarkEnd w:id="210"/>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(294,348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4" w:type="dxa"/>
            <w:tcBorders/>
            <w:shd w:fill="CCEEFF" w:val="clear"/>
            <w:vAlign w:val="center"/>
          </w:tcPr>
          <w:p>
            <w:pPr>
              <w:pStyle w:val="TableContents"/>
              <w:bidi w:val="0"/>
              <w:spacing w:before="0" w:after="283"/>
              <w:jc w:val="right"/>
              <w:rPr/>
            </w:pPr>
            <w:r>
              <w:rPr/>
              <w:t>        </w:t>
            </w:r>
            <w:r>
              <w:rPr>
                <w:rFonts w:ascii="Times New Roman;Times;Serif" w:hAnsi="Times New Roman;Times;Serif"/>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31,651</w:t>
            </w:r>
          </w:p>
        </w:tc>
        <w:tc>
          <w:tcPr>
            <w:tcW w:w="110" w:type="dxa"/>
            <w:tcBorders/>
            <w:shd w:fill="CCEEFF" w:val="clear"/>
            <w:vAlign w:val="center"/>
          </w:tcPr>
          <w:p>
            <w:pPr>
              <w:pStyle w:val="TableContents"/>
              <w:bidi w:val="0"/>
              <w:spacing w:before="0" w:after="283"/>
              <w:jc w:val="left"/>
              <w:rPr/>
            </w:pPr>
            <w:r>
              <w:rPr/>
              <w:t> </w:t>
            </w:r>
            <w:bookmarkStart w:id="211" w:name="xdx_43A_c20231101__20240131_eus-gaap--St"/>
            <w:bookmarkEnd w:id="211"/>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2" w:name="xdx_984_eus-gaap--SharesOutstanding_iS_p"/>
            <w:bookmarkEnd w:id="212"/>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58,833,756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3" w:name="xdx_98B_eus-gaap--TreasuryStockCommonSha"/>
            <w:bookmarkEnd w:id="213"/>
          </w:p>
        </w:tc>
        <w:tc>
          <w:tcPr>
            <w:tcW w:w="7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(44,988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326,342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(294,348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4" w:type="dxa"/>
            <w:tcBorders/>
            <w:shd w:fill="CCEEFF" w:val="clear"/>
            <w:vAlign w:val="center"/>
          </w:tcPr>
          <w:p>
            <w:pPr>
              <w:pStyle w:val="TableContents"/>
              <w:bidi w:val="0"/>
              <w:spacing w:before="0" w:after="283"/>
              <w:jc w:val="right"/>
              <w:rPr/>
            </w:pPr>
            <w:r>
              <w:rPr/>
              <w:t>        </w:t>
            </w:r>
            <w:r>
              <w:rPr>
                <w:rFonts w:ascii="Times New Roman;Times;Serif" w:hAnsi="Times New Roman;Times;Serif"/>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31,651</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3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4" w:name="xdx_40E_eus-gaap--NetIncomeLoss_zVAIF9Ic"/>
            <w:bookmarkEnd w:id="214"/>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(6,509</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15" w:name="xdx_405_eus-gaap--AdjustmentsToAdditiona"/>
            <w:bookmarkEnd w:id="215"/>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37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w:t>
            </w:r>
          </w:p>
        </w:tc>
        <w:tc>
          <w:tcPr>
            <w:tcW w:w="110" w:type="dxa"/>
            <w:tcBorders/>
            <w:shd w:fill="FFFFFF" w:val="clear"/>
            <w:vAlign w:val="center"/>
          </w:tcPr>
          <w:p>
            <w:pPr>
              <w:pStyle w:val="TableContents"/>
              <w:bidi w:val="0"/>
              <w:spacing w:before="0" w:after="283"/>
              <w:jc w:val="left"/>
              <w:rPr/>
            </w:pPr>
            <w:r>
              <w:rPr/>
              <w:t> </w:t>
            </w:r>
            <w:bookmarkStart w:id="216" w:name="xdx_40D_eus-gaap--StockIssuedDuringPerio"/>
            <w:bookmarkEnd w:id="216"/>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upon vesting of restricted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7" w:name="xdx_98C_eus-gaap--StockIssuedDuringPerio"/>
            <w:bookmarkEnd w:id="217"/>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717,332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37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8" w:name="xdx_402_ecustom--StockIssuedDuringPeriod"/>
            <w:bookmarkEnd w:id="218"/>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Shares withheld for tax withholdings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9" w:name="xdx_98A_ecustom--StockIssuedDuringPeriod"/>
            <w:bookmarkEnd w:id="219"/>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(43,029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20" w:name="xdx_435_c20231101__20240131_eus-gaap--St"/>
            <w:bookmarkEnd w:id="22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Balances at Balance, January 31,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1" w:name="xdx_985_eus-gaap--SharesOutstanding_iE_p"/>
            <w:bookmarkEnd w:id="22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59,551,090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2" w:name="xdx_981_eus-gaap--TreasuryStockCommonSha"/>
            <w:bookmarkEnd w:id="222"/>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(300,857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25,261</w:t>
            </w:r>
          </w:p>
        </w:tc>
        <w:tc>
          <w:tcPr>
            <w:tcW w:w="110" w:type="dxa"/>
            <w:tcBorders/>
            <w:shd w:fill="CCEEFF" w:val="clear"/>
            <w:vAlign w:val="center"/>
          </w:tcPr>
          <w:p>
            <w:pPr>
              <w:pStyle w:val="TableContents"/>
              <w:bidi w:val="0"/>
              <w:spacing w:before="0" w:after="283"/>
              <w:jc w:val="left"/>
              <w:rPr/>
            </w:pPr>
            <w:r>
              <w:rPr/>
              <w:t> </w:t>
            </w:r>
            <w:bookmarkStart w:id="223" w:name="xdx_43C_c20231101__20240131_eus-gaap--St"/>
            <w:bookmarkEnd w:id="223"/>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4" w:name="xdx_989_eus-gaap--SharesOutstanding_iE_p"/>
            <w:bookmarkEnd w:id="22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59,551,090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25" w:name="xdx_987_eus-gaap--TreasuryStockCommonSha"/>
            <w:bookmarkEnd w:id="225"/>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(88,017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(300,857</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3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25,261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6" w:name="a_007"/>
      <w:bookmarkEnd w:id="226"/>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$000’s)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27" w:name="xdx_303_112_pn3n3_zQ6YU3DnVeii"/>
      <w:bookmarkStart w:id="228" w:name="xdx_303_112_pn3n3_zQ6YU3DnVeii"/>
      <w:bookmarkEnd w:id="228"/>
    </w:p>
    <w:tbl>
      <w:tblPr>
        <w:tblW w:w="10205" w:type="dxa"/>
        <w:jc w:val="left"/>
        <w:tblInd w:w="0" w:type="dxa"/>
        <w:tblLayout w:type="fixed"/>
        <w:tblCellMar>
          <w:top w:w="0" w:type="dxa"/>
          <w:left w:w="0" w:type="dxa"/>
          <w:bottom w:w="0" w:type="dxa"/>
          <w:right w:w="0" w:type="dxa"/>
        </w:tblCellMar>
      </w:tblPr>
      <w:tblGrid>
        <w:gridCol w:w="7036"/>
        <w:gridCol w:w="60"/>
        <w:gridCol w:w="215"/>
        <w:gridCol w:w="1164"/>
        <w:gridCol w:w="146"/>
        <w:gridCol w:w="92"/>
        <w:gridCol w:w="215"/>
        <w:gridCol w:w="1164"/>
        <w:gridCol w:w="113"/>
      </w:tblGrid>
      <w:tr>
        <w:trPr/>
        <w:tc>
          <w:tcPr>
            <w:tcW w:w="70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29" w:name="xdx_49A_20240501__20250131_z6FMvVErBwik"/>
            <w:bookmarkEnd w:id="229"/>
          </w:p>
        </w:tc>
        <w:tc>
          <w:tcPr>
            <w:tcW w:w="13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46"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bookmarkStart w:id="230" w:name="xdx_495_20230501__20240131_zMBFVUZmvVEb"/>
            <w:bookmarkEnd w:id="230"/>
          </w:p>
        </w:tc>
        <w:tc>
          <w:tcPr>
            <w:tcW w:w="13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vAlign w:val="center"/>
          </w:tcPr>
          <w:p>
            <w:pPr>
              <w:pStyle w:val="TableContents"/>
              <w:bidi w:val="0"/>
              <w:spacing w:before="0" w:after="283"/>
              <w:jc w:val="left"/>
              <w:rPr/>
            </w:pPr>
            <w:r>
              <w:rPr/>
              <w:t> </w:t>
            </w:r>
          </w:p>
        </w:tc>
      </w:tr>
      <w:tr>
        <w:trPr/>
        <w:tc>
          <w:tcPr>
            <w:tcW w:w="70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January 31,</w:t>
            </w:r>
          </w:p>
        </w:tc>
        <w:tc>
          <w:tcPr>
            <w:tcW w:w="113" w:type="dxa"/>
            <w:tcBorders/>
            <w:vAlign w:val="center"/>
          </w:tcPr>
          <w:p>
            <w:pPr>
              <w:pStyle w:val="TableContents"/>
              <w:bidi w:val="0"/>
              <w:spacing w:before="0" w:after="283"/>
              <w:jc w:val="left"/>
              <w:rPr/>
            </w:pPr>
            <w:r>
              <w:rPr/>
              <w:t> </w:t>
            </w:r>
          </w:p>
        </w:tc>
      </w:tr>
      <w:tr>
        <w:trPr/>
        <w:tc>
          <w:tcPr>
            <w:tcW w:w="70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46"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3" w:type="dxa"/>
            <w:tcBorders/>
            <w:vAlign w:val="center"/>
          </w:tcPr>
          <w:p>
            <w:pPr>
              <w:pStyle w:val="TableContents"/>
              <w:bidi w:val="0"/>
              <w:spacing w:before="0" w:after="283"/>
              <w:jc w:val="left"/>
              <w:rPr/>
            </w:pPr>
            <w:r>
              <w:rPr/>
              <w:t> </w:t>
            </w:r>
          </w:p>
        </w:tc>
      </w:tr>
      <w:tr>
        <w:trPr/>
        <w:tc>
          <w:tcPr>
            <w:tcW w:w="703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379"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231" w:name="xdx_408_eus-gaap--NetCashProvidedByUsedI"/>
            <w:bookmarkEnd w:id="231"/>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32" w:name="xdx_404_eus-gaap--NetIncomeLoss_i01_maCz"/>
            <w:bookmarkEnd w:id="232"/>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(15,085</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(20,761</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33" w:name="xdx_40A_eus-gaap--AdjustmentsNoncashItem"/>
            <w:bookmarkEnd w:id="233"/>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34" w:name="xdx_40E_eus-gaap--Depreciation_i02_maCzE"/>
            <w:bookmarkEnd w:id="234"/>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Depreciation of fixed assets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610</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286</w:t>
            </w:r>
          </w:p>
        </w:tc>
        <w:tc>
          <w:tcPr>
            <w:tcW w:w="113" w:type="dxa"/>
            <w:tcBorders/>
            <w:shd w:fill="FFFFFF" w:val="clear"/>
            <w:vAlign w:val="center"/>
          </w:tcPr>
          <w:p>
            <w:pPr>
              <w:pStyle w:val="TableContents"/>
              <w:bidi w:val="0"/>
              <w:spacing w:before="0" w:after="283"/>
              <w:jc w:val="left"/>
              <w:rPr/>
            </w:pPr>
            <w:r>
              <w:rPr/>
              <w:t> </w:t>
            </w:r>
            <w:bookmarkStart w:id="235" w:name="xdx_406_ecustom--ForeignCurrencyTransact"/>
            <w:bookmarkEnd w:id="235"/>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exchange (loss)/gain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3" w:type="dxa"/>
            <w:tcBorders/>
            <w:shd w:fill="CCEEFF" w:val="clear"/>
            <w:vAlign w:val="center"/>
          </w:tcPr>
          <w:p>
            <w:pPr>
              <w:pStyle w:val="TableContents"/>
              <w:bidi w:val="0"/>
              <w:spacing w:before="0" w:after="283"/>
              <w:jc w:val="left"/>
              <w:rPr/>
            </w:pPr>
            <w:r>
              <w:rPr/>
              <w:t> </w:t>
            </w:r>
            <w:bookmarkStart w:id="236" w:name="xdx_40B_eus-gaap--GainLossOnSaleOfProper"/>
            <w:bookmarkEnd w:id="236"/>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37" w:name="xdx_405_eus-gaap--AmortizationOfIntangib"/>
            <w:bookmarkEnd w:id="237"/>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w:t>
            </w:r>
          </w:p>
        </w:tc>
        <w:tc>
          <w:tcPr>
            <w:tcW w:w="113" w:type="dxa"/>
            <w:tcBorders/>
            <w:shd w:fill="CCEEFF" w:val="clear"/>
            <w:vAlign w:val="center"/>
          </w:tcPr>
          <w:p>
            <w:pPr>
              <w:pStyle w:val="TableContents"/>
              <w:bidi w:val="0"/>
              <w:spacing w:before="0" w:after="283"/>
              <w:jc w:val="left"/>
              <w:rPr/>
            </w:pPr>
            <w:r>
              <w:rPr/>
              <w:t> </w:t>
            </w:r>
            <w:bookmarkStart w:id="238" w:name="xdx_40C_eus-gaap--OtherNoncashExpense_i0"/>
            <w:bookmarkEnd w:id="238"/>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Noncash lease expense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388</w:t>
            </w:r>
          </w:p>
        </w:tc>
        <w:tc>
          <w:tcPr>
            <w:tcW w:w="113" w:type="dxa"/>
            <w:tcBorders/>
            <w:shd w:fill="FFFFFF" w:val="clear"/>
            <w:vAlign w:val="center"/>
          </w:tcPr>
          <w:p>
            <w:pPr>
              <w:pStyle w:val="TableContents"/>
              <w:bidi w:val="0"/>
              <w:spacing w:before="0" w:after="283"/>
              <w:jc w:val="left"/>
              <w:rPr/>
            </w:pPr>
            <w:r>
              <w:rPr/>
              <w:t> </w:t>
            </w:r>
            <w:bookmarkStart w:id="239" w:name="xdx_40C_eus-gaap--AccretionAmortizationO"/>
            <w:bookmarkEnd w:id="239"/>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Accretion of discount on investments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0" w:name="xdx_40F_eus-gaap--BusinessCombinationCon"/>
            <w:bookmarkEnd w:id="240"/>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contingent consideration liability</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1" w:name="xdx_40D_eus-gaap--ShareBasedCompensation"/>
            <w:bookmarkEnd w:id="241"/>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Share-based compensation</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1,331</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803</w:t>
            </w:r>
          </w:p>
        </w:tc>
        <w:tc>
          <w:tcPr>
            <w:tcW w:w="113" w:type="dxa"/>
            <w:tcBorders/>
            <w:shd w:fill="CCEEFF" w:val="clear"/>
            <w:vAlign w:val="center"/>
          </w:tcPr>
          <w:p>
            <w:pPr>
              <w:pStyle w:val="TableContents"/>
              <w:bidi w:val="0"/>
              <w:spacing w:before="0" w:after="283"/>
              <w:jc w:val="left"/>
              <w:rPr/>
            </w:pPr>
            <w:r>
              <w:rPr/>
              <w:t> </w:t>
            </w:r>
            <w:bookmarkStart w:id="242" w:name="xdx_40D_eus-gaap--GainsLossesOnExtinguis"/>
            <w:bookmarkEnd w:id="242"/>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43" w:name="xdx_407_eus-gaap--GainLossOnSaleOfOtherA"/>
            <w:bookmarkEnd w:id="243"/>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disposition of assets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113" w:type="dxa"/>
            <w:tcBorders/>
            <w:shd w:fill="CCEEFF" w:val="clear"/>
            <w:vAlign w:val="center"/>
          </w:tcPr>
          <w:p>
            <w:pPr>
              <w:pStyle w:val="TableContents"/>
              <w:bidi w:val="0"/>
              <w:spacing w:before="0" w:after="283"/>
              <w:jc w:val="left"/>
              <w:rPr/>
            </w:pPr>
            <w:r>
              <w:rPr/>
              <w:t> </w:t>
            </w:r>
            <w:bookmarkStart w:id="244" w:name="xdx_40D_eus-gaap--IncreaseDecreaseInOper"/>
            <w:bookmarkEnd w:id="244"/>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45" w:name="xdx_405_eus-gaap--IncreaseDecreaseInAcco"/>
            <w:bookmarkEnd w:id="245"/>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(830</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113" w:type="dxa"/>
            <w:tcBorders/>
            <w:shd w:fill="CCEEFF" w:val="clear"/>
            <w:vAlign w:val="center"/>
          </w:tcPr>
          <w:p>
            <w:pPr>
              <w:pStyle w:val="TableContents"/>
              <w:bidi w:val="0"/>
              <w:spacing w:before="0" w:after="283"/>
              <w:jc w:val="left"/>
              <w:rPr/>
            </w:pPr>
            <w:r>
              <w:rPr/>
              <w:t> </w:t>
            </w:r>
            <w:bookmarkStart w:id="246" w:name="xdx_407_eus-gaap--IncreaseDecreaseInCont"/>
            <w:bookmarkEnd w:id="246"/>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assets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7" w:name="xdx_402_eus-gaap--IncreaseDecreaseInInve"/>
            <w:bookmarkEnd w:id="247"/>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Inventory</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366</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(2,416</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8" w:name="xdx_40E_eus-gaap--IncreaseDecreaseInOthe"/>
            <w:bookmarkEnd w:id="248"/>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996</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(2,933</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49" w:name="xdx_404_eus-gaap--IncreaseDecreaseInAcco"/>
            <w:bookmarkEnd w:id="249"/>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payable</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(2,731</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w:t>
            </w:r>
          </w:p>
        </w:tc>
        <w:tc>
          <w:tcPr>
            <w:tcW w:w="113" w:type="dxa"/>
            <w:tcBorders/>
            <w:shd w:fill="CCEEFF" w:val="clear"/>
            <w:vAlign w:val="center"/>
          </w:tcPr>
          <w:p>
            <w:pPr>
              <w:pStyle w:val="TableContents"/>
              <w:bidi w:val="0"/>
              <w:spacing w:before="0" w:after="283"/>
              <w:jc w:val="left"/>
              <w:rPr/>
            </w:pPr>
            <w:r>
              <w:rPr/>
              <w:t> </w:t>
            </w:r>
            <w:bookmarkStart w:id="250" w:name="xdx_40C_eus-gaap--IncreaseDecreaseInOthe"/>
            <w:bookmarkEnd w:id="250"/>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Earnout payable</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(500</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1" w:name="xdx_403_eus-gaap--IncreaseDecreaseInAccr"/>
            <w:bookmarkEnd w:id="251"/>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expenses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453</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894</w:t>
            </w:r>
          </w:p>
        </w:tc>
        <w:tc>
          <w:tcPr>
            <w:tcW w:w="113" w:type="dxa"/>
            <w:tcBorders/>
            <w:shd w:fill="CCEEFF" w:val="clear"/>
            <w:vAlign w:val="center"/>
          </w:tcPr>
          <w:p>
            <w:pPr>
              <w:pStyle w:val="TableContents"/>
              <w:bidi w:val="0"/>
              <w:spacing w:before="0" w:after="283"/>
              <w:jc w:val="left"/>
              <w:rPr/>
            </w:pPr>
            <w:r>
              <w:rPr/>
              <w:t> </w:t>
            </w:r>
            <w:bookmarkStart w:id="252" w:name="xdx_408_ecustom--IncreaseDecreaseInRight"/>
            <w:bookmarkEnd w:id="252"/>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liabilities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3" w:name="xdx_40D_eus-gaap--IncreaseDecreaseInCont"/>
            <w:bookmarkEnd w:id="253"/>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4" w:name="xdx_40E_eus-gaap--NetCashProvidedByUsedI"/>
            <w:bookmarkEnd w:id="254"/>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(14,628</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(24,711</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5" w:name="xdx_401_eus-gaap--NetCashProvidedByUsedI"/>
            <w:bookmarkEnd w:id="255"/>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56" w:name="xdx_407_eus-gaap--ProceedsFromSaleOfShor"/>
            <w:bookmarkEnd w:id="256"/>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Redemptions of short-term investments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31,625</w:t>
            </w:r>
          </w:p>
        </w:tc>
        <w:tc>
          <w:tcPr>
            <w:tcW w:w="113" w:type="dxa"/>
            <w:tcBorders/>
            <w:shd w:fill="FFFFFF" w:val="clear"/>
            <w:vAlign w:val="center"/>
          </w:tcPr>
          <w:p>
            <w:pPr>
              <w:pStyle w:val="TableContents"/>
              <w:bidi w:val="0"/>
              <w:spacing w:before="0" w:after="283"/>
              <w:jc w:val="left"/>
              <w:rPr/>
            </w:pPr>
            <w:r>
              <w:rPr/>
              <w:t> </w:t>
            </w:r>
            <w:bookmarkStart w:id="257" w:name="xdx_405_eus-gaap--PaymentsToAcquireShort"/>
            <w:bookmarkEnd w:id="257"/>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short-term investments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(7,935</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8" w:name="xdx_407_eus-gaap--PaymentsToAcquirePrope"/>
            <w:bookmarkEnd w:id="258"/>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14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(1,224</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59" w:name="xdx_403_eus-gaap--NetCashProvidedByUsedI"/>
            <w:bookmarkEnd w:id="259"/>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(used in)/provided by investing activities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22,466</w:t>
            </w:r>
          </w:p>
        </w:tc>
        <w:tc>
          <w:tcPr>
            <w:tcW w:w="113" w:type="dxa"/>
            <w:tcBorders/>
            <w:shd w:fill="CCEEFF" w:val="clear"/>
            <w:vAlign w:val="center"/>
          </w:tcPr>
          <w:p>
            <w:pPr>
              <w:pStyle w:val="TableContents"/>
              <w:bidi w:val="0"/>
              <w:spacing w:before="0" w:after="283"/>
              <w:jc w:val="left"/>
              <w:rPr/>
            </w:pPr>
            <w:r>
              <w:rPr/>
              <w:t> </w:t>
            </w:r>
            <w:bookmarkStart w:id="260" w:name="xdx_404_eus-gaap--NetCashProvidedByUsedI"/>
            <w:bookmarkEnd w:id="260"/>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61" w:name="xdx_40F_eus-gaap--PaymentsRelatedToTaxWi"/>
            <w:bookmarkEnd w:id="261"/>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paid for tax withholding related to shares withheld</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w:t>
            </w:r>
          </w:p>
        </w:tc>
        <w:tc>
          <w:tcPr>
            <w:tcW w:w="14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2" w:name="xdx_40A_eus-gaap--ProceedsFromConvertibl"/>
            <w:bookmarkEnd w:id="262"/>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on convertible notes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3,171</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63" w:name="xdx_40B_eus-gaap--ProceedsFromIssuanceOf"/>
            <w:bookmarkEnd w:id="263"/>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 At The Market offering, net of issuance costs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16,880</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w:t>
            </w:r>
          </w:p>
        </w:tc>
        <w:tc>
          <w:tcPr>
            <w:tcW w:w="113" w:type="dxa"/>
            <w:tcBorders/>
            <w:shd w:fill="CCEEFF" w:val="clear"/>
            <w:vAlign w:val="center"/>
          </w:tcPr>
          <w:p>
            <w:pPr>
              <w:pStyle w:val="TableContents"/>
              <w:bidi w:val="0"/>
              <w:spacing w:before="0" w:after="283"/>
              <w:jc w:val="left"/>
              <w:rPr/>
            </w:pPr>
            <w:r>
              <w:rPr/>
              <w:t> </w:t>
            </w:r>
            <w:bookmarkStart w:id="264" w:name="xdx_400_eus-gaap--ProceedsFromIssuanceIn"/>
            <w:bookmarkEnd w:id="264"/>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Proceeds from issuance of common stock - Capital Raise, net of issuance costs</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2,451</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65" w:name="xdx_40B_eus-gaap--NetCashProvidedByUsedI"/>
            <w:bookmarkEnd w:id="265"/>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21,853</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13" w:type="dxa"/>
            <w:tcBorders/>
            <w:shd w:fill="CCEEFF" w:val="clear"/>
            <w:vAlign w:val="center"/>
          </w:tcPr>
          <w:p>
            <w:pPr>
              <w:pStyle w:val="TableContents"/>
              <w:bidi w:val="0"/>
              <w:spacing w:before="0" w:after="283"/>
              <w:jc w:val="left"/>
              <w:rPr/>
            </w:pPr>
            <w:r>
              <w:rPr/>
              <w:t> </w:t>
            </w:r>
            <w:bookmarkStart w:id="266" w:name="xdx_408_eus-gaap--CashCashEquivalentsRes"/>
            <w:bookmarkEnd w:id="266"/>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6,875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(2,229</w:t>
            </w:r>
          </w:p>
        </w:tc>
        <w:tc>
          <w:tcPr>
            <w:tcW w:w="11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267" w:name="xdx_402_eus-gaap--CashCashEquivalentsRes"/>
            <w:bookmarkEnd w:id="267"/>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3,305</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7,103</w:t>
            </w:r>
          </w:p>
        </w:tc>
        <w:tc>
          <w:tcPr>
            <w:tcW w:w="113" w:type="dxa"/>
            <w:tcBorders/>
            <w:shd w:fill="CCEEFF" w:val="clear"/>
            <w:vAlign w:val="center"/>
          </w:tcPr>
          <w:p>
            <w:pPr>
              <w:pStyle w:val="TableContents"/>
              <w:bidi w:val="0"/>
              <w:spacing w:before="0" w:after="283"/>
              <w:jc w:val="left"/>
              <w:rPr/>
            </w:pPr>
            <w:r>
              <w:rPr/>
              <w:t> </w:t>
            </w:r>
            <w:bookmarkStart w:id="268" w:name="xdx_406_eus-gaap--CashCashEquivalentsRes"/>
            <w:bookmarkEnd w:id="268"/>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and restricted cash, end of period</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10,180</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4,874</w:t>
            </w:r>
          </w:p>
        </w:tc>
        <w:tc>
          <w:tcPr>
            <w:tcW w:w="113" w:type="dxa"/>
            <w:tcBorders/>
            <w:shd w:fill="FFFFFF" w:val="clear"/>
            <w:vAlign w:val="center"/>
          </w:tcPr>
          <w:p>
            <w:pPr>
              <w:pStyle w:val="TableContents"/>
              <w:bidi w:val="0"/>
              <w:spacing w:before="0" w:after="283"/>
              <w:jc w:val="left"/>
              <w:rPr/>
            </w:pPr>
            <w:r>
              <w:rPr/>
              <w:t> </w:t>
            </w:r>
          </w:p>
        </w:tc>
      </w:tr>
      <w:tr>
        <w:trPr/>
        <w:tc>
          <w:tcPr>
            <w:tcW w:w="703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269" w:name="xdx_407_eus-gaap--NoncashInvestingAndFin"/>
            <w:bookmarkEnd w:id="269"/>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70" w:name="xdx_406_eus-gaap--StockIssued1_i01_z3wLo"/>
            <w:bookmarkEnd w:id="270"/>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related to bonus and earnout payments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630</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w:t>
            </w:r>
          </w:p>
        </w:tc>
        <w:tc>
          <w:tcPr>
            <w:tcW w:w="113" w:type="dxa"/>
            <w:tcBorders/>
            <w:shd w:fill="CCEEFF" w:val="clear"/>
            <w:vAlign w:val="center"/>
          </w:tcPr>
          <w:p>
            <w:pPr>
              <w:pStyle w:val="TableContents"/>
              <w:bidi w:val="0"/>
              <w:spacing w:before="0" w:after="283"/>
              <w:jc w:val="left"/>
              <w:rPr/>
            </w:pPr>
            <w:r>
              <w:rPr/>
              <w:t> </w:t>
            </w:r>
            <w:bookmarkStart w:id="271" w:name="xdx_408_eus-gaap--DebtConversionConverte"/>
            <w:bookmarkEnd w:id="271"/>
          </w:p>
        </w:tc>
      </w:tr>
      <w:tr>
        <w:trPr/>
        <w:tc>
          <w:tcPr>
            <w:tcW w:w="70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Common stock issued related to conversion of convertible debt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146"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6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272" w:name="xdx_403_eus-gaap--RightOfUseAssetObtaine"/>
            <w:bookmarkEnd w:id="272"/>
          </w:p>
        </w:tc>
      </w:tr>
      <w:tr>
        <w:trPr/>
        <w:tc>
          <w:tcPr>
            <w:tcW w:w="70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right of use asset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1,247</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3" w:name="a_008"/>
      <w:bookmarkEnd w:id="273"/>
      <w:r>
        <w:rPr>
          <w:rFonts w:ascii="Times New Roman;Times;Serif" w:hAnsi="Times New Roman;Times;Serif"/>
          <w:b/>
          <w:i w:val="false"/>
          <w:caps w:val="false"/>
          <w:smallCaps w:val="false"/>
          <w:sz w:val="20"/>
        </w:rPr>
        <w:t>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4" w:name="xdx_805_eus-gaap--BusinessDescriptionAnd"/>
      <w:bookmarkEnd w:id="274"/>
      <w:r>
        <w:rPr>
          <w:rFonts w:ascii="Times New Roman;Times;Serif" w:hAnsi="Times New Roman;Times;Serif"/>
          <w:b/>
          <w:i w:val="false"/>
          <w:caps w:val="false"/>
          <w:smallCaps w:val="false"/>
          <w:sz w:val="20"/>
        </w:rPr>
        <w:t xml:space="preserve">(1) </w:t>
      </w:r>
      <w:bookmarkStart w:id="275" w:name="xdx_823_zXdFGQhpXjM1"/>
      <w:bookmarkEnd w:id="275"/>
      <w:r>
        <w:rPr>
          <w:rFonts w:ascii="Times New Roman;Times;Serif" w:hAnsi="Times New Roman;Times;Serif"/>
          <w:b/>
          <w:i w:val="false"/>
          <w:caps w:val="false"/>
          <w:smallCaps w:val="false"/>
          <w:sz w:val="20"/>
        </w:rPr>
        <w:t>Background, Basis of Presentation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Ocean Power Technologies, Inc. (the “Company” or “OPT”) was founded in 1984 in New Jersey, commenced business operations in 1994 and re-incorporated in Delaware in 2007. The Company provides ocean data collection and reporting, marine power, offshore communications and Maritime Domain Awareness Systems (“MDA” or “MDAS”) products and integrated solutions. The Company’s solutions focus on three major service areas: Data as a Service (“DaaS”), which includes data collected by Wave Adaptive Modular Vessel (WAM-V®) autonomous vehicles and PowerBuoy® product lines; Robotics as a Service (“RaaS”), which provides a lower cost subscription model for customers to access use of WAM-V’s®; and Power as a Service (“PaaS”), which includes PowerBuoy® products. The Company offers products and services to a wide-range of customers, including those in government and offshore energy, oil and gas, construction, wind power and other industries. The Company has been involved in the entire life cycle of product development, from product design through assembly, testing, deployment, maintenance and upgrades, while working closely with partners across the supply chain. The Company’s solutions are based on technologies that enable autonomous, zero or low carbon emitting, and cost-effective data collection, analysis, transportation, cooperation with other assets such as aerial drones, and communication. The Company’s solutions are primarily suited to ocean and other offshore environments, and support generation of actionable intelligence on a standalone basis or working with other data sources. The Company then channels the information it collects, and other communications, through control equipment linked to edge computing and cloud hosting environments. The Company’s goal is to generate most revenue from the sale or lease of products and solutions. The Company expects to continue having net cash outflows until it can generate positive cash flow from the commercialization of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8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2024, as filed with the SEC and elsewhere in subsequent Exchange Act filings, including this Form 10-Q. Certain amounts have been reclassified to conform to current period presentation. This reclassification had no impact on the previously reported net loss or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Going Concern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January 31, 2025, the Company incurred net losses of approximately $</w:t>
      </w:r>
      <w:bookmarkStart w:id="276" w:name="xdx_900_eus-gaap--NetIncomeLoss_iN_pn5n6"/>
      <w:bookmarkEnd w:id="276"/>
      <w:r>
        <w:rPr>
          <w:rFonts w:ascii="Times New Roman;Times;Serif" w:hAnsi="Times New Roman;Times;Serif"/>
          <w:b w:val="false"/>
          <w:i w:val="false"/>
          <w:caps w:val="false"/>
          <w:smallCaps w:val="false"/>
          <w:sz w:val="20"/>
        </w:rPr>
        <w:t>15.1 million and used cash in operations of approximately $</w:t>
      </w:r>
      <w:bookmarkStart w:id="277" w:name="xdx_902_eus-gaap--NetCashProvidedByUsedI"/>
      <w:bookmarkEnd w:id="277"/>
      <w:r>
        <w:rPr>
          <w:rFonts w:ascii="Times New Roman;Times;Serif" w:hAnsi="Times New Roman;Times;Serif"/>
          <w:b w:val="false"/>
          <w:i w:val="false"/>
          <w:caps w:val="false"/>
          <w:smallCaps w:val="false"/>
          <w:sz w:val="20"/>
        </w:rPr>
        <w:t>14.6 million. In addition, the Company has continued to make investments to support order backlog and future growth. For the nine months ended January 31, 2025 and through the date of filing of this Form 10-Q, the Company has obtained additional capital financing through our capital raises with certain investors. Despite this, management believes the Company’s current cash, cash equivalents, and restricted cash balances at January 31, 2025 of $</w:t>
      </w:r>
      <w:bookmarkStart w:id="278" w:name="xdx_90A_eus-gaap--CashCashEquivalentsRes"/>
      <w:bookmarkEnd w:id="278"/>
      <w:r>
        <w:rPr>
          <w:rFonts w:ascii="Times New Roman;Times;Serif" w:hAnsi="Times New Roman;Times;Serif"/>
          <w:b w:val="false"/>
          <w:i w:val="false"/>
          <w:caps w:val="false"/>
          <w:smallCaps w:val="false"/>
          <w:sz w:val="20"/>
        </w:rPr>
        <w:t>10.2 million may not be sufficient to fund its planned expenditures through March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and deployment risks and integration of acquisitions.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9" w:name="xdx_80E_eus-gaap--SignificantAccountingP"/>
      <w:bookmarkEnd w:id="279"/>
      <w:r>
        <w:rPr>
          <w:rFonts w:ascii="Times New Roman;Times;Serif" w:hAnsi="Times New Roman;Times;Serif"/>
          <w:b/>
          <w:i w:val="false"/>
          <w:caps w:val="false"/>
          <w:smallCaps w:val="false"/>
          <w:sz w:val="20"/>
        </w:rPr>
        <w:t xml:space="preserve">(2) </w:t>
      </w:r>
      <w:bookmarkStart w:id="280" w:name="xdx_82A_zsTlHqWqIGg9"/>
      <w:bookmarkEnd w:id="28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81" w:name="xdx_849_eus-gaap--ConsolidationPolicyTex"/>
      <w:bookmarkEnd w:id="281"/>
      <w:r>
        <w:rPr>
          <w:rFonts w:ascii="Times New Roman;Times;Serif" w:hAnsi="Times New Roman;Times;Serif"/>
          <w:b/>
          <w:i/>
          <w:caps w:val="false"/>
          <w:smallCaps w:val="false"/>
          <w:sz w:val="20"/>
        </w:rPr>
        <w:t xml:space="preserve">(a) </w:t>
      </w:r>
      <w:bookmarkStart w:id="282" w:name="xdx_86A_znNL8nBZnO1l"/>
      <w:bookmarkEnd w:id="282"/>
      <w:r>
        <w:rPr>
          <w:rFonts w:ascii="Times New Roman;Times;Serif" w:hAnsi="Times New Roman;Times;Serif"/>
          <w:b/>
          <w:i/>
          <w:caps w:val="false"/>
          <w:smallCaps w:val="false"/>
          <w:sz w:val="20"/>
        </w:rPr>
        <w:t>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the Company and its majority-owned subsidiaries, Marine Advanced Robotics Inc. (CA), referred to herein as MAR, 3dent Technologies LLC (3Dent), Oregon Wave Energy Partners I LLC (DE), ReedSport OPT WavePark, LLC (OR) and Ocean Power Technologies Ltd. in the United Kingdom. ReedSport OPT WavePark, LLC (OR) and Oregon Wave Energy Partners I, LLC (DE) were dissolved during the first quarter of fiscal 2024. 3dent was sold in November 2023 and the consolidated financial statements for the three and nine months ended January 31, 2024 include 3dent’s results of operations for the applicable periods through the date of sale. All significant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283" w:name="xdx_84E_eus-gaap--UseOfEstimates_zjN6wXn"/>
      <w:bookmarkEnd w:id="283"/>
      <w:r>
        <w:rPr>
          <w:rFonts w:ascii="Times New Roman;Times;Serif" w:hAnsi="Times New Roman;Times;Serif"/>
          <w:b/>
          <w:i/>
          <w:caps w:val="false"/>
          <w:smallCaps w:val="false"/>
          <w:sz w:val="20"/>
        </w:rPr>
        <w:t xml:space="preserve">(b) </w:t>
      </w:r>
      <w:bookmarkStart w:id="284" w:name="xdx_867_zxWVY1pbYmMk"/>
      <w:bookmarkEnd w:id="284"/>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requires management of the Company to make several estimates and assumptions relating to the reported amounts of assets and liabilities at the date of the consolidated financial statements and the reported amounts of revenue and expenses during the period. Significant items subject to such estimates and assumptions include, among other items, stock-based compensation based on actual and projected revenues, over time revenue recognition, valuation consideration related to business combinations, including contingent consideration based on actual and projected revenues, including discount rates and present values, and other assumptions and estimates used to evaluate the recoverability of long-lived assets, goodwill and other intangible assets.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85" w:name="xdx_84B_eus-gaap--CashAndCashEquivalents"/>
      <w:bookmarkEnd w:id="285"/>
      <w:r>
        <w:rPr>
          <w:rFonts w:ascii="Times New Roman;Times;Serif" w:hAnsi="Times New Roman;Times;Serif"/>
          <w:b/>
          <w:i/>
          <w:caps w:val="false"/>
          <w:smallCaps w:val="false"/>
          <w:sz w:val="20"/>
        </w:rPr>
        <w:t xml:space="preserve">(c) </w:t>
      </w:r>
      <w:bookmarkStart w:id="286" w:name="xdx_86F_zZQUuzasp85h"/>
      <w:bookmarkEnd w:id="286"/>
      <w:r>
        <w:rPr>
          <w:rFonts w:ascii="Times New Roman;Times;Serif" w:hAnsi="Times New Roman;Times;Serif"/>
          <w:b/>
          <w:i/>
          <w:caps w:val="false"/>
          <w:smallCaps w:val="false"/>
          <w:sz w:val="20"/>
        </w:rPr>
        <w:t xml:space="preserve">Cash, Cash Equivalents, Restricted Cash and Security Agreements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with an original maturity of three months or less when purchased, to be cash equivalents. The Company invests excess cash in a money market account. The Company had cash, cash equivalents and restricted cash of approximately $</w:t>
      </w:r>
      <w:bookmarkStart w:id="287" w:name="xdx_906_eus-gaap--CashCashEquivalentsRes"/>
      <w:bookmarkEnd w:id="287"/>
      <w:r>
        <w:rPr>
          <w:rFonts w:ascii="Times New Roman;Times;Serif" w:hAnsi="Times New Roman;Times;Serif"/>
          <w:b w:val="false"/>
          <w:i w:val="false"/>
          <w:caps w:val="false"/>
          <w:smallCaps w:val="false"/>
          <w:sz w:val="20"/>
        </w:rPr>
        <w:t>10.2 million and $</w:t>
      </w:r>
      <w:bookmarkStart w:id="288" w:name="xdx_90A_eus-gaap--CashCashEquivalentsRes"/>
      <w:bookmarkEnd w:id="288"/>
      <w:r>
        <w:rPr>
          <w:rFonts w:ascii="Times New Roman;Times;Serif" w:hAnsi="Times New Roman;Times;Serif"/>
          <w:b w:val="false"/>
          <w:i w:val="false"/>
          <w:caps w:val="false"/>
          <w:smallCaps w:val="false"/>
          <w:sz w:val="20"/>
        </w:rPr>
        <w:t>3.3 million as of January 31, 2025 and April 30, 2024, respectfully.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Cash and Security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letter of credit agreement with Santander Bank, N.A. (“Santander”). Cash of $</w:t>
      </w:r>
      <w:bookmarkStart w:id="289" w:name="xdx_90C_eus-gaap--Deposits_iI_c20250131_"/>
      <w:bookmarkEnd w:id="289"/>
      <w:r>
        <w:rPr>
          <w:rFonts w:ascii="Times New Roman;Times;Serif" w:hAnsi="Times New Roman;Times;Serif"/>
          <w:b w:val="false"/>
          <w:i w:val="false"/>
          <w:caps w:val="false"/>
          <w:smallCaps w:val="false"/>
          <w:sz w:val="20"/>
        </w:rPr>
        <w:t>154,000 is on deposit at Santander and serves as security for a letter of credit issued by Santander for the lease of warehouse/office space in Monroe Township, New Jersey.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prior years, Santander also issued a letter of credit to subsidiaries of Enel Green Power (“EGP”) pursuant to the Company’s contracts with EGP. A letter of credit was issued in the amount of $</w:t>
      </w:r>
      <w:bookmarkStart w:id="290" w:name="xdx_903_ecustom--LettersOfCreditIssuedAm"/>
      <w:bookmarkEnd w:id="290"/>
      <w:r>
        <w:rPr>
          <w:rFonts w:ascii="Times New Roman;Times;Serif" w:hAnsi="Times New Roman;Times;Serif"/>
          <w:b w:val="false"/>
          <w:i w:val="false"/>
          <w:caps w:val="false"/>
          <w:smallCaps w:val="false"/>
          <w:sz w:val="20"/>
        </w:rPr>
        <w:t>645,000 and was reduced to $</w:t>
      </w:r>
      <w:bookmarkStart w:id="291" w:name="xdx_905_eus-gaap--LettersOfCreditOutstan"/>
      <w:bookmarkEnd w:id="291"/>
      <w:r>
        <w:rPr>
          <w:rFonts w:ascii="Times New Roman;Times;Serif" w:hAnsi="Times New Roman;Times;Serif"/>
          <w:b w:val="false"/>
          <w:i w:val="false"/>
          <w:caps w:val="false"/>
          <w:smallCaps w:val="false"/>
          <w:sz w:val="20"/>
        </w:rPr>
        <w:t>323,000 in August 2020. The letter of credit was further reduced by an additional $</w:t>
      </w:r>
      <w:bookmarkStart w:id="292" w:name="xdx_907_eus-gaap--LettersOfCreditOutstan"/>
      <w:bookmarkEnd w:id="292"/>
      <w:r>
        <w:rPr>
          <w:rFonts w:ascii="Times New Roman;Times;Serif" w:hAnsi="Times New Roman;Times;Serif"/>
          <w:b w:val="false"/>
          <w:i w:val="false"/>
          <w:caps w:val="false"/>
          <w:smallCaps w:val="false"/>
          <w:sz w:val="20"/>
        </w:rPr>
        <w:t>258,000 in January 2023, when the legacy PB3 PowerBuoy® (“PB3”) and its accompanying systems passed final acceptance testing. The remaining restricted amount of $</w:t>
      </w:r>
      <w:bookmarkStart w:id="293" w:name="xdx_904_eus-gaap--LettersOfCreditOutstan"/>
      <w:bookmarkEnd w:id="293"/>
      <w:r>
        <w:rPr>
          <w:rFonts w:ascii="Times New Roman;Times;Serif" w:hAnsi="Times New Roman;Times;Serif"/>
          <w:b w:val="false"/>
          <w:i w:val="false"/>
          <w:caps w:val="false"/>
          <w:smallCaps w:val="false"/>
          <w:sz w:val="20"/>
        </w:rPr>
        <w:t>65,000 was released in January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94" w:name="xdx_898_eus-gaap--ScheduleOfRestrictedCa"/>
      <w:bookmarkEnd w:id="294"/>
      <w:r>
        <w:rPr>
          <w:rFonts w:ascii="Times New Roman;Times;Serif" w:hAnsi="Times New Roman;Times;Serif"/>
          <w:b w:val="false"/>
          <w:i w:val="false"/>
          <w:caps w:val="false"/>
          <w:smallCaps w:val="false"/>
          <w:sz w:val="20"/>
        </w:rPr>
        <w:t>The following table provides a reconciliation of cash, cash equivalents and restricted cash reported within the Consolidated Balance Sheets that total to the same amounts shown in the Consolidated Statements of Cash Flows.</w:t>
      </w:r>
    </w:p>
    <w:p>
      <w:pPr>
        <w:pStyle w:val="TextBody"/>
        <w:bidi w:val="0"/>
        <w:spacing w:before="0" w:after="0"/>
        <w:ind w:left="0" w:right="0" w:hanging="0"/>
        <w:jc w:val="both"/>
        <w:rPr>
          <w:caps w:val="false"/>
          <w:smallCaps w:val="false"/>
        </w:rPr>
      </w:pPr>
      <w:r>
        <w:rPr>
          <w:caps w:val="false"/>
          <w:smallCaps w:val="false"/>
        </w:rPr>
        <w:t> </w:t>
      </w:r>
      <w:bookmarkStart w:id="295" w:name="xdx_8B7_zN8NRvfiIbak"/>
      <w:bookmarkEnd w:id="295"/>
      <w:r>
        <w:rPr>
          <w:rFonts w:ascii="Times New Roman;Times;Serif" w:hAnsi="Times New Roman;Times;Serif"/>
          <w:b w:val="false"/>
          <w:i w:val="false"/>
          <w:caps w:val="false"/>
          <w:smallCaps w:val="false"/>
          <w:sz w:val="20"/>
        </w:rPr>
        <w:t>Schedule of Cash, Cash Equivalents and Restricted Cash</w:t>
      </w:r>
    </w:p>
    <w:tbl>
      <w:tblPr>
        <w:tblW w:w="10049" w:type="dxa"/>
        <w:jc w:val="left"/>
        <w:tblInd w:w="0" w:type="dxa"/>
        <w:tblLayout w:type="fixed"/>
        <w:tblCellMar>
          <w:top w:w="0" w:type="dxa"/>
          <w:left w:w="0" w:type="dxa"/>
          <w:bottom w:w="0" w:type="dxa"/>
          <w:right w:w="0" w:type="dxa"/>
        </w:tblCellMar>
      </w:tblPr>
      <w:tblGrid>
        <w:gridCol w:w="6560"/>
        <w:gridCol w:w="60"/>
        <w:gridCol w:w="302"/>
        <w:gridCol w:w="1472"/>
        <w:gridCol w:w="60"/>
        <w:gridCol w:w="60"/>
        <w:gridCol w:w="292"/>
        <w:gridCol w:w="1168"/>
        <w:gridCol w:w="75"/>
      </w:tblGrid>
      <w:tr>
        <w:trPr/>
        <w:tc>
          <w:tcPr>
            <w:tcW w:w="6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296" w:name="xdx_493_20250131_zhHhjItthUR9"/>
            <w:bookmarkEnd w:id="296"/>
          </w:p>
        </w:tc>
        <w:tc>
          <w:tcPr>
            <w:tcW w:w="17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97" w:name="xdx_49E_20240430_zrG6BVuc3PPg"/>
            <w:bookmarkEnd w:id="297"/>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 2024</w:t>
            </w:r>
          </w:p>
        </w:tc>
        <w:tc>
          <w:tcPr>
            <w:tcW w:w="75"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4"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75" w:type="dxa"/>
            <w:tcBorders/>
            <w:vAlign w:val="center"/>
          </w:tcPr>
          <w:p>
            <w:pPr>
              <w:pStyle w:val="TableContents"/>
              <w:bidi w:val="0"/>
              <w:spacing w:before="0" w:after="283"/>
              <w:jc w:val="left"/>
              <w:rPr/>
            </w:pPr>
            <w:r>
              <w:rPr/>
              <w:t> </w:t>
            </w:r>
            <w:bookmarkStart w:id="298" w:name="xdx_40D_eus-gaap--CashAndCashEquivalents"/>
            <w:bookmarkEnd w:id="298"/>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and cash equivalents</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7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3,151</w:t>
            </w:r>
          </w:p>
        </w:tc>
        <w:tc>
          <w:tcPr>
            <w:tcW w:w="75" w:type="dxa"/>
            <w:tcBorders/>
            <w:shd w:fill="CCEEFF" w:val="clear"/>
            <w:vAlign w:val="center"/>
          </w:tcPr>
          <w:p>
            <w:pPr>
              <w:pStyle w:val="TableContents"/>
              <w:bidi w:val="0"/>
              <w:spacing w:before="0" w:after="283"/>
              <w:jc w:val="left"/>
              <w:rPr/>
            </w:pPr>
            <w:r>
              <w:rPr/>
              <w:t> </w:t>
            </w:r>
            <w:bookmarkStart w:id="299" w:name="xdx_40B_eus-gaap--RestrictedCashNoncurre"/>
            <w:bookmarkEnd w:id="299"/>
          </w:p>
        </w:tc>
      </w:tr>
      <w:tr>
        <w:trPr/>
        <w:tc>
          <w:tcPr>
            <w:tcW w:w="65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Restricted cash- long term</w:t>
            </w:r>
          </w:p>
        </w:tc>
        <w:tc>
          <w:tcPr>
            <w:tcW w:w="60" w:type="dxa"/>
            <w:tcBorders/>
            <w:shd w:fill="FFFFFF" w:val="clear"/>
            <w:vAlign w:val="center"/>
          </w:tcPr>
          <w:p>
            <w:pPr>
              <w:pStyle w:val="TableContents"/>
              <w:bidi w:val="0"/>
              <w:spacing w:before="0" w:after="283"/>
              <w:jc w:val="left"/>
              <w:rPr/>
            </w:pPr>
            <w:r>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w:t>
            </w:r>
          </w:p>
        </w:tc>
        <w:tc>
          <w:tcPr>
            <w:tcW w:w="75" w:type="dxa"/>
            <w:tcBorders/>
            <w:shd w:fill="FFFFFF" w:val="clear"/>
            <w:vAlign w:val="center"/>
          </w:tcPr>
          <w:p>
            <w:pPr>
              <w:pStyle w:val="TableContents"/>
              <w:bidi w:val="0"/>
              <w:spacing w:before="0" w:after="283"/>
              <w:jc w:val="left"/>
              <w:rPr/>
            </w:pPr>
            <w:r>
              <w:rPr/>
              <w:t> </w:t>
            </w:r>
            <w:bookmarkStart w:id="300" w:name="xdx_400_eus-gaap--CashCashEquivalentsRes"/>
            <w:bookmarkEnd w:id="300"/>
          </w:p>
        </w:tc>
      </w:tr>
      <w:tr>
        <w:trPr/>
        <w:tc>
          <w:tcPr>
            <w:tcW w:w="6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 cash equivalents, restricted cash and restricted cash equivalents</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7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01" w:name="xdx_8A5_zndxDXfZoeh6"/>
      <w:bookmarkEnd w:id="301"/>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2" w:name="xdx_843_eus-gaap--InventoryPolicyTextBlo"/>
      <w:bookmarkEnd w:id="302"/>
      <w:r>
        <w:rPr>
          <w:rFonts w:ascii="Times New Roman;Times;Serif" w:hAnsi="Times New Roman;Times;Serif"/>
          <w:b/>
          <w:i/>
          <w:caps w:val="false"/>
          <w:smallCaps w:val="false"/>
          <w:sz w:val="20"/>
        </w:rPr>
        <w:t xml:space="preserve">(d) </w:t>
      </w:r>
      <w:bookmarkStart w:id="303" w:name="xdx_866_z0r5Mo4ienBf"/>
      <w:bookmarkEnd w:id="303"/>
      <w:r>
        <w:rPr>
          <w:rFonts w:ascii="Times New Roman;Times;Serif" w:hAnsi="Times New Roman;Times;Serif"/>
          <w:b/>
          <w:i/>
          <w:caps w:val="false"/>
          <w:smallCaps w:val="false"/>
          <w:sz w:val="20"/>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Accounting Standards Codification 330 (ASC 330), inventory is stated at the lower of costs or net realizable value applicable to goods on hand. Items remain in inventory until they are shipped to the customer, at which time the costs are transferred on a FIFO basis to cost of revenues, or moved to leased assets as applicable, following the matching principle where costs and revenues are recognized in the same period. The Company has three classes of inventory; raw materials, work in process, and finished goods.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4" w:name="xdx_844_eus-gaap--TradeAndOtherAccountsR"/>
      <w:bookmarkEnd w:id="304"/>
      <w:r>
        <w:rPr>
          <w:rFonts w:ascii="Times New Roman;Times;Serif" w:hAnsi="Times New Roman;Times;Serif"/>
          <w:b/>
          <w:i/>
          <w:caps w:val="false"/>
          <w:smallCaps w:val="false"/>
          <w:sz w:val="20"/>
        </w:rPr>
        <w:t xml:space="preserve">(e) </w:t>
      </w:r>
      <w:bookmarkStart w:id="305" w:name="xdx_86F_z2yDhNA1mlF9"/>
      <w:bookmarkEnd w:id="305"/>
      <w:r>
        <w:rPr>
          <w:rFonts w:ascii="Times New Roman;Times;Serif" w:hAnsi="Times New Roman;Times;Serif"/>
          <w:b/>
          <w:i/>
          <w:caps w:val="false"/>
          <w:smallCaps w:val="false"/>
          <w:sz w:val="20"/>
        </w:rPr>
        <w:t>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stated at the net amount expected to be collected. Amounts are usually due between 30 and 90 days after the invoice issuance. The Company is exposed to credit losses primarily on accounts receivable and contract assets related to sales to customers. If applicable, an allowance for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Based on these factors, management has determined the allowance for credit losses of approximately $</w:t>
      </w:r>
      <w:bookmarkStart w:id="306" w:name="xdx_90E_eus-gaap--AllowanceForDoubtfulAc"/>
      <w:bookmarkEnd w:id="306"/>
      <w:r>
        <w:rPr>
          <w:rFonts w:ascii="Times New Roman;Times;Serif" w:hAnsi="Times New Roman;Times;Serif"/>
          <w:b w:val="false"/>
          <w:i w:val="false"/>
          <w:caps w:val="false"/>
          <w:smallCaps w:val="false"/>
          <w:sz w:val="20"/>
        </w:rPr>
        <w:t>100,000. Expected credit losses are written off in the period in which the financial assets are no longer collectible.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grants credit to its customers, generally, without collateral, under normal payment. Generally, invoicing occurs after the services are performed or control of the product has transferred to the customer. Accounts receivable represent an unconditional right to consideration arising from the Company’s performance under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07" w:name="xdx_84E_eus-gaap--PropertyPlantAndEquipm"/>
      <w:bookmarkEnd w:id="307"/>
      <w:r>
        <w:rPr>
          <w:rFonts w:ascii="Times New Roman;Times;Serif" w:hAnsi="Times New Roman;Times;Serif"/>
          <w:b/>
          <w:i/>
          <w:caps w:val="false"/>
          <w:smallCaps w:val="false"/>
          <w:sz w:val="20"/>
        </w:rPr>
        <w:t xml:space="preserve">(f) </w:t>
      </w:r>
      <w:bookmarkStart w:id="308" w:name="xdx_86D_zusqDI3l9Iyg"/>
      <w:bookmarkEnd w:id="308"/>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is stated at cost, less accumulated depreciation and amortization. Depreciation and amortization is calculated using the straight-line method over the estimated useful lives (three to ten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pStyle w:val="TextBody"/>
        <w:bidi w:val="0"/>
        <w:spacing w:before="0" w:after="0"/>
        <w:ind w:left="0" w:right="0" w:hanging="0"/>
        <w:jc w:val="both"/>
        <w:rPr>
          <w:caps w:val="false"/>
          <w:smallCaps w:val="false"/>
        </w:rPr>
      </w:pPr>
      <w:bookmarkStart w:id="309" w:name="xdx_899_ecustom--PropertyPlantAndEquipme"/>
      <w:bookmarkEnd w:id="309"/>
      <w:r>
        <w:rPr>
          <w:caps w:val="false"/>
          <w:smallCaps w:val="false"/>
        </w:rPr>
        <w:t> </w:t>
      </w:r>
      <w:bookmarkStart w:id="310" w:name="xdx_8B3_zIqxApRKeYB3"/>
      <w:bookmarkEnd w:id="310"/>
      <w:r>
        <w:rPr>
          <w:rFonts w:ascii="Times New Roman;Times;Serif" w:hAnsi="Times New Roman;Times;Serif"/>
          <w:b w:val="false"/>
          <w:i w:val="false"/>
          <w:caps w:val="false"/>
          <w:smallCaps w:val="false"/>
          <w:sz w:val="20"/>
        </w:rPr>
        <w:t>Schedule of Property and Equipment Estimated Depreciable Life</w:t>
      </w:r>
    </w:p>
    <w:tbl>
      <w:tblPr>
        <w:tblW w:w="6610" w:type="dxa"/>
        <w:jc w:val="left"/>
        <w:tblInd w:w="0" w:type="dxa"/>
        <w:tblLayout w:type="fixed"/>
        <w:tblCellMar>
          <w:top w:w="0" w:type="dxa"/>
          <w:left w:w="0" w:type="dxa"/>
          <w:bottom w:w="28" w:type="dxa"/>
          <w:right w:w="0" w:type="dxa"/>
        </w:tblCellMar>
      </w:tblPr>
      <w:tblGrid>
        <w:gridCol w:w="2675"/>
        <w:gridCol w:w="60"/>
        <w:gridCol w:w="3875"/>
      </w:tblGrid>
      <w:tr>
        <w:trPr/>
        <w:tc>
          <w:tcPr>
            <w:tcW w:w="267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 depreciable life</w:t>
            </w:r>
          </w:p>
        </w:tc>
      </w:tr>
      <w:tr>
        <w:trPr/>
        <w:tc>
          <w:tcPr>
            <w:tcW w:w="267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26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Equipment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11" w:name="xdx_903_eus-gaap--PropertyPlantAndEquipm"/>
            <w:bookmarkEnd w:id="311"/>
            <w:r>
              <w:rPr>
                <w:rFonts w:ascii="Times New Roman;Times;Serif" w:hAnsi="Times New Roman;Times;Serif"/>
                <w:b w:val="false"/>
                <w:i w:val="false"/>
                <w:caps w:val="false"/>
                <w:smallCaps w:val="false"/>
                <w:sz w:val="20"/>
              </w:rPr>
              <w:t>5-</w:t>
            </w:r>
            <w:bookmarkStart w:id="312" w:name="xdx_904_eus-gaap--PropertyPlantAndEquipm"/>
            <w:bookmarkEnd w:id="312"/>
            <w:r>
              <w:rPr>
                <w:rFonts w:ascii="Times New Roman;Times;Serif" w:hAnsi="Times New Roman;Times;Serif"/>
                <w:b w:val="false"/>
                <w:i w:val="false"/>
                <w:caps w:val="false"/>
                <w:smallCaps w:val="false"/>
                <w:sz w:val="20"/>
              </w:rPr>
              <w:t>7 years</w:t>
            </w:r>
          </w:p>
        </w:tc>
      </w:tr>
      <w:tr>
        <w:trPr/>
        <w:tc>
          <w:tcPr>
            <w:tcW w:w="26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equipment &amp; software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13" w:name="xdx_90C_eus-gaap--PropertyPlantAndEquipm"/>
            <w:bookmarkEnd w:id="313"/>
            <w:r>
              <w:rPr>
                <w:rFonts w:ascii="Times New Roman;Times;Serif" w:hAnsi="Times New Roman;Times;Serif"/>
                <w:b w:val="false"/>
                <w:i w:val="false"/>
                <w:caps w:val="false"/>
                <w:smallCaps w:val="false"/>
                <w:sz w:val="20"/>
              </w:rPr>
              <w:t>3 years</w:t>
            </w:r>
          </w:p>
        </w:tc>
      </w:tr>
      <w:tr>
        <w:trPr/>
        <w:tc>
          <w:tcPr>
            <w:tcW w:w="26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furniture &amp; fixtures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14" w:name="xdx_90F_eus-gaap--PropertyPlantAndEquipm"/>
            <w:bookmarkEnd w:id="314"/>
            <w:r>
              <w:rPr>
                <w:rFonts w:ascii="Times New Roman;Times;Serif" w:hAnsi="Times New Roman;Times;Serif"/>
                <w:b w:val="false"/>
                <w:i w:val="false"/>
                <w:caps w:val="false"/>
                <w:smallCaps w:val="false"/>
                <w:sz w:val="20"/>
              </w:rPr>
              <w:t>3-</w:t>
            </w:r>
            <w:bookmarkStart w:id="315" w:name="xdx_909_eus-gaap--PropertyPlantAndEquipm"/>
            <w:bookmarkEnd w:id="315"/>
            <w:r>
              <w:rPr>
                <w:rFonts w:ascii="Times New Roman;Times;Serif" w:hAnsi="Times New Roman;Times;Serif"/>
                <w:b w:val="false"/>
                <w:i w:val="false"/>
                <w:caps w:val="false"/>
                <w:smallCaps w:val="false"/>
                <w:sz w:val="20"/>
              </w:rPr>
              <w:t>7 years</w:t>
            </w:r>
          </w:p>
        </w:tc>
      </w:tr>
      <w:tr>
        <w:trPr/>
        <w:tc>
          <w:tcPr>
            <w:tcW w:w="26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16" w:name="xdx_90D_eus-gaap--PropertyPlantAndEquipm"/>
            <w:bookmarkEnd w:id="316"/>
            <w:r>
              <w:rPr>
                <w:rFonts w:ascii="Times New Roman;Times;Serif" w:hAnsi="Times New Roman;Times;Serif"/>
                <w:b w:val="false"/>
                <w:i w:val="false"/>
                <w:caps w:val="false"/>
                <w:smallCaps w:val="false"/>
                <w:sz w:val="20"/>
              </w:rPr>
              <w:t>Shorter of the estimated useful life or lease term</w:t>
            </w:r>
          </w:p>
        </w:tc>
      </w:tr>
      <w:tr>
        <w:trPr/>
        <w:tc>
          <w:tcPr>
            <w:tcW w:w="26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Power Buoy assets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17" w:name="xdx_908_eus-gaap--PropertyPlantAndEquipm"/>
            <w:bookmarkEnd w:id="317"/>
            <w:r>
              <w:rPr>
                <w:rFonts w:ascii="Times New Roman;Times;Serif" w:hAnsi="Times New Roman;Times;Serif"/>
                <w:b w:val="false"/>
                <w:i w:val="false"/>
                <w:caps w:val="false"/>
                <w:smallCaps w:val="false"/>
                <w:sz w:val="20"/>
              </w:rPr>
              <w:t>10 years</w:t>
            </w:r>
          </w:p>
        </w:tc>
      </w:tr>
      <w:tr>
        <w:trPr/>
        <w:tc>
          <w:tcPr>
            <w:tcW w:w="26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WAM-V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7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18" w:name="xdx_906_eus-gaap--PropertyPlantAndEquipm"/>
            <w:bookmarkEnd w:id="318"/>
            <w:r>
              <w:rPr>
                <w:rFonts w:ascii="Times New Roman;Times;Serif" w:hAnsi="Times New Roman;Times;Serif"/>
                <w:b w:val="false"/>
                <w:i w:val="false"/>
                <w:caps w:val="false"/>
                <w:smallCaps w:val="false"/>
                <w:sz w:val="20"/>
              </w:rPr>
              <w:t>10 years</w:t>
            </w:r>
          </w:p>
        </w:tc>
      </w:tr>
    </w:tbl>
    <w:p>
      <w:pPr>
        <w:pStyle w:val="TextBody"/>
        <w:bidi w:val="0"/>
        <w:spacing w:before="0" w:after="0"/>
        <w:ind w:left="0" w:right="0" w:hanging="0"/>
        <w:jc w:val="both"/>
        <w:rPr>
          <w:caps w:val="false"/>
          <w:smallCaps w:val="false"/>
        </w:rPr>
      </w:pPr>
      <w:bookmarkStart w:id="319" w:name="xdx_8A8_zBzmezNd5yvb"/>
      <w:bookmarkEnd w:id="319"/>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0" w:name="xdx_846_eus-gaap--ForeignCurrencyTransac"/>
      <w:bookmarkEnd w:id="320"/>
      <w:r>
        <w:rPr>
          <w:rFonts w:ascii="Times New Roman;Times;Serif" w:hAnsi="Times New Roman;Times;Serif"/>
          <w:b/>
          <w:i/>
          <w:caps w:val="false"/>
          <w:smallCaps w:val="false"/>
          <w:sz w:val="20"/>
        </w:rPr>
        <w:t xml:space="preserve">(g) </w:t>
      </w:r>
      <w:bookmarkStart w:id="321" w:name="xdx_867_zWMh71QYWElb"/>
      <w:bookmarkEnd w:id="321"/>
      <w:r>
        <w:rPr>
          <w:rFonts w:ascii="Times New Roman;Times;Serif" w:hAnsi="Times New Roman;Times;Serif"/>
          <w:b/>
          <w:i/>
          <w:caps w:val="false"/>
          <w:smallCaps w:val="false"/>
          <w:sz w:val="20"/>
        </w:rPr>
        <w:t>Foreign Exchange Gains and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a foreign currency may result in realized and unrealized foreign exchange gains or losses from exchange rate fluctuations, which are included in “Foreign exchange gain” in the accompanying Consolidated Statements of Operations.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2" w:name="xdx_841_eus-gaap--ConcentrationRiskCredi"/>
      <w:bookmarkEnd w:id="322"/>
      <w:r>
        <w:rPr>
          <w:rFonts w:ascii="Times New Roman;Times;Serif" w:hAnsi="Times New Roman;Times;Serif"/>
          <w:b/>
          <w:i/>
          <w:caps w:val="false"/>
          <w:smallCaps w:val="false"/>
          <w:sz w:val="20"/>
        </w:rPr>
        <w:t xml:space="preserve">(h) </w:t>
      </w:r>
      <w:bookmarkStart w:id="323" w:name="xdx_867_zEYwUXTlXM01"/>
      <w:bookmarkEnd w:id="323"/>
      <w:r>
        <w:rPr>
          <w:rFonts w:ascii="Times New Roman;Times;Serif" w:hAnsi="Times New Roman;Times;Serif"/>
          <w:b/>
          <w:i/>
          <w:caps w:val="false"/>
          <w:smallCaps w:val="false"/>
          <w:sz w:val="20"/>
        </w:rPr>
        <w:t>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credit risk consist principally of trade accounts receivable and cash equivalents. The Company believes that its credit risk is limited because the Company’s current contracts are with entities with a reliable and predictable payment history. The Company invests its excess cash in a money market fund and does not believe that it is exposed to any significant risks related to its cash accounts, money market fund, or held-to maturity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nine months ended January 31, 2025 and 2024, the Company had four and five customers, respectively, whose revenues accounted for at least 10% of the Company’s consolidated revenues. These revenues accounted for approximately </w:t>
      </w:r>
      <w:bookmarkStart w:id="324" w:name="xdx_90B_eus-gaap--ConcentrationRiskPerce"/>
      <w:bookmarkEnd w:id="324"/>
      <w:r>
        <w:rPr>
          <w:rFonts w:ascii="Times New Roman;Times;Serif" w:hAnsi="Times New Roman;Times;Serif"/>
          <w:b w:val="false"/>
          <w:i w:val="false"/>
          <w:caps w:val="false"/>
          <w:smallCaps w:val="false"/>
          <w:sz w:val="20"/>
        </w:rPr>
        <w:t xml:space="preserve">73% and </w:t>
      </w:r>
      <w:bookmarkStart w:id="325" w:name="xdx_90C_eus-gaap--ConcentrationRiskPerce"/>
      <w:bookmarkEnd w:id="325"/>
      <w:r>
        <w:rPr>
          <w:rFonts w:ascii="Times New Roman;Times;Serif" w:hAnsi="Times New Roman;Times;Serif"/>
          <w:b w:val="false"/>
          <w:i w:val="false"/>
          <w:caps w:val="false"/>
          <w:smallCaps w:val="false"/>
          <w:sz w:val="20"/>
        </w:rPr>
        <w:t xml:space="preserve">36% of the Company’s total revenues for the respective periods. For the three months ended January 31, 2025 and 2024, the Company had three and two customers, respectively, whose revenues accounted for at least 10% of the Company’s consolidated revenues. These revenues accounted for approximately </w:t>
      </w:r>
      <w:bookmarkStart w:id="326" w:name="xdx_902_eus-gaap--ConcentrationRiskPerce"/>
      <w:bookmarkEnd w:id="326"/>
      <w:r>
        <w:rPr>
          <w:rFonts w:ascii="Times New Roman;Times;Serif" w:hAnsi="Times New Roman;Times;Serif"/>
          <w:b w:val="false"/>
          <w:i w:val="false"/>
          <w:caps w:val="false"/>
          <w:smallCaps w:val="false"/>
          <w:sz w:val="20"/>
        </w:rPr>
        <w:t xml:space="preserve">95% and </w:t>
      </w:r>
      <w:bookmarkStart w:id="327" w:name="xdx_909_eus-gaap--ConcentrationRiskPerce"/>
      <w:bookmarkEnd w:id="327"/>
      <w:r>
        <w:rPr>
          <w:rFonts w:ascii="Times New Roman;Times;Serif" w:hAnsi="Times New Roman;Times;Serif"/>
          <w:b w:val="false"/>
          <w:i w:val="false"/>
          <w:caps w:val="false"/>
          <w:smallCaps w:val="false"/>
          <w:sz w:val="20"/>
        </w:rPr>
        <w:t>85% of the Company’s total revenues for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28" w:name="xdx_845_eus-gaap--ShareBasedCompensation"/>
      <w:bookmarkEnd w:id="328"/>
      <w:r>
        <w:rPr>
          <w:rFonts w:ascii="Times New Roman;Times;Serif" w:hAnsi="Times New Roman;Times;Serif"/>
          <w:b/>
          <w:i/>
          <w:caps w:val="false"/>
          <w:smallCaps w:val="false"/>
          <w:sz w:val="20"/>
        </w:rPr>
        <w:t xml:space="preserve">(i) </w:t>
      </w:r>
      <w:bookmarkStart w:id="329" w:name="xdx_869_zXz0ogMoB9Z"/>
      <w:bookmarkEnd w:id="329"/>
      <w:r>
        <w:rPr>
          <w:rFonts w:ascii="Times New Roman;Times;Serif" w:hAnsi="Times New Roman;Times;Serif"/>
          <w:b/>
          <w:i/>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resulting from all share-based payment transactions are recognized in the consolidated financial statements at their fair values. The aggregate share-based compensation expense recorded in the Consolidated Statements of Operations for the nine months ended January 31, 2025 and 2024 was approximately $</w:t>
      </w:r>
      <w:bookmarkStart w:id="330" w:name="xdx_90F_eus-gaap--ShareBasedCompensation"/>
      <w:bookmarkEnd w:id="330"/>
      <w:r>
        <w:rPr>
          <w:rFonts w:ascii="Times New Roman;Times;Serif" w:hAnsi="Times New Roman;Times;Serif"/>
          <w:b w:val="false"/>
          <w:i w:val="false"/>
          <w:caps w:val="false"/>
          <w:smallCaps w:val="false"/>
          <w:sz w:val="20"/>
        </w:rPr>
        <w:t>1.3 million and $</w:t>
      </w:r>
      <w:bookmarkStart w:id="331" w:name="xdx_90D_eus-gaap--ShareBasedCompensation"/>
      <w:bookmarkEnd w:id="331"/>
      <w:r>
        <w:rPr>
          <w:rFonts w:ascii="Times New Roman;Times;Serif" w:hAnsi="Times New Roman;Times;Serif"/>
          <w:b w:val="false"/>
          <w:i w:val="false"/>
          <w:caps w:val="false"/>
          <w:smallCaps w:val="false"/>
          <w:sz w:val="20"/>
        </w:rPr>
        <w:t>0.8 million, respectively. For the three months ended January 31, 2025 and 2024, the aggregate share-based compensation expense was approximately $</w:t>
      </w:r>
      <w:bookmarkStart w:id="332" w:name="xdx_908_eus-gaap--ShareBasedCompensation"/>
      <w:bookmarkEnd w:id="332"/>
      <w:r>
        <w:rPr>
          <w:rFonts w:ascii="Times New Roman;Times;Serif" w:hAnsi="Times New Roman;Times;Serif"/>
          <w:b w:val="false"/>
          <w:i w:val="false"/>
          <w:caps w:val="false"/>
          <w:smallCaps w:val="false"/>
          <w:sz w:val="20"/>
        </w:rPr>
        <w:t>0.8 million and $</w:t>
      </w:r>
      <w:bookmarkStart w:id="333" w:name="xdx_908_eus-gaap--ShareBasedCompensation"/>
      <w:bookmarkEnd w:id="333"/>
      <w:r>
        <w:rPr>
          <w:rFonts w:ascii="Times New Roman;Times;Serif" w:hAnsi="Times New Roman;Times;Serif"/>
          <w:b w:val="false"/>
          <w:i w:val="false"/>
          <w:caps w:val="false"/>
          <w:smallCaps w:val="false"/>
          <w:sz w:val="20"/>
        </w:rPr>
        <w:t>0.1 million, respectively. The Company’s policy is to account for forfeitures of share-based compensation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upon vesting of Restricted Stock Units (“RSU”) that were granted to an employee, the employee is given the option to either pay the taxes themselves, or have enough shares of their RSU award withheld by the Company to cover the taxes incurred by the employee. In the event the employee elects to surrender shares to cover the tax implication, the Company maintains those shares in the Company’s treasury stock account. Shares held in the Company’s treasury stock account are not available for future RSU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334" w:name="xdx_844_eus-gaap--RevenueFromContractWit"/>
      <w:bookmarkEnd w:id="334"/>
      <w:r>
        <w:rPr>
          <w:rFonts w:ascii="Times New Roman;Times;Serif" w:hAnsi="Times New Roman;Times;Serif"/>
          <w:b/>
          <w:i/>
          <w:caps w:val="false"/>
          <w:smallCaps w:val="false"/>
          <w:sz w:val="20"/>
        </w:rPr>
        <w:t xml:space="preserve">(j) </w:t>
      </w:r>
      <w:bookmarkStart w:id="335" w:name="xdx_867_zaYwEVw0v24l"/>
      <w:bookmarkEnd w:id="335"/>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Estimates of variable consideration and determination of whether to include such amounts in the transaction price are based largely on the assessment of legal enforceability, performance, and any other information (historical, current, and forecasted) that is reasonably available to us. There was no variable consideration as of January 31, 2025 or 2024. The Company presents shipping and handling costs, that occur after control of the promised goods or services transfer to the customer, as fulfilment costs in costs of revenues and regular shipping and handling activities charged to operating expenses.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nine-month period ended January 31, 2025, the Company recognized approximately $</w:t>
      </w:r>
      <w:bookmarkStart w:id="336" w:name="xdx_903_eus-gaap--Revenues_pn5n6_c202405"/>
      <w:bookmarkEnd w:id="336"/>
      <w:r>
        <w:rPr>
          <w:rFonts w:ascii="Times New Roman;Times;Serif" w:hAnsi="Times New Roman;Times;Serif"/>
          <w:b w:val="false"/>
          <w:i w:val="false"/>
          <w:caps w:val="false"/>
          <w:smallCaps w:val="false"/>
          <w:sz w:val="20"/>
        </w:rPr>
        <w:t>4.0 million in revenue related to performance obligations satisfied at a point in time and approximately $</w:t>
      </w:r>
      <w:bookmarkStart w:id="337" w:name="xdx_909_eus-gaap--Revenues_pn5n6_c202405"/>
      <w:bookmarkEnd w:id="337"/>
      <w:r>
        <w:rPr>
          <w:rFonts w:ascii="Times New Roman;Times;Serif" w:hAnsi="Times New Roman;Times;Serif"/>
          <w:b w:val="false"/>
          <w:i w:val="false"/>
          <w:caps w:val="false"/>
          <w:smallCaps w:val="false"/>
          <w:sz w:val="20"/>
        </w:rPr>
        <w:t>0.5 million in revenue related to performance obligations satisfied over time. During the three-month period ended January 31, 2025, the Company recognized approximately $</w:t>
      </w:r>
      <w:bookmarkStart w:id="338" w:name="xdx_90E_eus-gaap--Revenues_pn5n6_c202411"/>
      <w:bookmarkEnd w:id="338"/>
      <w:r>
        <w:rPr>
          <w:rFonts w:ascii="Times New Roman;Times;Serif" w:hAnsi="Times New Roman;Times;Serif"/>
          <w:b w:val="false"/>
          <w:i w:val="false"/>
          <w:caps w:val="false"/>
          <w:smallCaps w:val="false"/>
          <w:sz w:val="20"/>
        </w:rPr>
        <w:t>0.4 million in revenue related to performance obligations satisfied at a point in time and approximately $</w:t>
      </w:r>
      <w:bookmarkStart w:id="339" w:name="xdx_906_eus-gaap--Revenues_pn5n6_c202411"/>
      <w:bookmarkEnd w:id="339"/>
      <w:r>
        <w:rPr>
          <w:rFonts w:ascii="Times New Roman;Times;Serif" w:hAnsi="Times New Roman;Times;Serif"/>
          <w:b w:val="false"/>
          <w:i w:val="false"/>
          <w:caps w:val="false"/>
          <w:smallCaps w:val="false"/>
          <w:sz w:val="20"/>
        </w:rPr>
        <w:t>0.4 million in revenue related to performance obligations satisfied over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are either cost-plus contracts, fixed-price contracts, time and material agreements, lease or service agreements. Under cost plus contracts, customers are billed for actual expenses incurred plus an agreed-upon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cost-sharing contracts, an amount corresponding to the revenue is recorded in cost of revenue, resulting in gross profit on these contracts of zero. The Company reports its disaggregation of revenue by contract type since this method best represents the Company’s business. For the nine-month periods ended January 31, 2025 and 2024, the majority of the Company’s contracts were classified as firm fixed-price and the remainder were cost-sharing.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contract-related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also includes revenue from certain contracts which do not fall within the scope of ASC 606, but under the scope of ASC 842, “Leases”. At inception of a contract for those classified under ASC 842, the Company classifies leases as either operating or financing in accordance with the authoritative accounting guidance contained within ASC 842.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Revenues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31, 2025, the Company’s total remaining performance obligations, also referred to as backlog, totalled $</w:t>
      </w:r>
      <w:bookmarkStart w:id="340" w:name="xdx_90B_eus-gaap--RevenueRemainingPerfor"/>
      <w:bookmarkEnd w:id="340"/>
      <w:r>
        <w:rPr>
          <w:rFonts w:ascii="Times New Roman;Times;Serif" w:hAnsi="Times New Roman;Times;Serif"/>
          <w:b w:val="false"/>
          <w:i w:val="false"/>
          <w:caps w:val="false"/>
          <w:smallCaps w:val="false"/>
          <w:sz w:val="20"/>
        </w:rPr>
        <w:t>7.5 million as compared to $</w:t>
      </w:r>
      <w:bookmarkStart w:id="341" w:name="xdx_906_eus-gaap--RevenueRemainingPerfor"/>
      <w:bookmarkEnd w:id="341"/>
      <w:r>
        <w:rPr>
          <w:rFonts w:ascii="Times New Roman;Times;Serif" w:hAnsi="Times New Roman;Times;Serif"/>
          <w:b w:val="false"/>
          <w:i w:val="false"/>
          <w:caps w:val="false"/>
          <w:smallCaps w:val="false"/>
          <w:sz w:val="20"/>
        </w:rPr>
        <w:t>3.3 million as of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record taxes collected from customers on a net basis and does not include tax amounts in revenue or costs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2" w:name="xdx_890_eus-gaap--DisaggregationOfRevenu"/>
      <w:bookmarkEnd w:id="342"/>
      <w:r>
        <w:rPr>
          <w:rFonts w:ascii="Times New Roman;Times;Serif" w:hAnsi="Times New Roman;Times;Serif"/>
          <w:b w:val="false"/>
          <w:i w:val="false"/>
          <w:caps w:val="false"/>
          <w:smallCaps w:val="false"/>
          <w:sz w:val="20"/>
        </w:rPr>
        <w:t>The table below represents the total revenue recognized under ASC 606 and ASC 842 for the three and nine months ended January 31, 2025 and 2024.</w:t>
      </w:r>
    </w:p>
    <w:p>
      <w:pPr>
        <w:pStyle w:val="TextBody"/>
        <w:bidi w:val="0"/>
        <w:spacing w:before="0" w:after="0"/>
        <w:ind w:left="0" w:right="0" w:hanging="0"/>
        <w:jc w:val="both"/>
        <w:rPr>
          <w:caps w:val="false"/>
          <w:smallCaps w:val="false"/>
        </w:rPr>
      </w:pPr>
      <w:r>
        <w:rPr>
          <w:caps w:val="false"/>
          <w:smallCaps w:val="false"/>
        </w:rPr>
        <w:t> </w:t>
      </w:r>
      <w:bookmarkStart w:id="343" w:name="xdx_8B8_zdvyACLLkw52"/>
      <w:bookmarkEnd w:id="343"/>
      <w:r>
        <w:rPr>
          <w:rFonts w:ascii="Times New Roman;Times;Serif" w:hAnsi="Times New Roman;Times;Serif"/>
          <w:b w:val="false"/>
          <w:i w:val="false"/>
          <w:caps w:val="false"/>
          <w:smallCaps w:val="false"/>
          <w:sz w:val="20"/>
        </w:rPr>
        <w:t>Schedule of Revenue Recognized Under ASC 606 and ASC 842</w:t>
      </w:r>
    </w:p>
    <w:tbl>
      <w:tblPr>
        <w:tblW w:w="10205" w:type="dxa"/>
        <w:jc w:val="left"/>
        <w:tblInd w:w="0" w:type="dxa"/>
        <w:tblLayout w:type="fixed"/>
        <w:tblCellMar>
          <w:top w:w="0" w:type="dxa"/>
          <w:left w:w="0" w:type="dxa"/>
          <w:bottom w:w="0" w:type="dxa"/>
          <w:right w:w="0" w:type="dxa"/>
        </w:tblCellMar>
      </w:tblPr>
      <w:tblGrid>
        <w:gridCol w:w="2440"/>
        <w:gridCol w:w="60"/>
        <w:gridCol w:w="249"/>
        <w:gridCol w:w="999"/>
        <w:gridCol w:w="80"/>
        <w:gridCol w:w="80"/>
        <w:gridCol w:w="334"/>
        <w:gridCol w:w="909"/>
        <w:gridCol w:w="80"/>
        <w:gridCol w:w="80"/>
        <w:gridCol w:w="187"/>
        <w:gridCol w:w="752"/>
        <w:gridCol w:w="60"/>
        <w:gridCol w:w="60"/>
        <w:gridCol w:w="249"/>
        <w:gridCol w:w="999"/>
        <w:gridCol w:w="80"/>
        <w:gridCol w:w="80"/>
        <w:gridCol w:w="334"/>
        <w:gridCol w:w="909"/>
        <w:gridCol w:w="80"/>
        <w:gridCol w:w="80"/>
        <w:gridCol w:w="187"/>
        <w:gridCol w:w="752"/>
        <w:gridCol w:w="85"/>
      </w:tblGrid>
      <w:tr>
        <w:trPr/>
        <w:tc>
          <w:tcPr>
            <w:tcW w:w="2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44" w:name="xdx_490_20240501__20250131__us-gaap--Adj"/>
            <w:bookmarkEnd w:id="344"/>
          </w:p>
        </w:tc>
        <w:tc>
          <w:tcPr>
            <w:tcW w:w="12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606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bookmarkStart w:id="345" w:name="xdx_493_20240501__20250131__us-gaap--Adj"/>
            <w:bookmarkEnd w:id="345"/>
          </w:p>
        </w:tc>
        <w:tc>
          <w:tcPr>
            <w:tcW w:w="12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842</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bookmarkStart w:id="346" w:name="xdx_49A_20240501__20250131_zHJnGWZKekae"/>
            <w:bookmarkEnd w:id="346"/>
          </w:p>
        </w:tc>
        <w:tc>
          <w:tcPr>
            <w:tcW w:w="9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bookmarkStart w:id="347" w:name="xdx_49B_20230501__20240131__us-gaap--Adj"/>
            <w:bookmarkEnd w:id="347"/>
          </w:p>
        </w:tc>
        <w:tc>
          <w:tcPr>
            <w:tcW w:w="12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606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bookmarkStart w:id="348" w:name="xdx_493_20230501__20240131__us-gaap--Adj"/>
            <w:bookmarkEnd w:id="348"/>
          </w:p>
        </w:tc>
        <w:tc>
          <w:tcPr>
            <w:tcW w:w="12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842</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bookmarkStart w:id="349" w:name="xdx_492_20230501__20240131_zqn1Le85AZa1"/>
            <w:bookmarkEnd w:id="349"/>
          </w:p>
        </w:tc>
        <w:tc>
          <w:tcPr>
            <w:tcW w:w="9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85" w:type="dxa"/>
            <w:tcBorders/>
            <w:vAlign w:val="center"/>
          </w:tcPr>
          <w:p>
            <w:pPr>
              <w:pStyle w:val="TableContents"/>
              <w:bidi w:val="0"/>
              <w:spacing w:before="0" w:after="283"/>
              <w:jc w:val="left"/>
              <w:rPr/>
            </w:pPr>
            <w:r>
              <w:rPr/>
              <w:t> </w:t>
            </w:r>
          </w:p>
        </w:tc>
      </w:tr>
      <w:tr>
        <w:trPr/>
        <w:tc>
          <w:tcPr>
            <w:tcW w:w="2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January 31, 2025</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7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January 31, 2024</w:t>
            </w:r>
          </w:p>
        </w:tc>
        <w:tc>
          <w:tcPr>
            <w:tcW w:w="85" w:type="dxa"/>
            <w:tcBorders/>
            <w:vAlign w:val="center"/>
          </w:tcPr>
          <w:p>
            <w:pPr>
              <w:pStyle w:val="TableContents"/>
              <w:bidi w:val="0"/>
              <w:spacing w:before="0" w:after="283"/>
              <w:jc w:val="left"/>
              <w:rPr/>
            </w:pPr>
            <w:r>
              <w:rPr/>
              <w:t> </w:t>
            </w:r>
          </w:p>
        </w:tc>
      </w:tr>
      <w:tr>
        <w:trPr/>
        <w:tc>
          <w:tcPr>
            <w:tcW w:w="2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606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842</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2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606</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2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842</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9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85" w:type="dxa"/>
            <w:tcBorders/>
            <w:vAlign w:val="center"/>
          </w:tcPr>
          <w:p>
            <w:pPr>
              <w:pStyle w:val="TableContents"/>
              <w:bidi w:val="0"/>
              <w:spacing w:before="0" w:after="283"/>
              <w:jc w:val="left"/>
              <w:rPr/>
            </w:pPr>
            <w:r>
              <w:rPr/>
              <w:t> </w:t>
            </w:r>
          </w:p>
        </w:tc>
      </w:tr>
      <w:tr>
        <w:trPr/>
        <w:tc>
          <w:tcPr>
            <w:tcW w:w="2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5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750"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85" w:type="dxa"/>
            <w:tcBorders/>
            <w:vAlign w:val="center"/>
          </w:tcPr>
          <w:p>
            <w:pPr>
              <w:pStyle w:val="TableContents"/>
              <w:bidi w:val="0"/>
              <w:spacing w:before="0" w:after="283"/>
              <w:jc w:val="left"/>
              <w:rPr/>
            </w:pPr>
            <w:r>
              <w:rPr/>
              <w:t> </w:t>
            </w:r>
          </w:p>
        </w:tc>
      </w:tr>
      <w:tr>
        <w:trPr/>
        <w:tc>
          <w:tcPr>
            <w:tcW w:w="2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Product Line: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bookmarkStart w:id="350" w:name="xdx_40E_eus-gaap--Revenues_hsrt--Product"/>
            <w:bookmarkEnd w:id="350"/>
          </w:p>
        </w:tc>
      </w:tr>
      <w:tr>
        <w:trPr/>
        <w:tc>
          <w:tcPr>
            <w:tcW w:w="2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WAM-V</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3,996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4,202</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2,521</w:t>
            </w:r>
          </w:p>
        </w:tc>
        <w:tc>
          <w:tcPr>
            <w:tcW w:w="85" w:type="dxa"/>
            <w:tcBorders/>
            <w:shd w:fill="FFFFFF" w:val="clear"/>
            <w:vAlign w:val="center"/>
          </w:tcPr>
          <w:p>
            <w:pPr>
              <w:pStyle w:val="TableContents"/>
              <w:bidi w:val="0"/>
              <w:spacing w:before="0" w:after="283"/>
              <w:jc w:val="left"/>
              <w:rPr/>
            </w:pPr>
            <w:r>
              <w:rPr/>
              <w:t> </w:t>
            </w:r>
            <w:bookmarkStart w:id="351" w:name="xdx_404_eus-gaap--Revenues_hsrt--Product"/>
            <w:bookmarkEnd w:id="351"/>
          </w:p>
        </w:tc>
      </w:tr>
      <w:tr>
        <w:trPr/>
        <w:tc>
          <w:tcPr>
            <w:tcW w:w="2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Buoy</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85" w:type="dxa"/>
            <w:tcBorders/>
            <w:shd w:fill="CCEEFF" w:val="clear"/>
            <w:vAlign w:val="center"/>
          </w:tcPr>
          <w:p>
            <w:pPr>
              <w:pStyle w:val="TableContents"/>
              <w:bidi w:val="0"/>
              <w:spacing w:before="0" w:after="283"/>
              <w:jc w:val="left"/>
              <w:rPr/>
            </w:pPr>
            <w:r>
              <w:rPr/>
              <w:t> </w:t>
            </w:r>
            <w:bookmarkStart w:id="352" w:name="xdx_407_eus-gaap--Revenues_hsrt--Product"/>
            <w:bookmarkEnd w:id="352"/>
          </w:p>
        </w:tc>
      </w:tr>
      <w:tr>
        <w:trPr/>
        <w:tc>
          <w:tcPr>
            <w:tcW w:w="2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482</w:t>
            </w:r>
          </w:p>
        </w:tc>
        <w:tc>
          <w:tcPr>
            <w:tcW w:w="85" w:type="dxa"/>
            <w:tcBorders/>
            <w:shd w:fill="FFFFFF" w:val="clear"/>
            <w:vAlign w:val="center"/>
          </w:tcPr>
          <w:p>
            <w:pPr>
              <w:pStyle w:val="TableContents"/>
              <w:bidi w:val="0"/>
              <w:spacing w:before="0" w:after="283"/>
              <w:jc w:val="left"/>
              <w:rPr/>
            </w:pPr>
            <w:r>
              <w:rPr/>
              <w:t> </w:t>
            </w:r>
            <w:bookmarkStart w:id="353" w:name="xdx_405_eus-gaap--Revenues_hsrt--Product"/>
            <w:bookmarkEnd w:id="353"/>
          </w:p>
        </w:tc>
      </w:tr>
      <w:tr>
        <w:trPr/>
        <w:tc>
          <w:tcPr>
            <w:tcW w:w="2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4,339</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3,953</w:t>
            </w:r>
          </w:p>
        </w:tc>
        <w:tc>
          <w:tcPr>
            <w:tcW w:w="85" w:type="dxa"/>
            <w:tcBorders/>
            <w:shd w:fill="CCEEFF" w:val="clear"/>
            <w:vAlign w:val="center"/>
          </w:tcPr>
          <w:p>
            <w:pPr>
              <w:pStyle w:val="TableContents"/>
              <w:bidi w:val="0"/>
              <w:spacing w:before="0" w:after="283"/>
              <w:jc w:val="left"/>
              <w:rPr/>
            </w:pPr>
            <w:r>
              <w:rPr/>
              <w:t> </w:t>
            </w:r>
          </w:p>
        </w:tc>
      </w:tr>
      <w:tr>
        <w:trPr/>
        <w:tc>
          <w:tcPr>
            <w:tcW w:w="2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9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2440"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Region:</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bookmarkStart w:id="354" w:name="xdx_408_eus-gaap--Revenues_hsrt--Stateme"/>
            <w:bookmarkEnd w:id="354"/>
          </w:p>
        </w:tc>
      </w:tr>
      <w:tr>
        <w:trPr/>
        <w:tc>
          <w:tcPr>
            <w:tcW w:w="2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North and South America</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3,046</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3,046</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3,025</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750</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3,775</w:t>
            </w:r>
          </w:p>
        </w:tc>
        <w:tc>
          <w:tcPr>
            <w:tcW w:w="85" w:type="dxa"/>
            <w:tcBorders/>
            <w:shd w:fill="FFFFFF" w:val="clear"/>
            <w:vAlign w:val="center"/>
          </w:tcPr>
          <w:p>
            <w:pPr>
              <w:pStyle w:val="TableContents"/>
              <w:bidi w:val="0"/>
              <w:spacing w:before="0" w:after="283"/>
              <w:jc w:val="left"/>
              <w:rPr/>
            </w:pPr>
            <w:r>
              <w:rPr/>
              <w:t> </w:t>
            </w:r>
            <w:bookmarkStart w:id="355" w:name="xdx_401_eus-gaap--Revenues_hsrt--Stateme"/>
            <w:bookmarkEnd w:id="355"/>
          </w:p>
        </w:tc>
      </w:tr>
      <w:tr>
        <w:trPr/>
        <w:tc>
          <w:tcPr>
            <w:tcW w:w="2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EMEA</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1,497</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w:t>
            </w:r>
          </w:p>
        </w:tc>
        <w:tc>
          <w:tcPr>
            <w:tcW w:w="85" w:type="dxa"/>
            <w:tcBorders/>
            <w:shd w:fill="CCEEFF" w:val="clear"/>
            <w:vAlign w:val="center"/>
          </w:tcPr>
          <w:p>
            <w:pPr>
              <w:pStyle w:val="TableContents"/>
              <w:bidi w:val="0"/>
              <w:spacing w:before="0" w:after="283"/>
              <w:jc w:val="left"/>
              <w:rPr/>
            </w:pPr>
            <w:r>
              <w:rPr/>
              <w:t> </w:t>
            </w:r>
            <w:bookmarkStart w:id="356" w:name="xdx_40C_eus-gaap--Revenues_hsrt--Stateme"/>
            <w:bookmarkEnd w:id="356"/>
          </w:p>
        </w:tc>
      </w:tr>
      <w:tr>
        <w:trPr/>
        <w:tc>
          <w:tcPr>
            <w:tcW w:w="24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Asia and Australia</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3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bookmarkStart w:id="357" w:name="xdx_400_eus-gaap--Revenues_hsrt--Stateme"/>
            <w:bookmarkEnd w:id="357"/>
          </w:p>
        </w:tc>
      </w:tr>
      <w:tr>
        <w:trPr/>
        <w:tc>
          <w:tcPr>
            <w:tcW w:w="24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4,339</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3,057</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0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896</w:t>
            </w:r>
          </w:p>
        </w:tc>
        <w:tc>
          <w:tcPr>
            <w:tcW w:w="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3,953</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66"/>
        <w:gridCol w:w="60"/>
        <w:gridCol w:w="353"/>
        <w:gridCol w:w="961"/>
        <w:gridCol w:w="85"/>
        <w:gridCol w:w="85"/>
        <w:gridCol w:w="458"/>
        <w:gridCol w:w="855"/>
        <w:gridCol w:w="85"/>
        <w:gridCol w:w="85"/>
        <w:gridCol w:w="215"/>
        <w:gridCol w:w="590"/>
        <w:gridCol w:w="60"/>
        <w:gridCol w:w="60"/>
        <w:gridCol w:w="252"/>
        <w:gridCol w:w="1012"/>
        <w:gridCol w:w="82"/>
        <w:gridCol w:w="82"/>
        <w:gridCol w:w="335"/>
        <w:gridCol w:w="914"/>
        <w:gridCol w:w="82"/>
        <w:gridCol w:w="82"/>
        <w:gridCol w:w="191"/>
        <w:gridCol w:w="767"/>
        <w:gridCol w:w="88"/>
      </w:tblGrid>
      <w:tr>
        <w:trPr/>
        <w:tc>
          <w:tcPr>
            <w:tcW w:w="23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58" w:name="xdx_496_20241101__20250131__us-gaap--Adj"/>
            <w:bookmarkEnd w:id="358"/>
          </w:p>
        </w:tc>
        <w:tc>
          <w:tcPr>
            <w:tcW w:w="13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606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bookmarkStart w:id="359" w:name="xdx_493_20241101__20250131__us-gaap--Adj"/>
            <w:bookmarkEnd w:id="359"/>
          </w:p>
        </w:tc>
        <w:tc>
          <w:tcPr>
            <w:tcW w:w="13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842</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bookmarkStart w:id="360" w:name="xdx_493_20241101__20250131_zmwF10pqozL2"/>
            <w:bookmarkEnd w:id="360"/>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bookmarkStart w:id="361" w:name="xdx_493_20231101__20240131__us-gaap--Adj"/>
            <w:bookmarkEnd w:id="361"/>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606</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bookmarkStart w:id="362" w:name="xdx_498_20231101__20240131__us-gaap--Adj"/>
            <w:bookmarkEnd w:id="362"/>
          </w:p>
        </w:tc>
        <w:tc>
          <w:tcPr>
            <w:tcW w:w="12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842</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bookmarkStart w:id="363" w:name="xdx_492_20231101__20240131_zOgcOpwtk9z9"/>
            <w:bookmarkEnd w:id="363"/>
          </w:p>
        </w:tc>
        <w:tc>
          <w:tcPr>
            <w:tcW w:w="9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88" w:type="dxa"/>
            <w:tcBorders/>
            <w:vAlign w:val="center"/>
          </w:tcPr>
          <w:p>
            <w:pPr>
              <w:pStyle w:val="TableContents"/>
              <w:bidi w:val="0"/>
              <w:spacing w:before="0" w:after="283"/>
              <w:jc w:val="left"/>
              <w:rPr/>
            </w:pPr>
            <w:r>
              <w:rPr/>
              <w:t> </w:t>
            </w:r>
          </w:p>
        </w:tc>
      </w:tr>
      <w:tr>
        <w:trPr/>
        <w:tc>
          <w:tcPr>
            <w:tcW w:w="23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7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January 31, 2025</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799"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January 31, 2024</w:t>
            </w:r>
          </w:p>
        </w:tc>
        <w:tc>
          <w:tcPr>
            <w:tcW w:w="88" w:type="dxa"/>
            <w:tcBorders/>
            <w:vAlign w:val="center"/>
          </w:tcPr>
          <w:p>
            <w:pPr>
              <w:pStyle w:val="TableContents"/>
              <w:bidi w:val="0"/>
              <w:spacing w:before="0" w:after="283"/>
              <w:jc w:val="left"/>
              <w:rPr/>
            </w:pPr>
            <w:r>
              <w:rPr/>
              <w:t> </w:t>
            </w:r>
          </w:p>
        </w:tc>
      </w:tr>
      <w:tr>
        <w:trPr/>
        <w:tc>
          <w:tcPr>
            <w:tcW w:w="23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606</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842</w:t>
            </w:r>
          </w:p>
        </w:tc>
        <w:tc>
          <w:tcPr>
            <w:tcW w:w="85"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606</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ASC 842</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w:t>
            </w:r>
          </w:p>
        </w:tc>
        <w:tc>
          <w:tcPr>
            <w:tcW w:w="88" w:type="dxa"/>
            <w:tcBorders/>
            <w:vAlign w:val="center"/>
          </w:tcPr>
          <w:p>
            <w:pPr>
              <w:pStyle w:val="TableContents"/>
              <w:bidi w:val="0"/>
              <w:spacing w:before="0" w:after="283"/>
              <w:jc w:val="left"/>
              <w:rPr/>
            </w:pPr>
            <w:r>
              <w:rPr/>
              <w:t> </w:t>
            </w:r>
          </w:p>
        </w:tc>
      </w:tr>
      <w:tr>
        <w:trPr/>
        <w:tc>
          <w:tcPr>
            <w:tcW w:w="236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72"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3799"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88" w:type="dxa"/>
            <w:tcBorders/>
            <w:vAlign w:val="center"/>
          </w:tcPr>
          <w:p>
            <w:pPr>
              <w:pStyle w:val="TableContents"/>
              <w:bidi w:val="0"/>
              <w:spacing w:before="0" w:after="283"/>
              <w:jc w:val="left"/>
              <w:rPr/>
            </w:pPr>
            <w:r>
              <w:rPr/>
              <w:t> </w:t>
            </w:r>
          </w:p>
        </w:tc>
      </w:tr>
      <w:tr>
        <w:trPr/>
        <w:tc>
          <w:tcPr>
            <w:tcW w:w="236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Product Line:</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bookmarkStart w:id="364" w:name="xdx_409_eus-gaap--Revenues_hsrt--Product"/>
            <w:bookmarkEnd w:id="364"/>
          </w:p>
        </w:tc>
      </w:tr>
      <w:tr>
        <w:trPr/>
        <w:tc>
          <w:tcPr>
            <w:tcW w:w="23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WAM-V</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580</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654</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1,472</w:t>
            </w:r>
          </w:p>
        </w:tc>
        <w:tc>
          <w:tcPr>
            <w:tcW w:w="88" w:type="dxa"/>
            <w:tcBorders/>
            <w:shd w:fill="FFFFFF" w:val="clear"/>
            <w:vAlign w:val="center"/>
          </w:tcPr>
          <w:p>
            <w:pPr>
              <w:pStyle w:val="TableContents"/>
              <w:bidi w:val="0"/>
              <w:spacing w:before="0" w:after="283"/>
              <w:jc w:val="left"/>
              <w:rPr/>
            </w:pPr>
            <w:r>
              <w:rPr/>
              <w:t> </w:t>
            </w:r>
            <w:bookmarkStart w:id="365" w:name="xdx_40D_eus-gaap--Revenues_hsrt--Product"/>
            <w:bookmarkEnd w:id="365"/>
          </w:p>
        </w:tc>
      </w:tr>
      <w:tr>
        <w:trPr/>
        <w:tc>
          <w:tcPr>
            <w:tcW w:w="23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Buoy</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171</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320</w:t>
            </w:r>
          </w:p>
        </w:tc>
        <w:tc>
          <w:tcPr>
            <w:tcW w:w="88" w:type="dxa"/>
            <w:tcBorders/>
            <w:shd w:fill="CCEEFF" w:val="clear"/>
            <w:vAlign w:val="center"/>
          </w:tcPr>
          <w:p>
            <w:pPr>
              <w:pStyle w:val="TableContents"/>
              <w:bidi w:val="0"/>
              <w:spacing w:before="0" w:after="283"/>
              <w:jc w:val="left"/>
              <w:rPr/>
            </w:pPr>
            <w:r>
              <w:rPr/>
              <w:t> </w:t>
            </w:r>
            <w:bookmarkStart w:id="366" w:name="xdx_407_eus-gaap--Revenues_hsrt--Product"/>
            <w:bookmarkEnd w:id="366"/>
          </w:p>
        </w:tc>
      </w:tr>
      <w:tr>
        <w:trPr/>
        <w:tc>
          <w:tcPr>
            <w:tcW w:w="23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Services</w:t>
            </w:r>
          </w:p>
        </w:tc>
        <w:tc>
          <w:tcPr>
            <w:tcW w:w="60" w:type="dxa"/>
            <w:tcBorders/>
            <w:shd w:fill="FFFFFF" w:val="cle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jc w:val="left"/>
              <w:rPr/>
            </w:pPr>
            <w:r>
              <w:rPr/>
              <w:t> </w:t>
            </w:r>
            <w:bookmarkStart w:id="367" w:name="xdx_405_eus-gaap--Revenues_hsrt--Product"/>
            <w:bookmarkEnd w:id="367"/>
          </w:p>
        </w:tc>
      </w:tr>
      <w:tr>
        <w:trPr/>
        <w:tc>
          <w:tcPr>
            <w:tcW w:w="23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1,405</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1,792</w:t>
            </w:r>
          </w:p>
        </w:tc>
        <w:tc>
          <w:tcPr>
            <w:tcW w:w="88" w:type="dxa"/>
            <w:tcBorders/>
            <w:shd w:fill="CCEEFF" w:val="clear"/>
            <w:vAlign w:val="center"/>
          </w:tcPr>
          <w:p>
            <w:pPr>
              <w:pStyle w:val="TableContents"/>
              <w:bidi w:val="0"/>
              <w:spacing w:before="0" w:after="283"/>
              <w:jc w:val="left"/>
              <w:rPr/>
            </w:pPr>
            <w:r>
              <w:rPr/>
              <w:t> </w:t>
            </w:r>
          </w:p>
        </w:tc>
      </w:tr>
      <w:tr>
        <w:trPr/>
        <w:tc>
          <w:tcPr>
            <w:tcW w:w="23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914" w:type="dxa"/>
            <w:tcBorders/>
            <w:shd w:fill="FFFFFF" w:val="clear"/>
            <w:vAlign w:val="center"/>
          </w:tcPr>
          <w:p>
            <w:pPr>
              <w:pStyle w:val="TableContents"/>
              <w:bidi w:val="0"/>
              <w:spacing w:before="0" w:after="283"/>
              <w:jc w:val="righ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r>
      <w:tr>
        <w:trPr/>
        <w:tc>
          <w:tcPr>
            <w:tcW w:w="236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Region:</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bookmarkStart w:id="368" w:name="xdx_40C_eus-gaap--Revenues_hsrt--Stateme"/>
            <w:bookmarkEnd w:id="368"/>
          </w:p>
        </w:tc>
      </w:tr>
      <w:tr>
        <w:trPr/>
        <w:tc>
          <w:tcPr>
            <w:tcW w:w="23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North and South America</w:t>
            </w:r>
          </w:p>
        </w:tc>
        <w:tc>
          <w:tcPr>
            <w:tcW w:w="60"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4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5"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326</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1,391</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338</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1,729</w:t>
            </w:r>
          </w:p>
        </w:tc>
        <w:tc>
          <w:tcPr>
            <w:tcW w:w="88" w:type="dxa"/>
            <w:tcBorders/>
            <w:shd w:fill="FFFFFF" w:val="clear"/>
            <w:vAlign w:val="center"/>
          </w:tcPr>
          <w:p>
            <w:pPr>
              <w:pStyle w:val="TableContents"/>
              <w:bidi w:val="0"/>
              <w:spacing w:before="0" w:after="283"/>
              <w:jc w:val="left"/>
              <w:rPr/>
            </w:pPr>
            <w:r>
              <w:rPr/>
              <w:t> </w:t>
            </w:r>
            <w:bookmarkStart w:id="369" w:name="xdx_409_eus-gaap--Revenues_hsrt--Stateme"/>
            <w:bookmarkEnd w:id="369"/>
          </w:p>
        </w:tc>
      </w:tr>
      <w:tr>
        <w:trPr/>
        <w:tc>
          <w:tcPr>
            <w:tcW w:w="23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EMEA</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499</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w:t>
            </w:r>
          </w:p>
        </w:tc>
        <w:tc>
          <w:tcPr>
            <w:tcW w:w="88" w:type="dxa"/>
            <w:tcBorders/>
            <w:shd w:fill="CCEEFF" w:val="clear"/>
            <w:vAlign w:val="center"/>
          </w:tcPr>
          <w:p>
            <w:pPr>
              <w:pStyle w:val="TableContents"/>
              <w:bidi w:val="0"/>
              <w:spacing w:before="0" w:after="283"/>
              <w:jc w:val="left"/>
              <w:rPr/>
            </w:pPr>
            <w:r>
              <w:rPr/>
              <w:t> </w:t>
            </w:r>
            <w:bookmarkStart w:id="370" w:name="xdx_40A_eus-gaap--Revenues_hsrt--Stateme"/>
            <w:bookmarkEnd w:id="370"/>
          </w:p>
        </w:tc>
      </w:tr>
      <w:tr>
        <w:trPr/>
        <w:tc>
          <w:tcPr>
            <w:tcW w:w="23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Asia and Australia</w:t>
            </w:r>
          </w:p>
        </w:tc>
        <w:tc>
          <w:tcPr>
            <w:tcW w:w="60" w:type="dxa"/>
            <w:tcBorders/>
            <w:shd w:fill="FFFFFF" w:val="clear"/>
            <w:vAlign w:val="center"/>
          </w:tcPr>
          <w:p>
            <w:pPr>
              <w:pStyle w:val="TableContents"/>
              <w:bidi w:val="0"/>
              <w:spacing w:before="0" w:after="283"/>
              <w:jc w:val="left"/>
              <w:rPr/>
            </w:pPr>
            <w:r>
              <w:rPr/>
              <w:t> </w:t>
            </w:r>
          </w:p>
        </w:tc>
        <w:tc>
          <w:tcPr>
            <w:tcW w:w="35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4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21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jc w:val="left"/>
              <w:rPr/>
            </w:pPr>
            <w:r>
              <w:rPr/>
              <w:t> </w:t>
            </w:r>
            <w:bookmarkStart w:id="371" w:name="xdx_400_eus-gaap--Revenues_hsrt--Stateme"/>
            <w:bookmarkEnd w:id="371"/>
          </w:p>
        </w:tc>
      </w:tr>
      <w:tr>
        <w:trPr/>
        <w:tc>
          <w:tcPr>
            <w:tcW w:w="23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1,405</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1,792</w:t>
            </w:r>
          </w:p>
        </w:tc>
        <w:tc>
          <w:tcPr>
            <w:tcW w:w="88" w:type="dxa"/>
            <w:tcBorders/>
            <w:shd w:fill="CCEEFF" w:val="clear"/>
            <w:vAlign w:val="center"/>
          </w:tcPr>
          <w:p>
            <w:pPr>
              <w:pStyle w:val="TableContents"/>
              <w:bidi w:val="0"/>
              <w:spacing w:before="0" w:after="283"/>
              <w:jc w:val="left"/>
              <w:rPr/>
            </w:pPr>
            <w:r>
              <w:rPr/>
              <w:t> </w:t>
            </w:r>
            <w:bookmarkStart w:id="372" w:name="xdx_401_eus-gaap--Revenues_hsrt--Stateme"/>
            <w:bookmarkEnd w:id="372"/>
          </w:p>
        </w:tc>
      </w:tr>
      <w:tr>
        <w:trPr/>
        <w:tc>
          <w:tcPr>
            <w:tcW w:w="236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w:t>
            </w:r>
          </w:p>
        </w:tc>
        <w:tc>
          <w:tcPr>
            <w:tcW w:w="60" w:type="dxa"/>
            <w:tcBorders/>
            <w:shd w:fill="CCEEFF" w:val="clear"/>
            <w:vAlign w:val="center"/>
          </w:tcPr>
          <w:p>
            <w:pPr>
              <w:pStyle w:val="TableContents"/>
              <w:bidi w:val="0"/>
              <w:spacing w:before="0" w:after="283"/>
              <w:jc w:val="left"/>
              <w:rPr/>
            </w:pPr>
            <w:r>
              <w:rPr/>
              <w:t> </w:t>
            </w:r>
          </w:p>
        </w:tc>
        <w:tc>
          <w:tcPr>
            <w:tcW w:w="35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6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751</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4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1,405</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387</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1,792</w:t>
            </w:r>
          </w:p>
        </w:tc>
        <w:tc>
          <w:tcPr>
            <w:tcW w:w="88"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373" w:name="xdx_8A1_zWNn2fO6GvT4"/>
      <w:bookmarkEnd w:id="373"/>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74" w:name="xdx_846_eus-gaap--EarningsPerSharePolicy"/>
      <w:bookmarkEnd w:id="374"/>
      <w:r>
        <w:rPr>
          <w:rFonts w:ascii="Times New Roman;Times;Serif" w:hAnsi="Times New Roman;Times;Serif"/>
          <w:b/>
          <w:i/>
          <w:caps w:val="false"/>
          <w:smallCaps w:val="false"/>
          <w:sz w:val="20"/>
        </w:rPr>
        <w:t xml:space="preserve">(k) </w:t>
      </w:r>
      <w:bookmarkStart w:id="375" w:name="xdx_860_zU9yLwChZQHc"/>
      <w:bookmarkEnd w:id="375"/>
      <w:r>
        <w:rPr>
          <w:rFonts w:ascii="Times New Roman;Times;Serif" w:hAnsi="Times New Roman;Times;Serif"/>
          <w:b/>
          <w:i/>
          <w:caps w:val="false"/>
          <w:smallCaps w:val="false"/>
          <w:sz w:val="20"/>
        </w:rPr>
        <w:t>Net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for all periods presented is computed by dividing net loss by the weighted average number of shares of common stock and common stock equivalents outstanding during the period. Due to the Company’s net losses, potentially dilutive securities, consisting of options to purchase shares of common stock, warrants on common stock and unvested RSUs issued to employees and non-employee directors, were excluded from the diluted loss per share calculation due to their anti-dilutive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computing diluted net loss per share on the Consolidated Statements of Operations, warrants on common stock, options to purchase shares of common stock and unvested RSUs issued to employees and non-employee directors, totalling </w:t>
      </w:r>
      <w:bookmarkStart w:id="376" w:name="xdx_903_eus-gaap--AntidilutiveSecurities"/>
      <w:bookmarkEnd w:id="376"/>
      <w:r>
        <w:rPr>
          <w:rFonts w:ascii="Times New Roman;Times;Serif" w:hAnsi="Times New Roman;Times;Serif"/>
          <w:b w:val="false"/>
          <w:i w:val="false"/>
          <w:caps w:val="false"/>
          <w:smallCaps w:val="false"/>
          <w:sz w:val="20"/>
        </w:rPr>
        <w:t xml:space="preserve">20,835,027 and </w:t>
      </w:r>
      <w:bookmarkStart w:id="377" w:name="xdx_904_eus-gaap--AntidilutiveSecurities"/>
      <w:bookmarkEnd w:id="377"/>
      <w:r>
        <w:rPr>
          <w:rFonts w:ascii="Times New Roman;Times;Serif" w:hAnsi="Times New Roman;Times;Serif"/>
          <w:b w:val="false"/>
          <w:i w:val="false"/>
          <w:caps w:val="false"/>
          <w:smallCaps w:val="false"/>
          <w:sz w:val="20"/>
        </w:rPr>
        <w:t>6,094,714 as of January 31, 2025 and 2024, respectively, were excluded from each of the computations as the effect would have been anti-dilutive due to the net loss for the periods. Share purchase rights, which include a contingency, are not included in the calculation until the contingency is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78" w:name="xdx_847_eus-gaap--GoodwillAndIntangibleA"/>
      <w:bookmarkEnd w:id="378"/>
      <w:r>
        <w:rPr>
          <w:rFonts w:ascii="Times New Roman;Times;Serif" w:hAnsi="Times New Roman;Times;Serif"/>
          <w:b/>
          <w:i/>
          <w:caps w:val="false"/>
          <w:smallCaps w:val="false"/>
          <w:sz w:val="20"/>
        </w:rPr>
        <w:t xml:space="preserve">(l) </w:t>
      </w:r>
      <w:bookmarkStart w:id="379" w:name="xdx_860_zlnO5K2Omhsh"/>
      <w:bookmarkEnd w:id="379"/>
      <w:r>
        <w:rPr>
          <w:rFonts w:ascii="Times New Roman;Times;Serif" w:hAnsi="Times New Roman;Times;Serif"/>
          <w:b/>
          <w:i/>
          <w:caps w:val="false"/>
          <w:smallCaps w:val="false"/>
          <w:sz w:val="20"/>
        </w:rPr>
        <w:t>Intangibles,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Intangible assets acquired in a business combination are recognized separately from goodwill and are initially recognized at their fair value at the acquisition date (which is regarded as their cost). Intangible assets, including patents, are amortized over the estimated useful life of the asset on a basis that approximates the pattern of economic benefit. The patents, trade name and customer relationship intangibles are being amortized over </w:t>
      </w:r>
      <w:bookmarkStart w:id="380" w:name="xdx_900_eus-gaap--FiniteLivedIntangibleA"/>
      <w:bookmarkEnd w:id="380"/>
      <w:r>
        <w:rPr>
          <w:rFonts w:ascii="Times New Roman;Times;Serif" w:hAnsi="Times New Roman;Times;Serif"/>
          <w:b w:val="false"/>
          <w:i w:val="false"/>
          <w:caps w:val="false"/>
          <w:smallCaps w:val="false"/>
          <w:sz w:val="20"/>
        </w:rPr>
        <w:t xml:space="preserve">20, </w:t>
      </w:r>
      <w:bookmarkStart w:id="381" w:name="xdx_90A_eus-gaap--FiniteLivedIntangibleA"/>
      <w:bookmarkEnd w:id="381"/>
      <w:r>
        <w:rPr>
          <w:rFonts w:ascii="Times New Roman;Times;Serif" w:hAnsi="Times New Roman;Times;Serif"/>
          <w:b w:val="false"/>
          <w:i w:val="false"/>
          <w:caps w:val="false"/>
          <w:smallCaps w:val="false"/>
          <w:sz w:val="20"/>
        </w:rPr>
        <w:t xml:space="preserve">12 and </w:t>
      </w:r>
      <w:bookmarkStart w:id="382" w:name="xdx_90B_eus-gaap--FiniteLivedIntangibleA"/>
      <w:bookmarkEnd w:id="382"/>
      <w:r>
        <w:rPr>
          <w:rFonts w:ascii="Times New Roman;Times;Serif" w:hAnsi="Times New Roman;Times;Serif"/>
          <w:b w:val="false"/>
          <w:i w:val="false"/>
          <w:caps w:val="false"/>
          <w:smallCaps w:val="false"/>
          <w:sz w:val="20"/>
        </w:rPr>
        <w:t>10 years respectively, which is consistent with the estimated pattern of economic benefit of the assets. The trademark is not subject to amortization.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are reviewed for impairment if indicators of potential impairment exist. There were no indications of potential impairment of intangible assets for either the nine months ended January 31, 2025 or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83" w:name="xdx_84A_eus-gaap--GoodwillAndIntangibleA"/>
      <w:bookmarkEnd w:id="383"/>
      <w:r>
        <w:rPr>
          <w:rFonts w:ascii="Times New Roman;Times;Serif" w:hAnsi="Times New Roman;Times;Serif"/>
          <w:b/>
          <w:i/>
          <w:caps w:val="false"/>
          <w:smallCaps w:val="false"/>
          <w:sz w:val="20"/>
        </w:rPr>
        <w:t xml:space="preserve">(m) </w:t>
      </w:r>
      <w:bookmarkStart w:id="384" w:name="xdx_86D_zwW7nb2EELkh"/>
      <w:bookmarkEnd w:id="384"/>
      <w:r>
        <w:rPr>
          <w:rFonts w:ascii="Times New Roman;Times;Serif" w:hAnsi="Times New Roman;Times;Serif"/>
          <w:b/>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assessed for impairment using a qualitative or quantitative approach. The Company performs an annual impairment test of goodwill and further periodic tests to the extent indicators of impairment develop between annual impairment tests. There were no indications of potential impairment of goodwill identified for the nine months ended January 31, 2025 and 2024. Where the Company uses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also performed. The quantitative assessment requires an analysis of several estimates including future cash flows or income consistent with management’s strategic business plans, annual revenue growth rates and the selection of assumptions underlying a discount rate (weighted average cost of capital) based on market data available at the time to determine the fair value of the Company. If the fair value is less than the carrying amounts, an impairment charge for the difference is recorded. The Company acquired goodwill as part of its purchase of MAR. Management performed its annual qualitative assessment in fiscal year 2024 and determined that it is more likely than not that no goodwill impairment existed as of April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85" w:name="xdx_843_eus-gaap--IncomeTaxPolicyTextBlo"/>
      <w:bookmarkEnd w:id="385"/>
      <w:r>
        <w:rPr>
          <w:rFonts w:ascii="Times New Roman;Times;Serif" w:hAnsi="Times New Roman;Times;Serif"/>
          <w:b/>
          <w:i/>
          <w:caps w:val="false"/>
          <w:smallCaps w:val="false"/>
          <w:sz w:val="20"/>
        </w:rPr>
        <w:t xml:space="preserve">(n) </w:t>
      </w:r>
      <w:bookmarkStart w:id="386" w:name="xdx_860_zEaq17t2Gk1h"/>
      <w:bookmarkEnd w:id="386"/>
      <w:r>
        <w:rPr>
          <w:rFonts w:ascii="Times New Roman;Times;Serif" w:hAnsi="Times New Roman;Times;Serif"/>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accounted for under (“ASU”) No. 2023-09, Income Taxes (Topic 740): Improvements to Income Tax Disclosures (“ASU 2023-09”) utilizing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In assessing the realizability of deferred tax assets, management considers whether it is more likely than not that some portion or all the deferred tax assets will not be realized. If such event occurs, a valuation allowance is recorded. The effect on deferred tax assets and liabilities of a change in tax rates is recognized in income in the period that includes the enactment date.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15 for additional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monetize their attributes, the Company has historically sold the Net Operating Losses (NOL’s) and R&amp;D credit generated in New Jersey. The Company has elected to recognize the gain on the sale as a component of tax expense at the time of the sale. Prior to the time of sale, the Company has elected to not factor the expected sales when assessing the realizability of the related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87" w:name="xdx_843_ecustom--AccumulatedOtherCompreh"/>
      <w:bookmarkEnd w:id="387"/>
      <w:r>
        <w:rPr>
          <w:rFonts w:ascii="Times New Roman;Times;Serif" w:hAnsi="Times New Roman;Times;Serif"/>
          <w:b/>
          <w:i/>
          <w:caps w:val="false"/>
          <w:smallCaps w:val="false"/>
          <w:sz w:val="20"/>
        </w:rPr>
        <w:t xml:space="preserve">(o) </w:t>
      </w:r>
      <w:bookmarkStart w:id="388" w:name="xdx_866_zAUg1CXvDiT6"/>
      <w:bookmarkEnd w:id="388"/>
      <w:r>
        <w:rPr>
          <w:rFonts w:ascii="Times New Roman;Times;Serif" w:hAnsi="Times New Roman;Times;Serif"/>
          <w:b/>
          <w:i/>
          <w:caps w:val="false"/>
          <w:smallCaps w:val="false"/>
          <w:sz w:val="20"/>
        </w:rPr>
        <w:t>Accumulated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Shareholders’ Equity. For the nine months ended January 31, 2025 and 2024, there were no amounts recorded to other comprehensive loss due to limited foreign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89" w:name="xdx_847_ecustom--WarrantyPolicyTextBlock"/>
      <w:bookmarkEnd w:id="389"/>
      <w:r>
        <w:rPr>
          <w:rFonts w:ascii="Times New Roman;Times;Serif" w:hAnsi="Times New Roman;Times;Serif"/>
          <w:b/>
          <w:i/>
          <w:caps w:val="false"/>
          <w:smallCaps w:val="false"/>
          <w:sz w:val="20"/>
        </w:rPr>
        <w:t xml:space="preserve">(p) </w:t>
      </w:r>
      <w:bookmarkStart w:id="390" w:name="xdx_86E_z6otFM8unsWf"/>
      <w:bookmarkEnd w:id="390"/>
      <w:r>
        <w:rPr>
          <w:rFonts w:ascii="Times New Roman;Times;Serif" w:hAnsi="Times New Roman;Times;Serif"/>
          <w:b/>
          <w:i/>
          <w:caps w:val="false"/>
          <w:smallCaps w:val="false"/>
          <w:sz w:val="20"/>
        </w:rPr>
        <w:t>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include a right of return on its products other than rights related to standard warranty provisions that permit repair or replacement of defective goods. Warranty expense incurred to date has not been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91" w:name="xdx_84C_eus-gaap--ResearchAndDevelopment"/>
      <w:bookmarkEnd w:id="391"/>
      <w:r>
        <w:rPr>
          <w:rFonts w:ascii="Times New Roman;Times;Serif" w:hAnsi="Times New Roman;Times;Serif"/>
          <w:b/>
          <w:i/>
          <w:caps w:val="false"/>
          <w:smallCaps w:val="false"/>
          <w:sz w:val="20"/>
        </w:rPr>
        <w:t xml:space="preserve">(q) </w:t>
      </w:r>
      <w:bookmarkStart w:id="392" w:name="xdx_86A_zO7U5cjw8mO3"/>
      <w:bookmarkEnd w:id="392"/>
      <w:r>
        <w:rPr>
          <w:rFonts w:ascii="Times New Roman;Times;Serif" w:hAnsi="Times New Roman;Times;Serif"/>
          <w:b/>
          <w:i/>
          <w:caps w:val="false"/>
          <w:smallCaps w:val="false"/>
          <w:sz w:val="20"/>
        </w:rPr>
        <w:t>Product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related to product development activities by the Company are expensed as incurred. The Company had approximately $</w:t>
      </w:r>
      <w:bookmarkStart w:id="393" w:name="xdx_901_eus-gaap--ResearchAndDevelopment"/>
      <w:bookmarkEnd w:id="393"/>
      <w:r>
        <w:rPr>
          <w:rFonts w:ascii="Times New Roman;Times;Serif" w:hAnsi="Times New Roman;Times;Serif"/>
          <w:b w:val="false"/>
          <w:i w:val="false"/>
          <w:caps w:val="false"/>
          <w:smallCaps w:val="false"/>
          <w:sz w:val="20"/>
        </w:rPr>
        <w:t>2.6 million and $</w:t>
      </w:r>
      <w:bookmarkStart w:id="394" w:name="xdx_900_eus-gaap--ResearchAndDevelopment"/>
      <w:bookmarkEnd w:id="394"/>
      <w:r>
        <w:rPr>
          <w:rFonts w:ascii="Times New Roman;Times;Serif" w:hAnsi="Times New Roman;Times;Serif"/>
          <w:b w:val="false"/>
          <w:i w:val="false"/>
          <w:caps w:val="false"/>
          <w:smallCaps w:val="false"/>
          <w:sz w:val="20"/>
        </w:rPr>
        <w:t>5.5 million in product development expense for the nine months ended January 31, 2025 and 2024, respectively. The Company had approximately $</w:t>
      </w:r>
      <w:bookmarkStart w:id="395" w:name="xdx_90E_eus-gaap--ResearchAndDevelopment"/>
      <w:bookmarkEnd w:id="395"/>
      <w:r>
        <w:rPr>
          <w:rFonts w:ascii="Times New Roman;Times;Serif" w:hAnsi="Times New Roman;Times;Serif"/>
          <w:b w:val="false"/>
          <w:i w:val="false"/>
          <w:caps w:val="false"/>
          <w:smallCaps w:val="false"/>
          <w:sz w:val="20"/>
        </w:rPr>
        <w:t>1.3 million and $</w:t>
      </w:r>
      <w:bookmarkStart w:id="396" w:name="xdx_904_eus-gaap--ResearchAndDevelopment"/>
      <w:bookmarkEnd w:id="396"/>
      <w:r>
        <w:rPr>
          <w:rFonts w:ascii="Times New Roman;Times;Serif" w:hAnsi="Times New Roman;Times;Serif"/>
          <w:b w:val="false"/>
          <w:i w:val="false"/>
          <w:caps w:val="false"/>
          <w:smallCaps w:val="false"/>
          <w:sz w:val="20"/>
        </w:rPr>
        <w:t>1.5 million in product development expense for the three months ended January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bookmarkStart w:id="397" w:name="xdx_845_eus-gaap--NewAccountingPronounce"/>
      <w:bookmarkEnd w:id="397"/>
      <w:r>
        <w:rPr>
          <w:rFonts w:ascii="Times New Roman;Times;Serif" w:hAnsi="Times New Roman;Times;Serif"/>
          <w:b/>
          <w:i/>
          <w:caps w:val="false"/>
          <w:smallCaps w:val="false"/>
          <w:sz w:val="20"/>
        </w:rPr>
        <w:t xml:space="preserve">(r) </w:t>
      </w:r>
      <w:bookmarkStart w:id="398" w:name="xdx_86C_zvNy0yVgog9h"/>
      <w:bookmarkEnd w:id="398"/>
      <w:r>
        <w:rPr>
          <w:rFonts w:ascii="Times New Roman;Times;Serif" w:hAnsi="Times New Roman;Times;Serif"/>
          <w:b/>
          <w:i/>
          <w:caps w:val="false"/>
          <w:smallCaps w:val="false"/>
          <w:sz w:val="20"/>
        </w:rPr>
        <w:t>Recently Issued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(“FASB”) issued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what the potential impact of adopting this ASU 2023-09 could have on our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“Segment Reporting (Topic 280): Improvements to Reportable Segment Disclosures.” This ASU improves financial reporting by requiring disclosure of incremental segment information. The new guidance is effective for fiscal years beginning after December 15, 2023, and interim periods within fiscal years beginning after December 15, 2024. Early adoption is permitted. The Company expects to provide incremental qualitative segment-related disclosures beginning with the Company’s Annual Report on Form 10-K for the fiscal year ended April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2024-3, “Income Statement - Reporting Comprehensive Income - Expense Disaggregation Disclosures (Subtopic 220-40): Disaggregation of Income Statement Expenses.” This ASU improves the disclosures about a public business entity’s expenses and addresses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pStyle w:val="TextBody"/>
        <w:bidi w:val="0"/>
        <w:spacing w:before="0" w:after="0"/>
        <w:ind w:left="0" w:right="0" w:hanging="0"/>
        <w:jc w:val="both"/>
        <w:rPr>
          <w:caps w:val="false"/>
          <w:smallCaps w:val="false"/>
        </w:rPr>
      </w:pPr>
      <w:bookmarkStart w:id="399" w:name="xdx_85C_zRPYRE9VlJXe"/>
      <w:bookmarkEnd w:id="399"/>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0" w:name="xdx_809_ecustom--AccountReceivableContra"/>
      <w:bookmarkEnd w:id="400"/>
      <w:r>
        <w:rPr>
          <w:rFonts w:ascii="Times New Roman;Times;Serif" w:hAnsi="Times New Roman;Times;Serif"/>
          <w:b/>
          <w:i w:val="false"/>
          <w:caps w:val="false"/>
          <w:smallCaps w:val="false"/>
          <w:sz w:val="20"/>
        </w:rPr>
        <w:t xml:space="preserve">(3) </w:t>
      </w:r>
      <w:bookmarkStart w:id="401" w:name="xdx_82C_zCMJACpzDsS"/>
      <w:bookmarkEnd w:id="401"/>
      <w:r>
        <w:rPr>
          <w:rFonts w:ascii="Times New Roman;Times;Serif" w:hAnsi="Times New Roman;Times;Serif"/>
          <w:b/>
          <w:i w:val="false"/>
          <w:caps w:val="false"/>
          <w:smallCaps w:val="false"/>
          <w:sz w:val="20"/>
        </w:rPr>
        <w:t>Accounts Receivable, Contract Assets and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2" w:name="xdx_899_ecustom--ScheduleOfAccountsRecei"/>
      <w:bookmarkEnd w:id="402"/>
      <w:r>
        <w:rPr>
          <w:rFonts w:ascii="Times New Roman;Times;Serif" w:hAnsi="Times New Roman;Times;Serif"/>
          <w:b w:val="false"/>
          <w:i w:val="false"/>
          <w:caps w:val="false"/>
          <w:smallCaps w:val="false"/>
          <w:sz w:val="20"/>
        </w:rPr>
        <w:t>The following provides further details on the balance sheet accounts of accounts receivable, contract assets and contract liabilities from contracts with customers:</w:t>
      </w:r>
    </w:p>
    <w:p>
      <w:pPr>
        <w:pStyle w:val="TextBody"/>
        <w:bidi w:val="0"/>
        <w:spacing w:before="0" w:after="0"/>
        <w:ind w:left="0" w:right="0" w:hanging="0"/>
        <w:jc w:val="both"/>
        <w:rPr>
          <w:caps w:val="false"/>
          <w:smallCaps w:val="false"/>
        </w:rPr>
      </w:pPr>
      <w:r>
        <w:rPr>
          <w:caps w:val="false"/>
          <w:smallCaps w:val="false"/>
        </w:rPr>
        <w:t> </w:t>
      </w:r>
      <w:bookmarkStart w:id="403" w:name="xdx_8BA_zhFLDWjg7PF"/>
      <w:bookmarkEnd w:id="403"/>
      <w:r>
        <w:rPr>
          <w:rFonts w:ascii="Times New Roman;Times;Serif" w:hAnsi="Times New Roman;Times;Serif"/>
          <w:b w:val="false"/>
          <w:i w:val="false"/>
          <w:caps w:val="false"/>
          <w:smallCaps w:val="false"/>
          <w:sz w:val="20"/>
        </w:rPr>
        <w:t>Schedule of Accounts Receivable, Contract Assets and Contract Liabilities</w:t>
      </w:r>
    </w:p>
    <w:tbl>
      <w:tblPr>
        <w:tblW w:w="7024" w:type="dxa"/>
        <w:jc w:val="left"/>
        <w:tblInd w:w="0" w:type="dxa"/>
        <w:tblLayout w:type="fixed"/>
        <w:tblCellMar>
          <w:top w:w="0" w:type="dxa"/>
          <w:left w:w="0" w:type="dxa"/>
          <w:bottom w:w="0" w:type="dxa"/>
          <w:right w:w="0" w:type="dxa"/>
        </w:tblCellMar>
      </w:tblPr>
      <w:tblGrid>
        <w:gridCol w:w="1955"/>
        <w:gridCol w:w="60"/>
        <w:gridCol w:w="355"/>
        <w:gridCol w:w="1420"/>
        <w:gridCol w:w="60"/>
        <w:gridCol w:w="60"/>
        <w:gridCol w:w="391"/>
        <w:gridCol w:w="1068"/>
        <w:gridCol w:w="60"/>
        <w:gridCol w:w="60"/>
        <w:gridCol w:w="292"/>
        <w:gridCol w:w="1168"/>
        <w:gridCol w:w="75"/>
      </w:tblGrid>
      <w:tr>
        <w:trPr/>
        <w:tc>
          <w:tcPr>
            <w:tcW w:w="1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04" w:name="xdx_49D_20250131_zHSHSzf6z3o8"/>
            <w:bookmarkEnd w:id="404"/>
          </w:p>
        </w:tc>
        <w:tc>
          <w:tcPr>
            <w:tcW w:w="1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5" w:name="xdx_49B_20240430_zZEg6gupSIIe"/>
            <w:bookmarkEnd w:id="405"/>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6" w:name="xdx_494_20230430_zsYuzF3QpLv1"/>
            <w:bookmarkEnd w:id="406"/>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 2023</w:t>
            </w:r>
          </w:p>
        </w:tc>
        <w:tc>
          <w:tcPr>
            <w:tcW w:w="7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934" w:type="dxa"/>
            <w:gridSpan w:val="10"/>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75" w:type="dxa"/>
            <w:tcBorders/>
            <w:vAlign w:val="center"/>
          </w:tcPr>
          <w:p>
            <w:pPr>
              <w:pStyle w:val="TableContents"/>
              <w:bidi w:val="0"/>
              <w:spacing w:before="0" w:after="283"/>
              <w:jc w:val="left"/>
              <w:rPr/>
            </w:pPr>
            <w:r>
              <w:rPr/>
              <w:t> </w:t>
            </w:r>
            <w:bookmarkStart w:id="407" w:name="xdx_405_eus-gaap--AccountsReceivableNetC"/>
            <w:bookmarkEnd w:id="407"/>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Accounts receivable</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745</w:t>
            </w:r>
          </w:p>
        </w:tc>
        <w:tc>
          <w:tcPr>
            <w:tcW w:w="75" w:type="dxa"/>
            <w:tcBorders/>
            <w:shd w:fill="CCEEFF" w:val="clear"/>
            <w:vAlign w:val="center"/>
          </w:tcPr>
          <w:p>
            <w:pPr>
              <w:pStyle w:val="TableContents"/>
              <w:bidi w:val="0"/>
              <w:spacing w:before="0" w:after="283"/>
              <w:jc w:val="left"/>
              <w:rPr/>
            </w:pPr>
            <w:r>
              <w:rPr/>
              <w:t> </w:t>
            </w:r>
            <w:bookmarkStart w:id="408" w:name="xdx_408_eus-gaap--ContractWithCustomerAs"/>
            <w:bookmarkEnd w:id="408"/>
          </w:p>
        </w:tc>
      </w:tr>
      <w:tr>
        <w:trPr/>
        <w:tc>
          <w:tcPr>
            <w:tcW w:w="19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assets</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w:t>
            </w:r>
          </w:p>
        </w:tc>
        <w:tc>
          <w:tcPr>
            <w:tcW w:w="75" w:type="dxa"/>
            <w:tcBorders/>
            <w:shd w:fill="FFFFFF" w:val="clear"/>
            <w:vAlign w:val="center"/>
          </w:tcPr>
          <w:p>
            <w:pPr>
              <w:pStyle w:val="TableContents"/>
              <w:bidi w:val="0"/>
              <w:spacing w:before="0" w:after="283"/>
              <w:jc w:val="left"/>
              <w:rPr/>
            </w:pPr>
            <w:r>
              <w:rPr/>
              <w:t> </w:t>
            </w:r>
            <w:bookmarkStart w:id="409" w:name="xdx_40D_eus-gaap--ContractWithCustomerLi"/>
            <w:bookmarkEnd w:id="409"/>
          </w:p>
        </w:tc>
      </w:tr>
      <w:tr>
        <w:trPr/>
        <w:tc>
          <w:tcPr>
            <w:tcW w:w="19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Contract liabilities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bookmarkStart w:id="410" w:name="xdx_8AB_zZmvzrfc7fYf"/>
      <w:bookmarkEnd w:id="410"/>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include unbilled amounts typically resulting from arrangements whereby the right to payment is conditional on completing additional tasks or services for a performance obligation. The increase in contract assets from year end is primarily a result of consulting services projects for which revenue was recognized in the current period but has not yet been billed. No impairments to contract assets were incurred during the nine months ended January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1" w:name="xdx_895_ecustom--ContractWithCustomerAss"/>
      <w:bookmarkEnd w:id="411"/>
      <w:r>
        <w:rPr>
          <w:rFonts w:ascii="Times New Roman;Times;Serif" w:hAnsi="Times New Roman;Times;Serif"/>
          <w:b w:val="false"/>
          <w:i w:val="false"/>
          <w:caps w:val="false"/>
          <w:smallCaps w:val="false"/>
          <w:sz w:val="20"/>
        </w:rPr>
        <w:t>Significant changes in the contract assets balances during the period were as follows:</w:t>
      </w:r>
    </w:p>
    <w:p>
      <w:pPr>
        <w:pStyle w:val="TextBody"/>
        <w:bidi w:val="0"/>
        <w:spacing w:before="0" w:after="0"/>
        <w:ind w:left="0" w:right="0" w:hanging="0"/>
        <w:jc w:val="both"/>
        <w:rPr>
          <w:caps w:val="false"/>
          <w:smallCaps w:val="false"/>
        </w:rPr>
      </w:pPr>
      <w:r>
        <w:rPr>
          <w:caps w:val="false"/>
          <w:smallCaps w:val="false"/>
        </w:rPr>
        <w:t> </w:t>
      </w:r>
      <w:bookmarkStart w:id="412" w:name="xdx_8B8_zMsRGzBbR9Z"/>
      <w:bookmarkEnd w:id="412"/>
      <w:r>
        <w:rPr>
          <w:rFonts w:ascii="Times New Roman;Times;Serif" w:hAnsi="Times New Roman;Times;Serif"/>
          <w:b w:val="false"/>
          <w:i w:val="false"/>
          <w:caps w:val="false"/>
          <w:smallCaps w:val="false"/>
          <w:sz w:val="20"/>
        </w:rPr>
        <w:t>Schedule of Significant Changes in Contract Assets</w:t>
      </w:r>
    </w:p>
    <w:tbl>
      <w:tblPr>
        <w:tblW w:w="9789" w:type="dxa"/>
        <w:jc w:val="left"/>
        <w:tblInd w:w="0" w:type="dxa"/>
        <w:tblLayout w:type="fixed"/>
        <w:tblCellMar>
          <w:top w:w="0" w:type="dxa"/>
          <w:left w:w="0" w:type="dxa"/>
          <w:bottom w:w="0" w:type="dxa"/>
          <w:right w:w="0" w:type="dxa"/>
        </w:tblCellMar>
      </w:tblPr>
      <w:tblGrid>
        <w:gridCol w:w="5495"/>
        <w:gridCol w:w="60"/>
        <w:gridCol w:w="397"/>
        <w:gridCol w:w="1588"/>
        <w:gridCol w:w="95"/>
        <w:gridCol w:w="60"/>
        <w:gridCol w:w="358"/>
        <w:gridCol w:w="1626"/>
        <w:gridCol w:w="110"/>
      </w:tblGrid>
      <w:tr>
        <w:trPr/>
        <w:tc>
          <w:tcPr>
            <w:tcW w:w="5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13" w:name="xdx_493_20240501__20250131_zYvMg2aPFO9h"/>
            <w:bookmarkEnd w:id="413"/>
          </w:p>
        </w:tc>
        <w:tc>
          <w:tcPr>
            <w:tcW w:w="19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w:t>
              <w:br/>
              <w:t>January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14" w:name="xdx_493_20230501__20240131_zOz1Co7KiZWg"/>
            <w:bookmarkEnd w:id="414"/>
          </w:p>
        </w:tc>
        <w:tc>
          <w:tcPr>
            <w:tcW w:w="19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w:t>
              <w:br/>
              <w:t>January 31, 2024</w:t>
            </w:r>
          </w:p>
        </w:tc>
        <w:tc>
          <w:tcPr>
            <w:tcW w:w="110" w:type="dxa"/>
            <w:tcBorders/>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24"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110" w:type="dxa"/>
            <w:tcBorders/>
            <w:vAlign w:val="center"/>
          </w:tcPr>
          <w:p>
            <w:pPr>
              <w:pStyle w:val="TableContents"/>
              <w:bidi w:val="0"/>
              <w:spacing w:before="0" w:after="283"/>
              <w:jc w:val="left"/>
              <w:rPr/>
            </w:pPr>
            <w:r>
              <w:rPr/>
              <w:t> </w:t>
            </w:r>
            <w:bookmarkStart w:id="415" w:name="xdx_40A_eus-gaap--ContractWithCustomerAs"/>
            <w:bookmarkEnd w:id="415"/>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Transferred to receivables from contract assets recognized</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8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(1,469</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16" w:name="xdx_40E_ecustom--RevenueRecognizedAndNot"/>
            <w:bookmarkEnd w:id="416"/>
          </w:p>
        </w:tc>
      </w:tr>
      <w:tr>
        <w:trPr/>
        <w:tc>
          <w:tcPr>
            <w:tcW w:w="54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 and not billed</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1,598</w:t>
            </w:r>
          </w:p>
        </w:tc>
        <w:tc>
          <w:tcPr>
            <w:tcW w:w="110" w:type="dxa"/>
            <w:tcBorders/>
            <w:shd w:fill="FFFFFF" w:val="clear"/>
            <w:vAlign w:val="center"/>
          </w:tcPr>
          <w:p>
            <w:pPr>
              <w:pStyle w:val="TableContents"/>
              <w:bidi w:val="0"/>
              <w:spacing w:before="0" w:after="283"/>
              <w:jc w:val="left"/>
              <w:rPr/>
            </w:pPr>
            <w:r>
              <w:rPr/>
              <w:t> </w:t>
            </w:r>
            <w:bookmarkStart w:id="417" w:name="xdx_409_eus-gaap--IncreaseDecreaseInCont"/>
            <w:bookmarkEnd w:id="417"/>
          </w:p>
        </w:tc>
      </w:tr>
      <w:tr>
        <w:trPr/>
        <w:tc>
          <w:tcPr>
            <w:tcW w:w="54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 in contract assets</w:t>
            </w:r>
          </w:p>
        </w:tc>
        <w:tc>
          <w:tcPr>
            <w:tcW w:w="60" w:type="dxa"/>
            <w:tcBorders/>
            <w:shd w:fill="CCEEFF" w:val="clear"/>
            <w:vAlign w:val="center"/>
          </w:tcPr>
          <w:p>
            <w:pPr>
              <w:pStyle w:val="TableContents"/>
              <w:bidi w:val="0"/>
              <w:spacing w:before="0" w:after="283"/>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2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18" w:name="xdx_8A5_zv5psFt1OL23"/>
      <w:bookmarkEnd w:id="418"/>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consist of amounts invoiced to customers in excess of revenue recognized. The decrease in contract liabilities from year end is primarily due to converting previous payments collected to recognized revenue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9" w:name="xdx_892_ecustom--ContractWithCustomerLia"/>
      <w:bookmarkEnd w:id="419"/>
      <w:r>
        <w:rPr>
          <w:rFonts w:ascii="Times New Roman;Times;Serif" w:hAnsi="Times New Roman;Times;Serif"/>
          <w:b w:val="false"/>
          <w:i w:val="false"/>
          <w:caps w:val="false"/>
          <w:smallCaps w:val="false"/>
          <w:sz w:val="20"/>
        </w:rPr>
        <w:t>Significant changes in the contract liabilities balances during the period are as follows:</w:t>
      </w:r>
    </w:p>
    <w:p>
      <w:pPr>
        <w:pStyle w:val="TextBody"/>
        <w:bidi w:val="0"/>
        <w:spacing w:before="0" w:after="0"/>
        <w:ind w:left="0" w:right="0" w:hanging="0"/>
        <w:jc w:val="both"/>
        <w:rPr>
          <w:caps w:val="false"/>
          <w:smallCaps w:val="false"/>
        </w:rPr>
      </w:pPr>
      <w:r>
        <w:rPr>
          <w:caps w:val="false"/>
          <w:smallCaps w:val="false"/>
        </w:rPr>
        <w:t> </w:t>
      </w:r>
      <w:bookmarkStart w:id="420" w:name="xdx_8B5_z08Idm0wf2T6"/>
      <w:bookmarkEnd w:id="420"/>
      <w:r>
        <w:rPr>
          <w:rFonts w:ascii="Times New Roman;Times;Serif" w:hAnsi="Times New Roman;Times;Serif"/>
          <w:b w:val="false"/>
          <w:i w:val="false"/>
          <w:caps w:val="false"/>
          <w:smallCaps w:val="false"/>
          <w:sz w:val="20"/>
        </w:rPr>
        <w:t>Schedule of Significant Changes in Contract Liabilities</w:t>
      </w:r>
    </w:p>
    <w:tbl>
      <w:tblPr>
        <w:tblW w:w="10205" w:type="dxa"/>
        <w:jc w:val="left"/>
        <w:tblInd w:w="0" w:type="dxa"/>
        <w:tblLayout w:type="fixed"/>
        <w:tblCellMar>
          <w:top w:w="0" w:type="dxa"/>
          <w:left w:w="0" w:type="dxa"/>
          <w:bottom w:w="0" w:type="dxa"/>
          <w:right w:w="0" w:type="dxa"/>
        </w:tblCellMar>
      </w:tblPr>
      <w:tblGrid>
        <w:gridCol w:w="5931"/>
        <w:gridCol w:w="60"/>
        <w:gridCol w:w="356"/>
        <w:gridCol w:w="1617"/>
        <w:gridCol w:w="95"/>
        <w:gridCol w:w="60"/>
        <w:gridCol w:w="356"/>
        <w:gridCol w:w="1617"/>
        <w:gridCol w:w="113"/>
      </w:tblGrid>
      <w:tr>
        <w:trPr/>
        <w:tc>
          <w:tcPr>
            <w:tcW w:w="59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21" w:name="xdx_493_20240501__20250131_zUKuVhXppgC1"/>
            <w:bookmarkEnd w:id="421"/>
          </w:p>
        </w:tc>
        <w:tc>
          <w:tcPr>
            <w:tcW w:w="19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w:t>
              <w:br/>
              <w:t>January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2" w:name="xdx_493_20230501__20240131_ztFzjhliSfza"/>
            <w:bookmarkEnd w:id="422"/>
          </w:p>
        </w:tc>
        <w:tc>
          <w:tcPr>
            <w:tcW w:w="197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w:t>
              <w:br/>
              <w:t>January 31, 2024</w:t>
            </w:r>
          </w:p>
        </w:tc>
        <w:tc>
          <w:tcPr>
            <w:tcW w:w="113" w:type="dxa"/>
            <w:tcBorders/>
            <w:vAlign w:val="center"/>
          </w:tcPr>
          <w:p>
            <w:pPr>
              <w:pStyle w:val="TableContents"/>
              <w:bidi w:val="0"/>
              <w:spacing w:before="0" w:after="283"/>
              <w:jc w:val="left"/>
              <w:rPr/>
            </w:pPr>
            <w:r>
              <w:rPr/>
              <w:t> </w:t>
            </w:r>
          </w:p>
        </w:tc>
      </w:tr>
      <w:tr>
        <w:trPr/>
        <w:tc>
          <w:tcPr>
            <w:tcW w:w="59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101"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113" w:type="dxa"/>
            <w:tcBorders/>
            <w:vAlign w:val="center"/>
          </w:tcPr>
          <w:p>
            <w:pPr>
              <w:pStyle w:val="TableContents"/>
              <w:bidi w:val="0"/>
              <w:spacing w:before="0" w:after="283"/>
              <w:jc w:val="left"/>
              <w:rPr/>
            </w:pPr>
            <w:r>
              <w:rPr/>
              <w:t> </w:t>
            </w:r>
            <w:bookmarkStart w:id="423" w:name="xdx_40D_ecustom--ContractWithCustomerLia"/>
            <w:bookmarkEnd w:id="423"/>
          </w:p>
        </w:tc>
      </w:tr>
      <w:tr>
        <w:trPr/>
        <w:tc>
          <w:tcPr>
            <w:tcW w:w="59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recognized</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(1,830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(1,312</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24" w:name="xdx_40E_ecustom--PaymentsCollectedForWhi"/>
            <w:bookmarkEnd w:id="424"/>
          </w:p>
        </w:tc>
      </w:tr>
      <w:tr>
        <w:trPr/>
        <w:tc>
          <w:tcPr>
            <w:tcW w:w="593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Payments collected for which revenue has not been recognized</w:t>
            </w:r>
          </w:p>
        </w:tc>
        <w:tc>
          <w:tcPr>
            <w:tcW w:w="60" w:type="dxa"/>
            <w:tcBorders/>
            <w:shd w:fill="FFFFFF" w:val="clear"/>
            <w:vAlign w:val="center"/>
          </w:tcPr>
          <w:p>
            <w:pPr>
              <w:pStyle w:val="TableContents"/>
              <w:bidi w:val="0"/>
              <w:spacing w:before="0" w:after="283"/>
              <w:jc w:val="left"/>
              <w:rPr/>
            </w:pPr>
            <w:r>
              <w:rPr/>
              <w:t> </w:t>
            </w:r>
          </w:p>
        </w:tc>
        <w:tc>
          <w:tcPr>
            <w:tcW w:w="3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w:t>
            </w:r>
          </w:p>
        </w:tc>
        <w:tc>
          <w:tcPr>
            <w:tcW w:w="113" w:type="dxa"/>
            <w:tcBorders/>
            <w:shd w:fill="FFFFFF" w:val="clear"/>
            <w:vAlign w:val="center"/>
          </w:tcPr>
          <w:p>
            <w:pPr>
              <w:pStyle w:val="TableContents"/>
              <w:bidi w:val="0"/>
              <w:spacing w:before="0" w:after="283"/>
              <w:jc w:val="left"/>
              <w:rPr/>
            </w:pPr>
            <w:r>
              <w:rPr/>
              <w:t> </w:t>
            </w:r>
            <w:bookmarkStart w:id="425" w:name="xdx_401_eus-gaap--IncreaseDecreaseInCont"/>
            <w:bookmarkEnd w:id="425"/>
          </w:p>
        </w:tc>
      </w:tr>
      <w:tr>
        <w:trPr/>
        <w:tc>
          <w:tcPr>
            <w:tcW w:w="59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change in contract liabilities</w:t>
            </w:r>
          </w:p>
        </w:tc>
        <w:tc>
          <w:tcPr>
            <w:tcW w:w="60" w:type="dxa"/>
            <w:tcBorders/>
            <w:shd w:fill="CCEEFF" w:val="clear"/>
            <w:vAlign w:val="center"/>
          </w:tcPr>
          <w:p>
            <w:pPr>
              <w:pStyle w:val="TableContents"/>
              <w:bidi w:val="0"/>
              <w:spacing w:before="0" w:after="283"/>
              <w:jc w:val="left"/>
              <w:rPr/>
            </w:pPr>
            <w:r>
              <w:rPr/>
              <w:t> </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(302</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(510</w:t>
            </w:r>
          </w:p>
        </w:tc>
        <w:tc>
          <w:tcPr>
            <w:tcW w:w="11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left"/>
        <w:rPr>
          <w:caps w:val="false"/>
          <w:smallCaps w:val="false"/>
        </w:rPr>
      </w:pPr>
      <w:bookmarkStart w:id="426" w:name="xdx_8A7_z1LwYh6WqLg9"/>
      <w:bookmarkEnd w:id="426"/>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27" w:name="xdx_80B_eus-gaap--InventoryDisclosureTex"/>
      <w:bookmarkEnd w:id="427"/>
      <w:r>
        <w:rPr>
          <w:rFonts w:ascii="Times New Roman;Times;Serif" w:hAnsi="Times New Roman;Times;Serif"/>
          <w:b/>
          <w:i w:val="false"/>
          <w:caps w:val="false"/>
          <w:smallCaps w:val="false"/>
          <w:sz w:val="20"/>
        </w:rPr>
        <w:t xml:space="preserve">(4) </w:t>
      </w:r>
      <w:bookmarkStart w:id="428" w:name="xdx_825_zGOaQOAbJ3G7"/>
      <w:bookmarkEnd w:id="428"/>
      <w:r>
        <w:rPr>
          <w:rFonts w:ascii="Times New Roman;Times;Serif" w:hAnsi="Times New Roman;Times;Serif"/>
          <w:b/>
          <w:i w:val="false"/>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29" w:name="xdx_899_eus-gaap--ScheduleOfInventoryCur"/>
      <w:bookmarkEnd w:id="429"/>
      <w:r>
        <w:rPr>
          <w:rFonts w:ascii="Times New Roman;Times;Serif" w:hAnsi="Times New Roman;Times;Serif"/>
          <w:b w:val="false"/>
          <w:i w:val="false"/>
          <w:caps w:val="false"/>
          <w:smallCaps w:val="false"/>
          <w:sz w:val="20"/>
        </w:rPr>
        <w:t>The Company holds inventory related to the production of its WAM-V® and PowerBuoy® products.</w:t>
      </w:r>
    </w:p>
    <w:p>
      <w:pPr>
        <w:pStyle w:val="TextBody"/>
        <w:bidi w:val="0"/>
        <w:spacing w:before="0" w:after="0"/>
        <w:ind w:left="0" w:right="0" w:hanging="0"/>
        <w:jc w:val="both"/>
        <w:rPr>
          <w:caps w:val="false"/>
          <w:smallCaps w:val="false"/>
        </w:rPr>
      </w:pPr>
      <w:r>
        <w:rPr>
          <w:caps w:val="false"/>
          <w:smallCaps w:val="false"/>
        </w:rPr>
        <w:t> </w:t>
      </w:r>
      <w:bookmarkStart w:id="430" w:name="xdx_8B7_zhfLmitl5AUi"/>
      <w:bookmarkEnd w:id="430"/>
      <w:r>
        <w:rPr>
          <w:rFonts w:ascii="Times New Roman;Times;Serif" w:hAnsi="Times New Roman;Times;Serif"/>
          <w:b w:val="false"/>
          <w:i w:val="false"/>
          <w:caps w:val="false"/>
          <w:smallCaps w:val="false"/>
          <w:sz w:val="20"/>
        </w:rPr>
        <w:t>Schedule of Inventory</w:t>
      </w:r>
    </w:p>
    <w:tbl>
      <w:tblPr>
        <w:tblW w:w="5220" w:type="dxa"/>
        <w:jc w:val="left"/>
        <w:tblInd w:w="0" w:type="dxa"/>
        <w:tblLayout w:type="fixed"/>
        <w:tblCellMar>
          <w:top w:w="0" w:type="dxa"/>
          <w:left w:w="0" w:type="dxa"/>
          <w:bottom w:w="0" w:type="dxa"/>
          <w:right w:w="0" w:type="dxa"/>
        </w:tblCellMar>
      </w:tblPr>
      <w:tblGrid>
        <w:gridCol w:w="1730"/>
        <w:gridCol w:w="60"/>
        <w:gridCol w:w="355"/>
        <w:gridCol w:w="1420"/>
        <w:gridCol w:w="60"/>
        <w:gridCol w:w="60"/>
        <w:gridCol w:w="292"/>
        <w:gridCol w:w="1168"/>
        <w:gridCol w:w="75"/>
      </w:tblGrid>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31" w:name="xdx_49D_20250131_zMeeQrcm7hTe"/>
            <w:bookmarkEnd w:id="431"/>
          </w:p>
        </w:tc>
        <w:tc>
          <w:tcPr>
            <w:tcW w:w="1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2" w:name="xdx_49B_20240430_ziOUBWIknnUa"/>
            <w:bookmarkEnd w:id="432"/>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 2024</w:t>
            </w:r>
          </w:p>
        </w:tc>
        <w:tc>
          <w:tcPr>
            <w:tcW w:w="75" w:type="dxa"/>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55"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75" w:type="dxa"/>
            <w:tcBorders/>
            <w:vAlign w:val="center"/>
          </w:tcPr>
          <w:p>
            <w:pPr>
              <w:pStyle w:val="TableContents"/>
              <w:bidi w:val="0"/>
              <w:spacing w:before="0" w:after="283"/>
              <w:jc w:val="left"/>
              <w:rPr/>
            </w:pPr>
            <w:r>
              <w:rPr/>
              <w:t> </w:t>
            </w:r>
            <w:bookmarkStart w:id="433" w:name="xdx_40A_eus-gaap--InventoryRawMaterials_"/>
            <w:bookmarkEnd w:id="433"/>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Raw Materials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4,298</w:t>
            </w:r>
          </w:p>
        </w:tc>
        <w:tc>
          <w:tcPr>
            <w:tcW w:w="75" w:type="dxa"/>
            <w:tcBorders/>
            <w:shd w:fill="CCEEFF" w:val="clear"/>
            <w:vAlign w:val="center"/>
          </w:tcPr>
          <w:p>
            <w:pPr>
              <w:pStyle w:val="TableContents"/>
              <w:bidi w:val="0"/>
              <w:spacing w:before="0" w:after="283"/>
              <w:jc w:val="left"/>
              <w:rPr/>
            </w:pPr>
            <w:r>
              <w:rPr/>
              <w:t> </w:t>
            </w:r>
            <w:bookmarkStart w:id="434" w:name="xdx_404_eus-gaap--InventoryWorkInProcess"/>
            <w:bookmarkEnd w:id="434"/>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Work in Process</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397</w:t>
            </w:r>
          </w:p>
        </w:tc>
        <w:tc>
          <w:tcPr>
            <w:tcW w:w="75" w:type="dxa"/>
            <w:tcBorders/>
            <w:shd w:fill="FFFFFF" w:val="clear"/>
            <w:vAlign w:val="center"/>
          </w:tcPr>
          <w:p>
            <w:pPr>
              <w:pStyle w:val="TableContents"/>
              <w:bidi w:val="0"/>
              <w:spacing w:before="0" w:after="283"/>
              <w:jc w:val="left"/>
              <w:rPr/>
            </w:pPr>
            <w:r>
              <w:rPr/>
              <w:t> </w:t>
            </w:r>
            <w:bookmarkStart w:id="435" w:name="xdx_406_eus-gaap--InventoryFinishedGoods"/>
            <w:bookmarkEnd w:id="435"/>
          </w:p>
        </w:tc>
      </w:tr>
      <w:tr>
        <w:trPr/>
        <w:tc>
          <w:tcPr>
            <w:tcW w:w="17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Finished Products</w:t>
            </w:r>
          </w:p>
        </w:tc>
        <w:tc>
          <w:tcPr>
            <w:tcW w:w="60" w:type="dxa"/>
            <w:tcBorders/>
            <w:shd w:fill="CCEEFF" w:val="clear"/>
            <w:vAlign w:val="center"/>
          </w:tcPr>
          <w:p>
            <w:pPr>
              <w:pStyle w:val="TableContents"/>
              <w:bidi w:val="0"/>
              <w:spacing w:before="0" w:after="283"/>
              <w:jc w:val="left"/>
              <w:rPr/>
            </w:pPr>
            <w:r>
              <w:rPr/>
              <w:t> </w:t>
            </w:r>
          </w:p>
        </w:tc>
        <w:tc>
          <w:tcPr>
            <w:tcW w:w="3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w:t>
            </w:r>
          </w:p>
        </w:tc>
        <w:tc>
          <w:tcPr>
            <w:tcW w:w="75" w:type="dxa"/>
            <w:tcBorders/>
            <w:shd w:fill="CCEEFF" w:val="clear"/>
            <w:vAlign w:val="center"/>
          </w:tcPr>
          <w:p>
            <w:pPr>
              <w:pStyle w:val="TableContents"/>
              <w:bidi w:val="0"/>
              <w:spacing w:before="0" w:after="283"/>
              <w:jc w:val="left"/>
              <w:rPr/>
            </w:pPr>
            <w:r>
              <w:rPr/>
              <w:t> </w:t>
            </w:r>
            <w:bookmarkStart w:id="436" w:name="xdx_409_eus-gaap--InventoryNet_iTI_pn3n3"/>
            <w:bookmarkEnd w:id="436"/>
          </w:p>
        </w:tc>
      </w:tr>
      <w:tr>
        <w:trPr/>
        <w:tc>
          <w:tcPr>
            <w:tcW w:w="17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Inventory, net</w:t>
            </w:r>
          </w:p>
        </w:tc>
        <w:tc>
          <w:tcPr>
            <w:tcW w:w="60" w:type="dxa"/>
            <w:tcBorders/>
            <w:shd w:fill="FFFFFF" w:val="clear"/>
            <w:vAlign w:val="center"/>
          </w:tcPr>
          <w:p>
            <w:pPr>
              <w:pStyle w:val="TableContents"/>
              <w:bidi w:val="0"/>
              <w:spacing w:before="0" w:after="283"/>
              <w:jc w:val="left"/>
              <w:rPr/>
            </w:pPr>
            <w:r>
              <w:rPr/>
              <w:t> </w:t>
            </w:r>
          </w:p>
        </w:tc>
        <w:tc>
          <w:tcPr>
            <w:tcW w:w="3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37" w:name="xdx_8AF_zwMRU4DGJTE"/>
      <w:bookmarkEnd w:id="43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raw materials balance represents the majority of the inventory as the Company orders parts in quantity to fill orders. Work in process and finished products typically represent smaller portions of inventory as the Company does not historically hold finished products with the exception of assets transitioning to the lease fleet. The Company typically ships finished products as they are completed.</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38" w:name="xdx_800_eus-gaap--OtherCurrentAssetsText"/>
      <w:bookmarkEnd w:id="438"/>
      <w:r>
        <w:rPr>
          <w:rFonts w:ascii="Times New Roman;Times;Serif" w:hAnsi="Times New Roman;Times;Serif"/>
          <w:b/>
          <w:i w:val="false"/>
          <w:caps w:val="false"/>
          <w:smallCaps w:val="false"/>
          <w:sz w:val="20"/>
        </w:rPr>
        <w:t xml:space="preserve">(5) </w:t>
      </w:r>
      <w:bookmarkStart w:id="439" w:name="xdx_828_zbWL3ZeKEUQ2"/>
      <w:bookmarkEnd w:id="439"/>
      <w:r>
        <w:rPr>
          <w:rFonts w:ascii="Times New Roman;Times;Serif" w:hAnsi="Times New Roman;Times;Serif"/>
          <w:b/>
          <w:i w:val="false"/>
          <w:caps w:val="false"/>
          <w:smallCaps w:val="false"/>
          <w:sz w:val="20"/>
        </w:rPr>
        <w:t>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40" w:name="xdx_89F_eus-gaap--ScheduleOfOtherCurrent"/>
      <w:bookmarkEnd w:id="440"/>
      <w:r>
        <w:rPr>
          <w:rFonts w:ascii="Times New Roman;Times;Serif" w:hAnsi="Times New Roman;Times;Serif"/>
          <w:b w:val="false"/>
          <w:i w:val="false"/>
          <w:caps w:val="false"/>
          <w:smallCaps w:val="false"/>
          <w:sz w:val="20"/>
        </w:rPr>
        <w:t>Other current assets consisted of the following at January 31, 2025 and April 30, 2024:</w:t>
      </w:r>
    </w:p>
    <w:p>
      <w:pPr>
        <w:pStyle w:val="TextBody"/>
        <w:bidi w:val="0"/>
        <w:spacing w:before="0" w:after="0"/>
        <w:ind w:left="0" w:right="0" w:hanging="0"/>
        <w:jc w:val="both"/>
        <w:rPr>
          <w:caps w:val="false"/>
          <w:smallCaps w:val="false"/>
        </w:rPr>
      </w:pPr>
      <w:r>
        <w:rPr>
          <w:caps w:val="false"/>
          <w:smallCaps w:val="false"/>
        </w:rPr>
        <w:t> </w:t>
      </w:r>
      <w:bookmarkStart w:id="441" w:name="xdx_8B8_ztxUKURMBmMi"/>
      <w:bookmarkEnd w:id="441"/>
      <w:r>
        <w:rPr>
          <w:rFonts w:ascii="Times New Roman;Times;Serif" w:hAnsi="Times New Roman;Times;Serif"/>
          <w:b w:val="false"/>
          <w:i w:val="false"/>
          <w:caps w:val="false"/>
          <w:smallCaps w:val="false"/>
          <w:sz w:val="20"/>
        </w:rPr>
        <w:t>Schedule of Other Current Assets</w:t>
      </w:r>
    </w:p>
    <w:tbl>
      <w:tblPr>
        <w:tblW w:w="6149" w:type="dxa"/>
        <w:jc w:val="left"/>
        <w:tblInd w:w="0" w:type="dxa"/>
        <w:tblLayout w:type="fixed"/>
        <w:tblCellMar>
          <w:top w:w="0" w:type="dxa"/>
          <w:left w:w="0" w:type="dxa"/>
          <w:bottom w:w="0" w:type="dxa"/>
          <w:right w:w="0" w:type="dxa"/>
        </w:tblCellMar>
      </w:tblPr>
      <w:tblGrid>
        <w:gridCol w:w="2660"/>
        <w:gridCol w:w="60"/>
        <w:gridCol w:w="476"/>
        <w:gridCol w:w="1298"/>
        <w:gridCol w:w="60"/>
        <w:gridCol w:w="60"/>
        <w:gridCol w:w="292"/>
        <w:gridCol w:w="1168"/>
        <w:gridCol w:w="75"/>
      </w:tblGrid>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42" w:name="xdx_49D_20250131_zKKHVQ41Ds4g"/>
            <w:bookmarkEnd w:id="442"/>
          </w:p>
        </w:tc>
        <w:tc>
          <w:tcPr>
            <w:tcW w:w="17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43" w:name="xdx_49B_20240430_zKTUSP62Lxsa"/>
            <w:bookmarkEnd w:id="443"/>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 2024</w:t>
            </w:r>
          </w:p>
        </w:tc>
        <w:tc>
          <w:tcPr>
            <w:tcW w:w="7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54"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75" w:type="dxa"/>
            <w:tcBorders/>
            <w:vAlign w:val="center"/>
          </w:tcPr>
          <w:p>
            <w:pPr>
              <w:pStyle w:val="TableContents"/>
              <w:bidi w:val="0"/>
              <w:spacing w:before="0" w:after="283"/>
              <w:jc w:val="left"/>
              <w:rPr/>
            </w:pPr>
            <w:r>
              <w:rPr/>
              <w:t> </w:t>
            </w:r>
            <w:bookmarkStart w:id="444" w:name="xdx_408_eus-gaap--PrepaidInsurance_iI_ma"/>
            <w:bookmarkEnd w:id="444"/>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insurance</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w:t>
            </w:r>
          </w:p>
        </w:tc>
        <w:tc>
          <w:tcPr>
            <w:tcW w:w="75" w:type="dxa"/>
            <w:tcBorders/>
            <w:shd w:fill="CCEEFF" w:val="clear"/>
            <w:vAlign w:val="center"/>
          </w:tcPr>
          <w:p>
            <w:pPr>
              <w:pStyle w:val="TableContents"/>
              <w:bidi w:val="0"/>
              <w:spacing w:before="0" w:after="283"/>
              <w:jc w:val="left"/>
              <w:rPr/>
            </w:pPr>
            <w:r>
              <w:rPr/>
              <w:t> </w:t>
            </w:r>
            <w:bookmarkStart w:id="445" w:name="xdx_400_ecustom--PrepaidSoftwareAndLicen"/>
            <w:bookmarkEnd w:id="445"/>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software &amp; licenses</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w:t>
            </w:r>
          </w:p>
        </w:tc>
        <w:tc>
          <w:tcPr>
            <w:tcW w:w="75" w:type="dxa"/>
            <w:tcBorders/>
            <w:shd w:fill="FFFFFF" w:val="clear"/>
            <w:vAlign w:val="center"/>
          </w:tcPr>
          <w:p>
            <w:pPr>
              <w:pStyle w:val="TableContents"/>
              <w:bidi w:val="0"/>
              <w:spacing w:before="0" w:after="283"/>
              <w:jc w:val="left"/>
              <w:rPr/>
            </w:pPr>
            <w:r>
              <w:rPr/>
              <w:t> </w:t>
            </w:r>
            <w:bookmarkStart w:id="446" w:name="xdx_40D_ecustom--PrepaidSalesAndMarketin"/>
            <w:bookmarkEnd w:id="446"/>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sales &amp; marketing</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124</w:t>
            </w:r>
          </w:p>
        </w:tc>
        <w:tc>
          <w:tcPr>
            <w:tcW w:w="75" w:type="dxa"/>
            <w:tcBorders/>
            <w:shd w:fill="CCEEFF" w:val="clear"/>
            <w:vAlign w:val="center"/>
          </w:tcPr>
          <w:p>
            <w:pPr>
              <w:pStyle w:val="TableContents"/>
              <w:bidi w:val="0"/>
              <w:spacing w:before="0" w:after="283"/>
              <w:jc w:val="left"/>
              <w:rPr/>
            </w:pPr>
            <w:r>
              <w:rPr/>
              <w:t> </w:t>
            </w:r>
            <w:bookmarkStart w:id="447" w:name="xdx_405_ecustom--PrepaidProjectCosts_iI_"/>
            <w:bookmarkEnd w:id="447"/>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project costs</w:t>
            </w:r>
          </w:p>
        </w:tc>
        <w:tc>
          <w:tcPr>
            <w:tcW w:w="60"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578</w:t>
            </w:r>
          </w:p>
        </w:tc>
        <w:tc>
          <w:tcPr>
            <w:tcW w:w="75" w:type="dxa"/>
            <w:tcBorders/>
            <w:shd w:fill="FFFFFF" w:val="clear"/>
            <w:vAlign w:val="center"/>
          </w:tcPr>
          <w:p>
            <w:pPr>
              <w:pStyle w:val="TableContents"/>
              <w:bidi w:val="0"/>
              <w:spacing w:before="0" w:after="283"/>
              <w:jc w:val="left"/>
              <w:rPr/>
            </w:pPr>
            <w:r>
              <w:rPr/>
              <w:t> </w:t>
            </w:r>
            <w:bookmarkStart w:id="448" w:name="xdx_40F_ecustom--PrepaidInventoryMateria"/>
            <w:bookmarkEnd w:id="448"/>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inventory materials</w:t>
            </w:r>
          </w:p>
        </w:tc>
        <w:tc>
          <w:tcPr>
            <w:tcW w:w="60" w:type="dxa"/>
            <w:tcBorders/>
            <w:shd w:fill="CCEEFF" w:val="clear"/>
            <w:vAlign w:val="center"/>
          </w:tcPr>
          <w:p>
            <w:pPr>
              <w:pStyle w:val="TableContents"/>
              <w:bidi w:val="0"/>
              <w:spacing w:before="0" w:after="283"/>
              <w:jc w:val="left"/>
              <w:rPr/>
            </w:pPr>
            <w:r>
              <w:rPr/>
              <w:t> </w:t>
            </w:r>
          </w:p>
        </w:tc>
        <w:tc>
          <w:tcPr>
            <w:tcW w:w="476"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w:t>
            </w:r>
          </w:p>
        </w:tc>
        <w:tc>
          <w:tcPr>
            <w:tcW w:w="75" w:type="dxa"/>
            <w:tcBorders/>
            <w:shd w:fill="CCEEFF" w:val="clear"/>
            <w:vAlign w:val="center"/>
          </w:tcPr>
          <w:p>
            <w:pPr>
              <w:pStyle w:val="TableContents"/>
              <w:bidi w:val="0"/>
              <w:spacing w:before="0" w:after="283"/>
              <w:jc w:val="left"/>
              <w:rPr/>
            </w:pPr>
            <w:r>
              <w:rPr/>
              <w:t> </w:t>
            </w:r>
            <w:bookmarkStart w:id="449" w:name="xdx_40E_eus-gaap--OtherPrepaidExpenseCur"/>
            <w:bookmarkEnd w:id="449"/>
          </w:p>
        </w:tc>
      </w:tr>
      <w:tr>
        <w:trPr/>
        <w:tc>
          <w:tcPr>
            <w:tcW w:w="26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Prepaid expenses- other</w:t>
            </w:r>
          </w:p>
        </w:tc>
        <w:tc>
          <w:tcPr>
            <w:tcW w:w="60" w:type="dxa"/>
            <w:tcBorders/>
            <w:shd w:fill="FFFFFF" w:val="clear"/>
            <w:vAlign w:val="center"/>
          </w:tcPr>
          <w:p>
            <w:pPr>
              <w:pStyle w:val="TableContents"/>
              <w:bidi w:val="0"/>
              <w:spacing w:before="0" w:after="283"/>
              <w:jc w:val="left"/>
              <w:rPr/>
            </w:pPr>
            <w:r>
              <w:rPr/>
              <w:t> </w:t>
            </w:r>
          </w:p>
        </w:tc>
        <w:tc>
          <w:tcPr>
            <w:tcW w:w="4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w:t>
            </w:r>
          </w:p>
        </w:tc>
        <w:tc>
          <w:tcPr>
            <w:tcW w:w="75" w:type="dxa"/>
            <w:tcBorders/>
            <w:shd w:fill="FFFFFF" w:val="clear"/>
            <w:vAlign w:val="center"/>
          </w:tcPr>
          <w:p>
            <w:pPr>
              <w:pStyle w:val="TableContents"/>
              <w:bidi w:val="0"/>
              <w:spacing w:before="0" w:after="283"/>
              <w:jc w:val="left"/>
              <w:rPr/>
            </w:pPr>
            <w:r>
              <w:rPr/>
              <w:t> </w:t>
            </w:r>
            <w:bookmarkStart w:id="450" w:name="xdx_405_eus-gaap--OtherAssetsCurrent_iTI"/>
            <w:bookmarkEnd w:id="450"/>
          </w:p>
        </w:tc>
      </w:tr>
      <w:tr>
        <w:trPr/>
        <w:tc>
          <w:tcPr>
            <w:tcW w:w="26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other current assets</w:t>
            </w:r>
          </w:p>
        </w:tc>
        <w:tc>
          <w:tcPr>
            <w:tcW w:w="60" w:type="dxa"/>
            <w:tcBorders/>
            <w:shd w:fill="CCEEFF" w:val="clear"/>
            <w:vAlign w:val="center"/>
          </w:tcPr>
          <w:p>
            <w:pPr>
              <w:pStyle w:val="TableContents"/>
              <w:bidi w:val="0"/>
              <w:spacing w:before="0" w:after="283"/>
              <w:jc w:val="left"/>
              <w:rPr/>
            </w:pPr>
            <w:r>
              <w:rPr/>
              <w:t> </w:t>
            </w:r>
          </w:p>
        </w:tc>
        <w:tc>
          <w:tcPr>
            <w:tcW w:w="47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1,747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51" w:name="xdx_8A2_zdlUebEPH2Gb"/>
      <w:bookmarkEnd w:id="451"/>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2" w:name="xdx_809_eus-gaap--PropertyPlantAndEquipm"/>
      <w:bookmarkEnd w:id="452"/>
      <w:r>
        <w:rPr>
          <w:rFonts w:ascii="Times New Roman;Times;Serif" w:hAnsi="Times New Roman;Times;Serif"/>
          <w:b/>
          <w:i w:val="false"/>
          <w:caps w:val="false"/>
          <w:smallCaps w:val="false"/>
          <w:sz w:val="20"/>
        </w:rPr>
        <w:t xml:space="preserve">(6) </w:t>
      </w:r>
      <w:bookmarkStart w:id="453" w:name="xdx_82D_zXsRgvU5W3Oh"/>
      <w:bookmarkEnd w:id="453"/>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4" w:name="xdx_89A_eus-gaap--PropertyPlantAndEquipm"/>
      <w:bookmarkEnd w:id="454"/>
      <w:r>
        <w:rPr>
          <w:rFonts w:ascii="Times New Roman;Times;Serif" w:hAnsi="Times New Roman;Times;Serif"/>
          <w:b w:val="false"/>
          <w:i w:val="false"/>
          <w:caps w:val="false"/>
          <w:smallCaps w:val="false"/>
          <w:sz w:val="20"/>
        </w:rPr>
        <w:t>The components of property and equipment, net as of January 31, 2025 and April 30,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455" w:name="xdx_8BF_zxhO15rIxeck"/>
      <w:bookmarkEnd w:id="455"/>
      <w:r>
        <w:rPr>
          <w:rFonts w:ascii="Times New Roman;Times;Serif" w:hAnsi="Times New Roman;Times;Serif"/>
          <w:b w:val="false"/>
          <w:i w:val="false"/>
          <w:caps w:val="false"/>
          <w:smallCaps w:val="false"/>
          <w:sz w:val="20"/>
        </w:rPr>
        <w:t>Schedule of Components of Property and Equipment, Net</w:t>
      </w:r>
    </w:p>
    <w:tbl>
      <w:tblPr>
        <w:tblW w:w="6698" w:type="dxa"/>
        <w:jc w:val="left"/>
        <w:tblInd w:w="0" w:type="dxa"/>
        <w:tblLayout w:type="fixed"/>
        <w:tblCellMar>
          <w:top w:w="0" w:type="dxa"/>
          <w:left w:w="0" w:type="dxa"/>
          <w:bottom w:w="0" w:type="dxa"/>
          <w:right w:w="0" w:type="dxa"/>
        </w:tblCellMar>
      </w:tblPr>
      <w:tblGrid>
        <w:gridCol w:w="3140"/>
        <w:gridCol w:w="60"/>
        <w:gridCol w:w="320"/>
        <w:gridCol w:w="1454"/>
        <w:gridCol w:w="95"/>
        <w:gridCol w:w="60"/>
        <w:gridCol w:w="263"/>
        <w:gridCol w:w="1196"/>
        <w:gridCol w:w="110"/>
      </w:tblGrid>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56" w:name="xdx_49D_20250131_zAFj3f3va4Xe"/>
            <w:bookmarkEnd w:id="456"/>
          </w:p>
        </w:tc>
        <w:tc>
          <w:tcPr>
            <w:tcW w:w="17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7" w:name="xdx_49B_20240430_zbhDXwhwyHIa"/>
            <w:bookmarkEnd w:id="457"/>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 2024</w:t>
            </w:r>
          </w:p>
        </w:tc>
        <w:tc>
          <w:tcPr>
            <w:tcW w:w="11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88"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110" w:type="dxa"/>
            <w:tcBorders/>
            <w:vAlign w:val="center"/>
          </w:tcPr>
          <w:p>
            <w:pPr>
              <w:pStyle w:val="TableContents"/>
              <w:bidi w:val="0"/>
              <w:spacing w:before="0" w:after="283"/>
              <w:jc w:val="left"/>
              <w:rPr/>
            </w:pPr>
            <w:r>
              <w:rPr/>
              <w:t> </w:t>
            </w:r>
            <w:bookmarkStart w:id="458" w:name="xdx_40D_eus-gaap--PropertyPlantAndEquipm"/>
            <w:bookmarkEnd w:id="458"/>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Equipment</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1,530</w:t>
            </w:r>
          </w:p>
        </w:tc>
        <w:tc>
          <w:tcPr>
            <w:tcW w:w="110" w:type="dxa"/>
            <w:tcBorders/>
            <w:shd w:fill="CCEEFF" w:val="clear"/>
            <w:vAlign w:val="center"/>
          </w:tcPr>
          <w:p>
            <w:pPr>
              <w:pStyle w:val="TableContents"/>
              <w:bidi w:val="0"/>
              <w:spacing w:before="0" w:after="283"/>
              <w:jc w:val="left"/>
              <w:rPr/>
            </w:pPr>
            <w:r>
              <w:rPr/>
              <w:t> </w:t>
            </w:r>
            <w:bookmarkStart w:id="459" w:name="xdx_40E_eus-gaap--PropertyPlantAndEquipm"/>
            <w:bookmarkEnd w:id="459"/>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Computer equipment &amp; software</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790</w:t>
            </w:r>
          </w:p>
        </w:tc>
        <w:tc>
          <w:tcPr>
            <w:tcW w:w="110" w:type="dxa"/>
            <w:tcBorders/>
            <w:shd w:fill="FFFFFF" w:val="clear"/>
            <w:vAlign w:val="center"/>
          </w:tcPr>
          <w:p>
            <w:pPr>
              <w:pStyle w:val="TableContents"/>
              <w:bidi w:val="0"/>
              <w:spacing w:before="0" w:after="283"/>
              <w:jc w:val="left"/>
              <w:rPr/>
            </w:pPr>
            <w:r>
              <w:rPr/>
              <w:t> </w:t>
            </w:r>
            <w:bookmarkStart w:id="460" w:name="xdx_402_eus-gaap--PropertyPlantAndEquipm"/>
            <w:bookmarkEnd w:id="460"/>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Office furniture &amp; equipment</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w:t>
            </w:r>
          </w:p>
        </w:tc>
        <w:tc>
          <w:tcPr>
            <w:tcW w:w="110" w:type="dxa"/>
            <w:tcBorders/>
            <w:shd w:fill="CCEEFF" w:val="clear"/>
            <w:vAlign w:val="center"/>
          </w:tcPr>
          <w:p>
            <w:pPr>
              <w:pStyle w:val="TableContents"/>
              <w:bidi w:val="0"/>
              <w:spacing w:before="0" w:after="283"/>
              <w:jc w:val="left"/>
              <w:rPr/>
            </w:pPr>
            <w:r>
              <w:rPr/>
              <w:t> </w:t>
            </w:r>
            <w:bookmarkStart w:id="461" w:name="xdx_400_eus-gaap--PropertyPlantAndEquipm"/>
            <w:bookmarkEnd w:id="461"/>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Leasehold improvements</w:t>
            </w:r>
          </w:p>
        </w:tc>
        <w:tc>
          <w:tcPr>
            <w:tcW w:w="6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45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1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683</w:t>
            </w:r>
          </w:p>
        </w:tc>
        <w:tc>
          <w:tcPr>
            <w:tcW w:w="110" w:type="dxa"/>
            <w:tcBorders/>
            <w:shd w:fill="FFFFFF" w:val="clear"/>
            <w:vAlign w:val="center"/>
          </w:tcPr>
          <w:p>
            <w:pPr>
              <w:pStyle w:val="TableContents"/>
              <w:bidi w:val="0"/>
              <w:spacing w:before="0" w:after="283"/>
              <w:jc w:val="left"/>
              <w:rPr/>
            </w:pPr>
            <w:r>
              <w:rPr/>
              <w:t> </w:t>
            </w:r>
            <w:bookmarkStart w:id="462" w:name="xdx_40A_eus-gaap--PropertyPlantAndEquipm"/>
            <w:bookmarkEnd w:id="462"/>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Leased WAM-V’s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1,547</w:t>
            </w:r>
          </w:p>
        </w:tc>
        <w:tc>
          <w:tcPr>
            <w:tcW w:w="110" w:type="dxa"/>
            <w:tcBorders/>
            <w:shd w:fill="CCEEFF" w:val="clear"/>
            <w:vAlign w:val="center"/>
          </w:tcPr>
          <w:p>
            <w:pPr>
              <w:pStyle w:val="TableContents"/>
              <w:bidi w:val="0"/>
              <w:spacing w:before="0" w:after="283"/>
              <w:jc w:val="left"/>
              <w:rPr/>
            </w:pPr>
            <w:r>
              <w:rPr/>
              <w:t> </w:t>
            </w:r>
            <w:bookmarkStart w:id="463" w:name="xdx_40B_eus-gaap--PropertyPlantAndEquipm"/>
            <w:bookmarkEnd w:id="463"/>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Leased Buoys</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444</w:t>
            </w:r>
          </w:p>
        </w:tc>
        <w:tc>
          <w:tcPr>
            <w:tcW w:w="110" w:type="dxa"/>
            <w:tcBorders/>
            <w:shd w:fill="FFFFFF" w:val="clear"/>
            <w:vAlign w:val="center"/>
          </w:tcPr>
          <w:p>
            <w:pPr>
              <w:pStyle w:val="TableContents"/>
              <w:bidi w:val="0"/>
              <w:spacing w:before="0" w:after="283"/>
              <w:jc w:val="left"/>
              <w:rPr/>
            </w:pPr>
            <w:r>
              <w:rPr/>
              <w:t> </w:t>
            </w:r>
            <w:bookmarkStart w:id="464" w:name="xdx_407_eus-gaap--PropertyPlantAndEquipm"/>
            <w:bookmarkEnd w:id="464"/>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gross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5,416</w:t>
            </w:r>
          </w:p>
        </w:tc>
        <w:tc>
          <w:tcPr>
            <w:tcW w:w="110" w:type="dxa"/>
            <w:tcBorders/>
            <w:shd w:fill="CCEEFF" w:val="clear"/>
            <w:vAlign w:val="center"/>
          </w:tcPr>
          <w:p>
            <w:pPr>
              <w:pStyle w:val="TableContents"/>
              <w:bidi w:val="0"/>
              <w:spacing w:before="0" w:after="283"/>
              <w:jc w:val="left"/>
              <w:rPr/>
            </w:pPr>
            <w:r>
              <w:rPr/>
              <w:t> </w:t>
            </w:r>
            <w:bookmarkStart w:id="465" w:name="xdx_401_eus-gaap--AccumulatedDepreciatio"/>
            <w:bookmarkEnd w:id="465"/>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(2,584</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66" w:name="xdx_406_eus-gaap--PropertyPlantAndEquipm"/>
            <w:bookmarkEnd w:id="466"/>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3,443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67" w:name="xdx_8A4_zFx5LR7qPspg"/>
      <w:bookmarkEnd w:id="46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Leased WAM-V’s and buoys represent fixed assets that are associated with underlying operating leases with customers or for customer demonstration as discussed in the revenue recognition section related to ASC 842.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was approximately $</w:t>
      </w:r>
      <w:bookmarkStart w:id="468" w:name="xdx_900_eus-gaap--Depreciation_c20240501"/>
      <w:bookmarkEnd w:id="468"/>
      <w:r>
        <w:rPr>
          <w:rFonts w:ascii="Times New Roman;Times;Serif" w:hAnsi="Times New Roman;Times;Serif"/>
          <w:b w:val="false"/>
          <w:i w:val="false"/>
          <w:caps w:val="false"/>
          <w:smallCaps w:val="false"/>
          <w:sz w:val="20"/>
        </w:rPr>
        <w:t>610,000 and $</w:t>
      </w:r>
      <w:bookmarkStart w:id="469" w:name="xdx_90E_eus-gaap--Depreciation_c20230501"/>
      <w:bookmarkEnd w:id="469"/>
      <w:r>
        <w:rPr>
          <w:rFonts w:ascii="Times New Roman;Times;Serif" w:hAnsi="Times New Roman;Times;Serif"/>
          <w:b w:val="false"/>
          <w:i w:val="false"/>
          <w:caps w:val="false"/>
          <w:smallCaps w:val="false"/>
          <w:sz w:val="20"/>
        </w:rPr>
        <w:t>286,000 for the nine-month periods ended January 31, 2025 and 2024, respectively. Depreciation expense was approximately $</w:t>
      </w:r>
      <w:bookmarkStart w:id="470" w:name="xdx_90B_eus-gaap--Depreciation_c20241101"/>
      <w:bookmarkEnd w:id="470"/>
      <w:r>
        <w:rPr>
          <w:rFonts w:ascii="Times New Roman;Times;Serif" w:hAnsi="Times New Roman;Times;Serif"/>
          <w:b w:val="false"/>
          <w:i w:val="false"/>
          <w:caps w:val="false"/>
          <w:smallCaps w:val="false"/>
          <w:sz w:val="20"/>
        </w:rPr>
        <w:t>155,000 and $</w:t>
      </w:r>
      <w:bookmarkStart w:id="471" w:name="xdx_906_eus-gaap--Depreciation_c20231101"/>
      <w:bookmarkEnd w:id="471"/>
      <w:r>
        <w:rPr>
          <w:rFonts w:ascii="Times New Roman;Times;Serif" w:hAnsi="Times New Roman;Times;Serif"/>
          <w:b w:val="false"/>
          <w:i w:val="false"/>
          <w:caps w:val="false"/>
          <w:smallCaps w:val="false"/>
          <w:sz w:val="20"/>
        </w:rPr>
        <w:t>114,000 for the three-month periods ended January 31, 2025 and 2024, respectively.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72" w:name="xdx_80A_eus-gaap--IntangibleAssetsDisclo"/>
      <w:bookmarkEnd w:id="472"/>
      <w:r>
        <w:rPr>
          <w:rFonts w:ascii="Times New Roman;Times;Serif" w:hAnsi="Times New Roman;Times;Serif"/>
          <w:b/>
          <w:i w:val="false"/>
          <w:caps w:val="false"/>
          <w:smallCaps w:val="false"/>
          <w:sz w:val="20"/>
        </w:rPr>
        <w:t xml:space="preserve">(7) </w:t>
      </w:r>
      <w:bookmarkStart w:id="473" w:name="xdx_826_zIg9A8UX1Aq3"/>
      <w:bookmarkEnd w:id="473"/>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74" w:name="xdx_89D_eus-gaap--ScheduleOfFiniteLivedI"/>
      <w:bookmarkEnd w:id="474"/>
      <w:r>
        <w:rPr>
          <w:rFonts w:ascii="Times New Roman;Times;Serif" w:hAnsi="Times New Roman;Times;Serif"/>
          <w:b w:val="false"/>
          <w:i w:val="false"/>
          <w:caps w:val="false"/>
          <w:smallCaps w:val="false"/>
          <w:sz w:val="20"/>
        </w:rPr>
        <w:t>The components of intangible assets, net as of January 31, 2025 and April 30, 2024 consisted of the following:</w:t>
      </w:r>
    </w:p>
    <w:p>
      <w:pPr>
        <w:pStyle w:val="TextBody"/>
        <w:bidi w:val="0"/>
        <w:spacing w:before="0" w:after="0"/>
        <w:ind w:left="0" w:right="0" w:hanging="0"/>
        <w:jc w:val="both"/>
        <w:rPr>
          <w:caps w:val="false"/>
          <w:smallCaps w:val="false"/>
        </w:rPr>
      </w:pPr>
      <w:r>
        <w:rPr>
          <w:caps w:val="false"/>
          <w:smallCaps w:val="false"/>
        </w:rPr>
        <w:t> </w:t>
      </w:r>
      <w:bookmarkStart w:id="475" w:name="xdx_8BB_zaRInUIc0IF5"/>
      <w:bookmarkEnd w:id="475"/>
      <w:r>
        <w:rPr>
          <w:rFonts w:ascii="Times New Roman;Times;Serif" w:hAnsi="Times New Roman;Times;Serif"/>
          <w:b w:val="false"/>
          <w:i w:val="false"/>
          <w:caps w:val="false"/>
          <w:smallCaps w:val="false"/>
          <w:sz w:val="20"/>
        </w:rPr>
        <w:t>Schedule of Components of Intangible Assets</w:t>
      </w:r>
    </w:p>
    <w:tbl>
      <w:tblPr>
        <w:tblW w:w="6083" w:type="dxa"/>
        <w:jc w:val="left"/>
        <w:tblInd w:w="0" w:type="dxa"/>
        <w:tblLayout w:type="fixed"/>
        <w:tblCellMar>
          <w:top w:w="0" w:type="dxa"/>
          <w:left w:w="0" w:type="dxa"/>
          <w:bottom w:w="0" w:type="dxa"/>
          <w:right w:w="0" w:type="dxa"/>
        </w:tblCellMar>
      </w:tblPr>
      <w:tblGrid>
        <w:gridCol w:w="2525"/>
        <w:gridCol w:w="60"/>
        <w:gridCol w:w="320"/>
        <w:gridCol w:w="1454"/>
        <w:gridCol w:w="95"/>
        <w:gridCol w:w="60"/>
        <w:gridCol w:w="263"/>
        <w:gridCol w:w="1196"/>
        <w:gridCol w:w="110"/>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76" w:name="xdx_49D_20250131_zqprGaub5NR7"/>
            <w:bookmarkEnd w:id="476"/>
          </w:p>
        </w:tc>
        <w:tc>
          <w:tcPr>
            <w:tcW w:w="17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77" w:name="xdx_49B_20240430_zZgGmT0fjGc7"/>
            <w:bookmarkEnd w:id="477"/>
          </w:p>
        </w:tc>
        <w:tc>
          <w:tcPr>
            <w:tcW w:w="14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 2024</w:t>
            </w:r>
          </w:p>
        </w:tc>
        <w:tc>
          <w:tcPr>
            <w:tcW w:w="110"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88"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110" w:type="dxa"/>
            <w:tcBorders/>
            <w:vAlign w:val="center"/>
          </w:tcPr>
          <w:p>
            <w:pPr>
              <w:pStyle w:val="TableContents"/>
              <w:bidi w:val="0"/>
              <w:spacing w:before="0" w:after="283"/>
              <w:jc w:val="left"/>
              <w:rPr/>
            </w:pPr>
            <w:r>
              <w:rPr/>
              <w:t> </w:t>
            </w:r>
            <w:bookmarkStart w:id="478" w:name="xdx_401_eus-gaap--FiniteLivedPatentsGros"/>
            <w:bookmarkEnd w:id="478"/>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Patents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2,729</w:t>
            </w:r>
          </w:p>
        </w:tc>
        <w:tc>
          <w:tcPr>
            <w:tcW w:w="110" w:type="dxa"/>
            <w:tcBorders/>
            <w:shd w:fill="CCEEFF" w:val="clear"/>
            <w:vAlign w:val="center"/>
          </w:tcPr>
          <w:p>
            <w:pPr>
              <w:pStyle w:val="TableContents"/>
              <w:bidi w:val="0"/>
              <w:spacing w:before="0" w:after="283"/>
              <w:jc w:val="left"/>
              <w:rPr/>
            </w:pPr>
            <w:r>
              <w:rPr/>
              <w:t> </w:t>
            </w:r>
            <w:bookmarkStart w:id="479" w:name="xdx_40D_eus-gaap--FiniteLivedTrademarksG"/>
            <w:bookmarkEnd w:id="479"/>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Trademarks</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2,769</w:t>
            </w:r>
          </w:p>
        </w:tc>
        <w:tc>
          <w:tcPr>
            <w:tcW w:w="110" w:type="dxa"/>
            <w:tcBorders/>
            <w:shd w:fill="FFFFFF" w:val="clear"/>
            <w:vAlign w:val="center"/>
          </w:tcPr>
          <w:p>
            <w:pPr>
              <w:pStyle w:val="TableContents"/>
              <w:bidi w:val="0"/>
              <w:spacing w:before="0" w:after="283"/>
              <w:jc w:val="left"/>
              <w:rPr/>
            </w:pPr>
            <w:r>
              <w:rPr/>
              <w:t> </w:t>
            </w:r>
            <w:bookmarkStart w:id="480" w:name="xdx_40E_eus-gaap--FiniteLivedIntangibleA"/>
            <w:bookmarkEnd w:id="480"/>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gross</w:t>
            </w:r>
          </w:p>
        </w:tc>
        <w:tc>
          <w:tcPr>
            <w:tcW w:w="6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14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5,498</w:t>
            </w:r>
          </w:p>
        </w:tc>
        <w:tc>
          <w:tcPr>
            <w:tcW w:w="110" w:type="dxa"/>
            <w:tcBorders/>
            <w:shd w:fill="CCEEFF" w:val="clear"/>
            <w:vAlign w:val="center"/>
          </w:tcPr>
          <w:p>
            <w:pPr>
              <w:pStyle w:val="TableContents"/>
              <w:bidi w:val="0"/>
              <w:spacing w:before="0" w:after="283"/>
              <w:jc w:val="left"/>
              <w:rPr/>
            </w:pPr>
            <w:r>
              <w:rPr/>
              <w:t> </w:t>
            </w:r>
            <w:bookmarkStart w:id="481" w:name="xdx_40A_eus-gaap--FiniteLivedIntangibleA"/>
            <w:bookmarkEnd w:id="481"/>
          </w:p>
        </w:tc>
      </w:tr>
      <w:tr>
        <w:trPr/>
        <w:tc>
          <w:tcPr>
            <w:tcW w:w="25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Accumulated amortization</w:t>
            </w:r>
          </w:p>
        </w:tc>
        <w:tc>
          <w:tcPr>
            <w:tcW w:w="60" w:type="dxa"/>
            <w:tcBorders/>
            <w:shd w:fill="FFFFFF" w:val="clear"/>
            <w:vAlign w:val="center"/>
          </w:tcPr>
          <w:p>
            <w:pPr>
              <w:pStyle w:val="TableContents"/>
              <w:bidi w:val="0"/>
              <w:spacing w:before="0" w:after="283"/>
              <w:jc w:val="left"/>
              <w:rPr/>
            </w:pPr>
            <w:r>
              <w:rPr/>
              <w:t> </w:t>
            </w:r>
          </w:p>
        </w:tc>
        <w:tc>
          <w:tcPr>
            <w:tcW w:w="3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5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(1,876</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82" w:name="xdx_401_eus-gaap--FiniteLivedIntangibleA"/>
            <w:bookmarkEnd w:id="482"/>
          </w:p>
        </w:tc>
      </w:tr>
      <w:tr>
        <w:trPr/>
        <w:tc>
          <w:tcPr>
            <w:tcW w:w="25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3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5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3,622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83" w:name="xdx_8AB_zoEqJ3kT62S1"/>
      <w:bookmarkEnd w:id="4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was approximately $</w:t>
      </w:r>
      <w:bookmarkStart w:id="484" w:name="xdx_909_eus-gaap--AmortizationOfIntangib"/>
      <w:bookmarkEnd w:id="484"/>
      <w:r>
        <w:rPr>
          <w:rFonts w:ascii="Times New Roman;Times;Serif" w:hAnsi="Times New Roman;Times;Serif"/>
          <w:b w:val="false"/>
          <w:i w:val="false"/>
          <w:caps w:val="false"/>
          <w:smallCaps w:val="false"/>
          <w:sz w:val="20"/>
        </w:rPr>
        <w:t>99,000 and $</w:t>
      </w:r>
      <w:bookmarkStart w:id="485" w:name="xdx_90C_eus-gaap--AmortizationOfIntangib"/>
      <w:bookmarkEnd w:id="485"/>
      <w:r>
        <w:rPr>
          <w:rFonts w:ascii="Times New Roman;Times;Serif" w:hAnsi="Times New Roman;Times;Serif"/>
          <w:b w:val="false"/>
          <w:i w:val="false"/>
          <w:caps w:val="false"/>
          <w:smallCaps w:val="false"/>
          <w:sz w:val="20"/>
        </w:rPr>
        <w:t>114,000 for the nine-month periods ended January 31, 2025 and 2024, respectively. Amortization expense was approximately $</w:t>
      </w:r>
      <w:bookmarkStart w:id="486" w:name="xdx_901_eus-gaap--AmortizationOfIntangib"/>
      <w:bookmarkEnd w:id="486"/>
      <w:r>
        <w:rPr>
          <w:rFonts w:ascii="Times New Roman;Times;Serif" w:hAnsi="Times New Roman;Times;Serif"/>
          <w:b w:val="false"/>
          <w:i w:val="false"/>
          <w:caps w:val="false"/>
          <w:smallCaps w:val="false"/>
          <w:sz w:val="20"/>
        </w:rPr>
        <w:t>33,000 and $</w:t>
      </w:r>
      <w:bookmarkStart w:id="487" w:name="xdx_902_eus-gaap--AmortizationOfIntangib"/>
      <w:bookmarkEnd w:id="487"/>
      <w:r>
        <w:rPr>
          <w:rFonts w:ascii="Times New Roman;Times;Serif" w:hAnsi="Times New Roman;Times;Serif"/>
          <w:b w:val="false"/>
          <w:i w:val="false"/>
          <w:caps w:val="false"/>
          <w:smallCaps w:val="false"/>
          <w:sz w:val="20"/>
        </w:rPr>
        <w:t>34,000 for the three-month periods ended January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88" w:name="xdx_80D_eus-gaap--GoodwillDisclosureText"/>
      <w:bookmarkEnd w:id="488"/>
      <w:r>
        <w:rPr>
          <w:rFonts w:ascii="Times New Roman;Times;Serif" w:hAnsi="Times New Roman;Times;Serif"/>
          <w:b/>
          <w:i w:val="false"/>
          <w:caps w:val="false"/>
          <w:smallCaps w:val="false"/>
          <w:sz w:val="20"/>
        </w:rPr>
        <w:t xml:space="preserve">(8) </w:t>
      </w:r>
      <w:bookmarkStart w:id="489" w:name="xdx_820_z2funvgitxh3"/>
      <w:bookmarkEnd w:id="489"/>
      <w:r>
        <w:rPr>
          <w:rFonts w:ascii="Times New Roman;Times;Serif" w:hAnsi="Times New Roman;Times;Serif"/>
          <w:b/>
          <w:i w:val="false"/>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in the amount of $</w:t>
      </w:r>
      <w:bookmarkStart w:id="490" w:name="xdx_908_eus-gaap--Goodwill_iI_pn5n6_c202"/>
      <w:bookmarkEnd w:id="490"/>
      <w:r>
        <w:rPr>
          <w:rFonts w:ascii="Times New Roman;Times;Serif" w:hAnsi="Times New Roman;Times;Serif"/>
          <w:b w:val="false"/>
          <w:i w:val="false"/>
          <w:caps w:val="false"/>
          <w:smallCaps w:val="false"/>
          <w:sz w:val="20"/>
        </w:rPr>
        <w:t xml:space="preserve">8.5 million was recognized in November 2021 related to the acquisition of MAR. There have been </w:t>
      </w:r>
      <w:bookmarkStart w:id="491" w:name="xdx_90F_eus-gaap--GoodwillImpairmentLoss"/>
      <w:bookmarkStart w:id="492" w:name="xdx_903_eus-gaap--GoodwillImpairmentLoss"/>
      <w:bookmarkEnd w:id="491"/>
      <w:bookmarkEnd w:id="492"/>
      <w:r>
        <w:rPr>
          <w:rFonts w:ascii="Times New Roman;Times;Serif" w:hAnsi="Times New Roman;Times;Serif"/>
          <w:b w:val="false"/>
          <w:i w:val="false"/>
          <w:caps w:val="false"/>
          <w:smallCaps w:val="false"/>
          <w:sz w:val="20"/>
        </w:rPr>
        <w:t>no additions to, or any impairment of, goodwill during the nine-month periods ended January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3" w:name="xdx_802_eus-gaap--LesseeOperatingLeasesT"/>
      <w:bookmarkEnd w:id="493"/>
      <w:r>
        <w:rPr>
          <w:rFonts w:ascii="Times New Roman;Times;Serif" w:hAnsi="Times New Roman;Times;Serif"/>
          <w:b/>
          <w:i w:val="false"/>
          <w:caps w:val="false"/>
          <w:smallCaps w:val="false"/>
          <w:sz w:val="20"/>
        </w:rPr>
        <w:t xml:space="preserve">(9) </w:t>
      </w:r>
      <w:bookmarkStart w:id="494" w:name="xdx_82C_zyY2Rc9CUMZ2"/>
      <w:bookmarkEnd w:id="494"/>
      <w:r>
        <w:rPr>
          <w:rFonts w:ascii="Times New Roman;Times;Serif" w:hAnsi="Times New Roman;Times;Serif"/>
          <w:b/>
          <w:i w:val="false"/>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Lessor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31, 2025 and April 30, 2024, the Company had three WAM-V’s leased to customers which have been classified as operating leases per accounting guidance contained within ASC Topic 842, “Leases”, respectively. The remaining term on these operating leases is less than </w:t>
      </w:r>
      <w:bookmarkStart w:id="495" w:name="xdx_901_eus-gaap--LesseeOperatingLeaseRe"/>
      <w:bookmarkStart w:id="496" w:name="xdx_903_eus-gaap--LesseeOperatingLeaseRe"/>
      <w:bookmarkEnd w:id="495"/>
      <w:bookmarkEnd w:id="496"/>
      <w:r>
        <w:rPr>
          <w:rFonts w:ascii="Times New Roman;Times;Serif" w:hAnsi="Times New Roman;Times;Serif"/>
          <w:b w:val="false"/>
          <w:i w:val="false"/>
          <w:caps w:val="false"/>
          <w:smallCaps w:val="false"/>
          <w:sz w:val="20"/>
        </w:rPr>
        <w:t>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Lessee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 line basis over the lease term and consists of interest on the lease liability and the amortization of the right of use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lease for its facility located in Monroe Township, New Jersey that is used as warehouse/production space and the Company’s principal offices and corporate headquarters. In February 2024, the Company extended the lease for its main headquarters in Monroe, NJ to April 30, 2026. The lease is classified as an operating lease and is included in right-of-use assets, net, right-of-use liabilities – current portion, and right-of-use liabilities- less current portion on the Company’s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also has a lease for office space located in Richmond, California. </w:t>
      </w:r>
      <w:bookmarkStart w:id="497" w:name="xdx_90E_eus-gaap--OperatingLossCarryforw"/>
      <w:bookmarkEnd w:id="497"/>
      <w:r>
        <w:rPr>
          <w:rFonts w:ascii="Times New Roman;Times;Serif" w:hAnsi="Times New Roman;Times;Serif"/>
          <w:b w:val="false"/>
          <w:i w:val="false"/>
          <w:caps w:val="false"/>
          <w:smallCaps w:val="false"/>
          <w:sz w:val="20"/>
        </w:rPr>
        <w:t>This lease commenced in April of 2023 and will expire in June of 2028. The lease is classified as an operating lease and is included in right-of-use assets, right-of-use liabilities- current and right-of-use liabilities- long-term on the Company’s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lease expenses, if any, are recorded as incurred. The operating lease cash flow payments for the nine months ended January 31, 2025 and 2024 were $</w:t>
      </w:r>
      <w:bookmarkStart w:id="498" w:name="xdx_903_eus-gaap--OperatingLeaseExpense_"/>
      <w:bookmarkEnd w:id="498"/>
      <w:r>
        <w:rPr>
          <w:rFonts w:ascii="Times New Roman;Times;Serif" w:hAnsi="Times New Roman;Times;Serif"/>
          <w:b w:val="false"/>
          <w:i w:val="false"/>
          <w:caps w:val="false"/>
          <w:smallCaps w:val="false"/>
          <w:sz w:val="20"/>
        </w:rPr>
        <w:t>679,000 and $</w:t>
      </w:r>
      <w:bookmarkStart w:id="499" w:name="xdx_90C_eus-gaap--OperatingLeaseExpense_"/>
      <w:bookmarkEnd w:id="499"/>
      <w:r>
        <w:rPr>
          <w:rFonts w:ascii="Times New Roman;Times;Serif" w:hAnsi="Times New Roman;Times;Serif"/>
          <w:b w:val="false"/>
          <w:i w:val="false"/>
          <w:caps w:val="false"/>
          <w:smallCaps w:val="false"/>
          <w:sz w:val="20"/>
        </w:rPr>
        <w:t>564,000, respectively. The operating lease cash flow payments for the three months ended January 31, 2025 and 2024 were $</w:t>
      </w:r>
      <w:bookmarkStart w:id="500" w:name="xdx_90F_eus-gaap--OperatingLeaseExpense_"/>
      <w:bookmarkEnd w:id="500"/>
      <w:r>
        <w:rPr>
          <w:rFonts w:ascii="Times New Roman;Times;Serif" w:hAnsi="Times New Roman;Times;Serif"/>
          <w:b w:val="false"/>
          <w:i w:val="false"/>
          <w:caps w:val="false"/>
          <w:smallCaps w:val="false"/>
          <w:sz w:val="20"/>
        </w:rPr>
        <w:t>314,000 and $</w:t>
      </w:r>
      <w:bookmarkStart w:id="501" w:name="xdx_906_eus-gaap--OperatingLeaseExpense_"/>
      <w:bookmarkEnd w:id="501"/>
      <w:r>
        <w:rPr>
          <w:rFonts w:ascii="Times New Roman;Times;Serif" w:hAnsi="Times New Roman;Times;Serif"/>
          <w:b w:val="false"/>
          <w:i w:val="false"/>
          <w:caps w:val="false"/>
          <w:smallCaps w:val="false"/>
          <w:sz w:val="20"/>
        </w:rPr>
        <w:t>193,000,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2" w:name="xdx_89F_eus-gaap--LeaseCostTableTextBloc"/>
      <w:bookmarkEnd w:id="502"/>
      <w:r>
        <w:rPr>
          <w:rFonts w:ascii="Times New Roman;Times;Serif" w:hAnsi="Times New Roman;Times;Serif"/>
          <w:b w:val="false"/>
          <w:i w:val="false"/>
          <w:caps w:val="false"/>
          <w:smallCaps w:val="false"/>
          <w:sz w:val="20"/>
        </w:rPr>
        <w:t>The components of lease expense which are included in our operating expenses in the Consolidated Statement of Operations for the three and nine months ended January 31, 2025 and 2024 were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3" w:name="xdx_8BA_za3xkjG1JsN4"/>
      <w:bookmarkEnd w:id="503"/>
      <w:r>
        <w:rPr>
          <w:rFonts w:ascii="Times New Roman;Times;Serif" w:hAnsi="Times New Roman;Times;Serif"/>
          <w:b w:val="false"/>
          <w:i w:val="false"/>
          <w:caps w:val="false"/>
          <w:smallCaps w:val="false"/>
          <w:sz w:val="20"/>
        </w:rPr>
        <w:t>Schedule of Operating Lease Costs</w:t>
      </w:r>
    </w:p>
    <w:p>
      <w:pPr>
        <w:pStyle w:val="TextBody"/>
        <w:bidi w:val="0"/>
        <w:spacing w:before="0" w:after="0"/>
        <w:ind w:left="0" w:right="0" w:hanging="0"/>
        <w:jc w:val="both"/>
        <w:rPr>
          <w:caps w:val="false"/>
          <w:smallCaps w:val="false"/>
        </w:rPr>
      </w:pPr>
      <w:r>
        <w:rPr>
          <w:caps w:val="false"/>
          <w:smallCaps w:val="false"/>
        </w:rPr>
        <w:t> </w:t>
      </w:r>
    </w:p>
    <w:tbl>
      <w:tblPr>
        <w:tblW w:w="8903" w:type="dxa"/>
        <w:jc w:val="left"/>
        <w:tblInd w:w="0" w:type="dxa"/>
        <w:tblLayout w:type="fixed"/>
        <w:tblCellMar>
          <w:top w:w="0" w:type="dxa"/>
          <w:left w:w="0" w:type="dxa"/>
          <w:bottom w:w="0" w:type="dxa"/>
          <w:right w:w="0" w:type="dxa"/>
        </w:tblCellMar>
      </w:tblPr>
      <w:tblGrid>
        <w:gridCol w:w="2000"/>
        <w:gridCol w:w="60"/>
        <w:gridCol w:w="409"/>
        <w:gridCol w:w="1112"/>
        <w:gridCol w:w="175"/>
        <w:gridCol w:w="175"/>
        <w:gridCol w:w="409"/>
        <w:gridCol w:w="1112"/>
        <w:gridCol w:w="60"/>
        <w:gridCol w:w="60"/>
        <w:gridCol w:w="393"/>
        <w:gridCol w:w="1067"/>
        <w:gridCol w:w="168"/>
        <w:gridCol w:w="168"/>
        <w:gridCol w:w="393"/>
        <w:gridCol w:w="1067"/>
        <w:gridCol w:w="75"/>
      </w:tblGrid>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04" w:name="xdx_494_20241101__20250131_zX8EtrcTxYOf"/>
            <w:bookmarkEnd w:id="504"/>
          </w:p>
        </w:tc>
        <w:tc>
          <w:tcPr>
            <w:tcW w:w="15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bookmarkStart w:id="505" w:name="xdx_491_20231101__20240131_zHdZk7K7fOac"/>
            <w:bookmarkEnd w:id="505"/>
          </w:p>
        </w:tc>
        <w:tc>
          <w:tcPr>
            <w:tcW w:w="15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06" w:name="xdx_49E_20240501__20250131_zpHRE2N0Boy"/>
            <w:bookmarkEnd w:id="506"/>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bookmarkStart w:id="507" w:name="xdx_492_20230501__20240131_zNt0pseETgFb"/>
            <w:bookmarkEnd w:id="507"/>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January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January 31,</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75"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15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68"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92"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6"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75" w:type="dxa"/>
            <w:tcBorders/>
            <w:vAlign w:val="center"/>
          </w:tcPr>
          <w:p>
            <w:pPr>
              <w:pStyle w:val="TableContents"/>
              <w:bidi w:val="0"/>
              <w:spacing w:before="0" w:after="283"/>
              <w:jc w:val="left"/>
              <w:rPr/>
            </w:pPr>
            <w:r>
              <w:rPr/>
              <w:t> </w:t>
            </w:r>
            <w:bookmarkStart w:id="508" w:name="xdx_409_eus-gaap--OperatingLeaseCost_pn3"/>
            <w:bookmarkEnd w:id="508"/>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lease cost</w:t>
            </w:r>
          </w:p>
        </w:tc>
        <w:tc>
          <w:tcPr>
            <w:tcW w:w="60"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260</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782</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478</w:t>
            </w:r>
          </w:p>
        </w:tc>
        <w:tc>
          <w:tcPr>
            <w:tcW w:w="75" w:type="dxa"/>
            <w:tcBorders/>
            <w:shd w:fill="CCEEFF" w:val="clear"/>
            <w:vAlign w:val="center"/>
          </w:tcPr>
          <w:p>
            <w:pPr>
              <w:pStyle w:val="TableContents"/>
              <w:bidi w:val="0"/>
              <w:spacing w:before="0" w:after="283"/>
              <w:jc w:val="left"/>
              <w:rPr/>
            </w:pPr>
            <w:r>
              <w:rPr/>
              <w:t> </w:t>
            </w:r>
            <w:bookmarkStart w:id="509" w:name="xdx_400_eus-gaap--ShortTermLeaseCost_pn3"/>
            <w:bookmarkEnd w:id="509"/>
          </w:p>
        </w:tc>
      </w:tr>
      <w:tr>
        <w:trPr/>
        <w:tc>
          <w:tcPr>
            <w:tcW w:w="200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Short-term lease cost</w:t>
            </w:r>
          </w:p>
        </w:tc>
        <w:tc>
          <w:tcPr>
            <w:tcW w:w="60" w:type="dxa"/>
            <w:tcBorders/>
            <w:shd w:fill="FFFFFF" w:val="clear"/>
            <w:vAlign w:val="center"/>
          </w:tcPr>
          <w:p>
            <w:pPr>
              <w:pStyle w:val="TableContents"/>
              <w:bidi w:val="0"/>
              <w:spacing w:before="0" w:after="283"/>
              <w:jc w:val="left"/>
              <w:rPr/>
            </w:pPr>
            <w:r>
              <w:rPr/>
              <w:t> </w:t>
            </w:r>
          </w:p>
        </w:tc>
        <w:tc>
          <w:tcPr>
            <w:tcW w:w="4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w:t>
            </w:r>
          </w:p>
        </w:tc>
        <w:tc>
          <w:tcPr>
            <w:tcW w:w="1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4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w:t>
            </w:r>
          </w:p>
        </w:tc>
        <w:tc>
          <w:tcPr>
            <w:tcW w:w="168"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3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w:t>
            </w:r>
          </w:p>
        </w:tc>
        <w:tc>
          <w:tcPr>
            <w:tcW w:w="75" w:type="dxa"/>
            <w:tcBorders/>
            <w:shd w:fill="FFFFFF" w:val="clear"/>
            <w:vAlign w:val="center"/>
          </w:tcPr>
          <w:p>
            <w:pPr>
              <w:pStyle w:val="TableContents"/>
              <w:bidi w:val="0"/>
              <w:spacing w:before="0" w:after="283"/>
              <w:jc w:val="left"/>
              <w:rPr/>
            </w:pPr>
            <w:r>
              <w:rPr/>
              <w:t> </w:t>
            </w:r>
            <w:bookmarkStart w:id="510" w:name="xdx_40F_eus-gaap--LeaseCost_iT_pn3n3_mtL"/>
            <w:bookmarkEnd w:id="510"/>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cost</w:t>
            </w:r>
          </w:p>
        </w:tc>
        <w:tc>
          <w:tcPr>
            <w:tcW w:w="60" w:type="dxa"/>
            <w:tcBorders/>
            <w:shd w:fill="CCEEFF" w:val="clear"/>
            <w:vAlign w:val="center"/>
          </w:tcPr>
          <w:p>
            <w:pPr>
              <w:pStyle w:val="TableContents"/>
              <w:bidi w:val="0"/>
              <w:spacing w:before="0" w:after="283"/>
              <w:jc w:val="left"/>
              <w:rPr/>
            </w:pPr>
            <w:r>
              <w:rPr/>
              <w:t> </w:t>
            </w:r>
          </w:p>
        </w:tc>
        <w:tc>
          <w:tcPr>
            <w:tcW w:w="40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268</w:t>
            </w:r>
          </w:p>
        </w:tc>
        <w:tc>
          <w:tcPr>
            <w:tcW w:w="1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40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806</w:t>
            </w:r>
          </w:p>
        </w:tc>
        <w:tc>
          <w:tcPr>
            <w:tcW w:w="168"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39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11" w:name="xdx_8A7_za6mRaB9Iunc"/>
      <w:bookmarkEnd w:id="51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2" w:name="xdx_899_ecustom--ScheduleOfRightofUseAss"/>
      <w:bookmarkEnd w:id="512"/>
      <w:r>
        <w:rPr>
          <w:rFonts w:ascii="Times New Roman;Times;Serif" w:hAnsi="Times New Roman;Times;Serif"/>
          <w:b w:val="false"/>
          <w:i w:val="false"/>
          <w:caps w:val="false"/>
          <w:smallCaps w:val="false"/>
          <w:sz w:val="20"/>
        </w:rPr>
        <w:t>Information related to the Company’s right-of use assets and lease liabilities as of January 31, 2025 was as follows:</w:t>
      </w:r>
    </w:p>
    <w:p>
      <w:pPr>
        <w:pStyle w:val="TextBody"/>
        <w:bidi w:val="0"/>
        <w:spacing w:before="0" w:after="0"/>
        <w:ind w:left="0" w:right="0" w:hanging="0"/>
        <w:jc w:val="both"/>
        <w:rPr>
          <w:caps w:val="false"/>
          <w:smallCaps w:val="false"/>
        </w:rPr>
      </w:pPr>
      <w:r>
        <w:rPr>
          <w:caps w:val="false"/>
          <w:smallCaps w:val="false"/>
        </w:rPr>
        <w:t> </w:t>
      </w:r>
      <w:bookmarkStart w:id="513" w:name="xdx_8BC_zOTHeFHIYXy6"/>
      <w:bookmarkEnd w:id="513"/>
      <w:r>
        <w:rPr>
          <w:rFonts w:ascii="Times New Roman;Times;Serif" w:hAnsi="Times New Roman;Times;Serif"/>
          <w:b w:val="false"/>
          <w:i w:val="false"/>
          <w:caps w:val="false"/>
          <w:smallCaps w:val="false"/>
          <w:sz w:val="20"/>
        </w:rPr>
        <w:t>Schedule of Right-of use Assets and Lease Liabilities</w:t>
      </w:r>
    </w:p>
    <w:tbl>
      <w:tblPr>
        <w:tblW w:w="7454" w:type="dxa"/>
        <w:jc w:val="left"/>
        <w:tblInd w:w="0" w:type="dxa"/>
        <w:tblLayout w:type="fixed"/>
        <w:tblCellMar>
          <w:top w:w="0" w:type="dxa"/>
          <w:left w:w="0" w:type="dxa"/>
          <w:bottom w:w="0" w:type="dxa"/>
          <w:right w:w="0" w:type="dxa"/>
        </w:tblCellMar>
      </w:tblPr>
      <w:tblGrid>
        <w:gridCol w:w="5390"/>
        <w:gridCol w:w="60"/>
        <w:gridCol w:w="252"/>
        <w:gridCol w:w="1522"/>
        <w:gridCol w:w="230"/>
      </w:tblGrid>
      <w:tr>
        <w:trPr/>
        <w:tc>
          <w:tcPr>
            <w:tcW w:w="5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14" w:name="xdx_493_20250131_zfoER196OzF1"/>
            <w:bookmarkEnd w:id="514"/>
          </w:p>
        </w:tc>
        <w:tc>
          <w:tcPr>
            <w:tcW w:w="17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 31, 2025</w:t>
            </w:r>
          </w:p>
        </w:tc>
        <w:tc>
          <w:tcPr>
            <w:tcW w:w="230" w:type="dxa"/>
            <w:tcBorders/>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774" w:type="dxa"/>
            <w:gridSpan w:val="2"/>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Operating lease:</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515" w:name="xdx_40E_eus-gaap--OperatingLeaseRightOfU"/>
            <w:bookmarkEnd w:id="515"/>
          </w:p>
        </w:tc>
      </w:tr>
      <w:tr>
        <w:trPr/>
        <w:tc>
          <w:tcPr>
            <w:tcW w:w="53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right-of-use assets, net</w:t>
            </w:r>
          </w:p>
        </w:tc>
        <w:tc>
          <w:tcPr>
            <w:tcW w:w="60"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1,772</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516" w:name="xdx_40A_eus-gaap--OperatingLeaseLiabilit"/>
            <w:bookmarkEnd w:id="516"/>
          </w:p>
        </w:tc>
      </w:tr>
      <w:tr>
        <w:trPr/>
        <w:tc>
          <w:tcPr>
            <w:tcW w:w="53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liabilities- current</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1,115</w:t>
            </w:r>
          </w:p>
        </w:tc>
        <w:tc>
          <w:tcPr>
            <w:tcW w:w="230" w:type="dxa"/>
            <w:tcBorders/>
            <w:shd w:fill="FFFFFF" w:val="clear"/>
            <w:vAlign w:val="center"/>
          </w:tcPr>
          <w:p>
            <w:pPr>
              <w:pStyle w:val="TableContents"/>
              <w:bidi w:val="0"/>
              <w:spacing w:before="0" w:after="283"/>
              <w:jc w:val="left"/>
              <w:rPr/>
            </w:pPr>
            <w:r>
              <w:rPr/>
              <w:t> </w:t>
            </w:r>
            <w:bookmarkStart w:id="517" w:name="xdx_40A_eus-gaap--OperatingLeaseLiabilit"/>
            <w:bookmarkEnd w:id="517"/>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Right-of-use liabilities- long term</w:t>
            </w:r>
          </w:p>
        </w:tc>
        <w:tc>
          <w:tcPr>
            <w:tcW w:w="60" w:type="dxa"/>
            <w:tcBorders/>
            <w:shd w:fill="CCEEFF" w:val="clear"/>
            <w:vAlign w:val="center"/>
          </w:tcPr>
          <w:p>
            <w:pPr>
              <w:pStyle w:val="TableContents"/>
              <w:bidi w:val="0"/>
              <w:spacing w:before="0" w:after="283"/>
              <w:jc w:val="left"/>
              <w:rPr/>
            </w:pPr>
            <w:r>
              <w:rPr/>
              <w:t> </w:t>
            </w:r>
          </w:p>
        </w:tc>
        <w:tc>
          <w:tcPr>
            <w:tcW w:w="2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950</w:t>
            </w:r>
          </w:p>
        </w:tc>
        <w:tc>
          <w:tcPr>
            <w:tcW w:w="230" w:type="dxa"/>
            <w:tcBorders/>
            <w:shd w:fill="CCEEFF" w:val="clear"/>
            <w:vAlign w:val="center"/>
          </w:tcPr>
          <w:p>
            <w:pPr>
              <w:pStyle w:val="TableContents"/>
              <w:bidi w:val="0"/>
              <w:spacing w:before="0" w:after="283"/>
              <w:jc w:val="left"/>
              <w:rPr/>
            </w:pPr>
            <w:r>
              <w:rPr/>
              <w:t> </w:t>
            </w:r>
            <w:bookmarkStart w:id="518" w:name="xdx_407_eus-gaap--OperatingLeaseLiabilit"/>
            <w:bookmarkEnd w:id="518"/>
          </w:p>
        </w:tc>
      </w:tr>
      <w:tr>
        <w:trPr/>
        <w:tc>
          <w:tcPr>
            <w:tcW w:w="53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lease liabilities</w:t>
            </w:r>
          </w:p>
        </w:tc>
        <w:tc>
          <w:tcPr>
            <w:tcW w:w="60" w:type="dxa"/>
            <w:tcBorders/>
            <w:shd w:fill="FFFFFF" w:val="cle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5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2,065</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remaining lease term- operating leases</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522" w:type="dxa"/>
            <w:tcBorders/>
            <w:shd w:fill="FFFFFF" w:val="clear"/>
            <w:vAlign w:val="center"/>
          </w:tcPr>
          <w:p>
            <w:pPr>
              <w:pStyle w:val="TableContents"/>
              <w:bidi w:val="0"/>
              <w:spacing w:before="0" w:after="283"/>
              <w:jc w:val="right"/>
              <w:rPr>
                <w:rFonts w:ascii="Times New Roman;Times;Serif" w:hAnsi="Times New Roman;Times;Serif"/>
                <w:sz w:val="20"/>
              </w:rPr>
            </w:pPr>
            <w:bookmarkStart w:id="519" w:name="xdx_900_eus-gaap--OperatingLeaseWeighted"/>
            <w:bookmarkEnd w:id="519"/>
            <w:r>
              <w:rPr>
                <w:rFonts w:ascii="Times New Roman;Times;Serif" w:hAnsi="Times New Roman;Times;Serif"/>
                <w:sz w:val="20"/>
              </w:rPr>
              <w:t>2.26 years</w:t>
            </w:r>
          </w:p>
        </w:tc>
        <w:tc>
          <w:tcPr>
            <w:tcW w:w="230" w:type="dxa"/>
            <w:tcBorders/>
            <w:shd w:fill="FFFFFF" w:val="cle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discount rate- operating leases</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522" w:type="dxa"/>
            <w:tcBorders/>
            <w:shd w:fill="CCEEFF" w:val="clear"/>
            <w:vAlign w:val="center"/>
          </w:tcPr>
          <w:p>
            <w:pPr>
              <w:pStyle w:val="TableContents"/>
              <w:bidi w:val="0"/>
              <w:spacing w:before="0" w:after="283"/>
              <w:jc w:val="right"/>
              <w:rPr>
                <w:rFonts w:ascii="Times New Roman;Times;Serif" w:hAnsi="Times New Roman;Times;Serif"/>
              </w:rPr>
            </w:pPr>
            <w:bookmarkStart w:id="520" w:name="xdx_909_eus-gaap--OperatingLeaseWeighted"/>
            <w:bookmarkEnd w:id="520"/>
            <w:r>
              <w:rPr>
                <w:rFonts w:ascii="Times New Roman;Times;Serif" w:hAnsi="Times New Roman;Times;Serif"/>
              </w:rPr>
              <w:t>8.4</w:t>
            </w:r>
          </w:p>
        </w:tc>
        <w:tc>
          <w:tcPr>
            <w:tcW w:w="2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283"/>
        <w:jc w:val="left"/>
        <w:rPr/>
      </w:pPr>
      <w:bookmarkStart w:id="521" w:name="xdx_8A8_zqZqrXJIRyhe"/>
      <w:bookmarkEnd w:id="521"/>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2" w:name="xdx_896_eus-gaap--LesseeOperatingLeaseLi"/>
      <w:bookmarkEnd w:id="522"/>
      <w:r>
        <w:rPr>
          <w:rFonts w:ascii="Times New Roman;Times;Serif" w:hAnsi="Times New Roman;Times;Serif"/>
          <w:b w:val="false"/>
          <w:i w:val="false"/>
          <w:caps w:val="false"/>
          <w:smallCaps w:val="false"/>
          <w:sz w:val="20"/>
        </w:rPr>
        <w:t>Total remaining lease payments under the Company’s operating leases are as follows:</w:t>
      </w:r>
    </w:p>
    <w:p>
      <w:pPr>
        <w:pStyle w:val="TextBody"/>
        <w:bidi w:val="0"/>
        <w:spacing w:before="0" w:after="0"/>
        <w:ind w:left="0" w:right="0" w:hanging="0"/>
        <w:jc w:val="both"/>
        <w:rPr>
          <w:caps w:val="false"/>
          <w:smallCaps w:val="false"/>
        </w:rPr>
      </w:pPr>
      <w:r>
        <w:rPr>
          <w:caps w:val="false"/>
          <w:smallCaps w:val="false"/>
        </w:rPr>
        <w:t> </w:t>
      </w:r>
      <w:bookmarkStart w:id="523" w:name="xdx_8BF_zrMBTPvvUnxc"/>
      <w:bookmarkEnd w:id="523"/>
      <w:r>
        <w:rPr>
          <w:rFonts w:ascii="Times New Roman;Times;Serif" w:hAnsi="Times New Roman;Times;Serif"/>
          <w:b w:val="false"/>
          <w:i w:val="false"/>
          <w:caps w:val="false"/>
          <w:smallCaps w:val="false"/>
          <w:sz w:val="20"/>
        </w:rPr>
        <w:t>Schedule of Future Minimum Lease Payments Under Operating Lease</w:t>
      </w:r>
    </w:p>
    <w:tbl>
      <w:tblPr>
        <w:tblW w:w="5535" w:type="dxa"/>
        <w:jc w:val="left"/>
        <w:tblInd w:w="0" w:type="dxa"/>
        <w:tblLayout w:type="fixed"/>
        <w:tblCellMar>
          <w:top w:w="0" w:type="dxa"/>
          <w:left w:w="0" w:type="dxa"/>
          <w:bottom w:w="0" w:type="dxa"/>
          <w:right w:w="0" w:type="dxa"/>
        </w:tblCellMar>
      </w:tblPr>
      <w:tblGrid>
        <w:gridCol w:w="3590"/>
        <w:gridCol w:w="60"/>
        <w:gridCol w:w="355"/>
        <w:gridCol w:w="1420"/>
        <w:gridCol w:w="11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4" w:name="xdx_49B_20250131_z7g874Hrtjzi"/>
            <w:bookmarkEnd w:id="524"/>
          </w:p>
        </w:tc>
        <w:tc>
          <w:tcPr>
            <w:tcW w:w="1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 31, 2025</w:t>
            </w:r>
          </w:p>
        </w:tc>
        <w:tc>
          <w:tcPr>
            <w:tcW w:w="110" w:type="dxa"/>
            <w:tcBorders/>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gridSpan w:val="2"/>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 thousands)</w:t>
            </w:r>
          </w:p>
        </w:tc>
        <w:tc>
          <w:tcPr>
            <w:tcW w:w="110" w:type="dxa"/>
            <w:tcBorders/>
            <w:shd w:fill="FFFFFF" w:val="clear"/>
            <w:vAlign w:val="center"/>
          </w:tcPr>
          <w:p>
            <w:pPr>
              <w:pStyle w:val="TableContents"/>
              <w:bidi w:val="0"/>
              <w:spacing w:before="0" w:after="283"/>
              <w:jc w:val="left"/>
              <w:rPr/>
            </w:pPr>
            <w:r>
              <w:rPr/>
              <w:t> </w:t>
            </w:r>
            <w:bookmarkStart w:id="525" w:name="xdx_40E_eus-gaap--LesseeOperatingLeaseLi"/>
            <w:bookmarkEnd w:id="525"/>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Remainder of fiscal year 2025</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w:t>
            </w:r>
          </w:p>
        </w:tc>
        <w:tc>
          <w:tcPr>
            <w:tcW w:w="110" w:type="dxa"/>
            <w:tcBorders/>
            <w:shd w:fill="CCEEFF" w:val="clear"/>
            <w:vAlign w:val="center"/>
          </w:tcPr>
          <w:p>
            <w:pPr>
              <w:pStyle w:val="TableContents"/>
              <w:bidi w:val="0"/>
              <w:spacing w:before="0" w:after="283"/>
              <w:jc w:val="left"/>
              <w:rPr/>
            </w:pPr>
            <w:r>
              <w:rPr/>
              <w:t> </w:t>
            </w:r>
            <w:bookmarkStart w:id="526" w:name="xdx_40B_eus-gaap--LesseeOperatingLeaseLi"/>
            <w:bookmarkEnd w:id="526"/>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2026</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1,847</w:t>
            </w:r>
          </w:p>
        </w:tc>
        <w:tc>
          <w:tcPr>
            <w:tcW w:w="110" w:type="dxa"/>
            <w:tcBorders/>
            <w:shd w:fill="FFFFFF" w:val="clear"/>
            <w:vAlign w:val="center"/>
          </w:tcPr>
          <w:p>
            <w:pPr>
              <w:pStyle w:val="TableContents"/>
              <w:bidi w:val="0"/>
              <w:spacing w:before="0" w:after="283"/>
              <w:jc w:val="left"/>
              <w:rPr/>
            </w:pPr>
            <w:r>
              <w:rPr/>
              <w:t> </w:t>
            </w:r>
            <w:bookmarkStart w:id="527" w:name="xdx_401_eus-gaap--LesseeOperatingLeaseLi"/>
            <w:bookmarkEnd w:id="527"/>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2027</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329</w:t>
            </w:r>
          </w:p>
        </w:tc>
        <w:tc>
          <w:tcPr>
            <w:tcW w:w="110" w:type="dxa"/>
            <w:tcBorders/>
            <w:shd w:fill="CCEEFF" w:val="clear"/>
            <w:vAlign w:val="center"/>
          </w:tcPr>
          <w:p>
            <w:pPr>
              <w:pStyle w:val="TableContents"/>
              <w:bidi w:val="0"/>
              <w:spacing w:before="0" w:after="283"/>
              <w:jc w:val="left"/>
              <w:rPr/>
            </w:pPr>
            <w:r>
              <w:rPr/>
              <w:t> </w:t>
            </w:r>
            <w:bookmarkStart w:id="528" w:name="xdx_40F_eus-gaap--LesseeOperatingLeaseLi"/>
            <w:bookmarkEnd w:id="528"/>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2028</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w:t>
            </w:r>
          </w:p>
        </w:tc>
        <w:tc>
          <w:tcPr>
            <w:tcW w:w="110" w:type="dxa"/>
            <w:tcBorders/>
            <w:shd w:fill="FFFFFF" w:val="clear"/>
            <w:vAlign w:val="center"/>
          </w:tcPr>
          <w:p>
            <w:pPr>
              <w:pStyle w:val="TableContents"/>
              <w:bidi w:val="0"/>
              <w:spacing w:before="0" w:after="283"/>
              <w:jc w:val="left"/>
              <w:rPr/>
            </w:pPr>
            <w:r>
              <w:rPr/>
              <w:t> </w:t>
            </w:r>
            <w:bookmarkStart w:id="529" w:name="xdx_406_eus-gaap--LesseeOperatingLeaseLi"/>
            <w:bookmarkEnd w:id="529"/>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2029</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10" w:type="dxa"/>
            <w:tcBorders/>
            <w:shd w:fill="CCEEFF" w:val="clear"/>
            <w:vAlign w:val="center"/>
          </w:tcPr>
          <w:p>
            <w:pPr>
              <w:pStyle w:val="TableContents"/>
              <w:bidi w:val="0"/>
              <w:spacing w:before="0" w:after="283"/>
              <w:jc w:val="left"/>
              <w:rPr/>
            </w:pPr>
            <w:r>
              <w:rPr/>
              <w:t> </w:t>
            </w:r>
            <w:bookmarkStart w:id="530" w:name="xdx_40C_ecustom--LesseeOperatingLeaseLia"/>
            <w:bookmarkEnd w:id="530"/>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thereafter</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531" w:name="xdx_403_eus-gaap--LesseeOperatingLeaseLi"/>
            <w:bookmarkEnd w:id="531"/>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future minimum lease payments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2,845</w:t>
            </w:r>
          </w:p>
        </w:tc>
        <w:tc>
          <w:tcPr>
            <w:tcW w:w="110" w:type="dxa"/>
            <w:tcBorders/>
            <w:shd w:fill="CCEEFF" w:val="clear"/>
            <w:vAlign w:val="center"/>
          </w:tcPr>
          <w:p>
            <w:pPr>
              <w:pStyle w:val="TableContents"/>
              <w:bidi w:val="0"/>
              <w:spacing w:before="0" w:after="283"/>
              <w:jc w:val="left"/>
              <w:rPr/>
            </w:pPr>
            <w:r>
              <w:rPr/>
              <w:t> </w:t>
            </w:r>
            <w:bookmarkStart w:id="532" w:name="xdx_40E_eus-gaap--LesseeOperatingLeaseLi"/>
            <w:bookmarkEnd w:id="532"/>
          </w:p>
        </w:tc>
      </w:tr>
      <w:tr>
        <w:trPr/>
        <w:tc>
          <w:tcPr>
            <w:tcW w:w="359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Less imputed interest</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33" w:name="xdx_403_eus-gaap--OperatingLeaseLiabilit"/>
            <w:bookmarkEnd w:id="533"/>
          </w:p>
        </w:tc>
      </w:tr>
      <w:tr>
        <w:trPr/>
        <w:tc>
          <w:tcPr>
            <w:tcW w:w="359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w:t>
            </w:r>
          </w:p>
        </w:tc>
        <w:tc>
          <w:tcPr>
            <w:tcW w:w="60" w:type="dxa"/>
            <w:tcBorders/>
            <w:shd w:fill="CCEEFF" w:val="clear"/>
            <w:vAlign w:val="center"/>
          </w:tcPr>
          <w:p>
            <w:pPr>
              <w:pStyle w:val="TableContents"/>
              <w:bidi w:val="0"/>
              <w:spacing w:before="0" w:after="283"/>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34" w:name="xdx_8A6_zI34JL5lbr66"/>
      <w:bookmarkEnd w:id="53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35" w:name="xdx_809_eus-gaap--AccountsPayableAndAccr"/>
      <w:bookmarkEnd w:id="535"/>
      <w:r>
        <w:rPr>
          <w:rFonts w:ascii="Times New Roman;Times;Serif" w:hAnsi="Times New Roman;Times;Serif"/>
          <w:b/>
          <w:i w:val="false"/>
          <w:caps w:val="false"/>
          <w:smallCaps w:val="false"/>
          <w:sz w:val="20"/>
        </w:rPr>
        <w:t xml:space="preserve">(10) </w:t>
      </w:r>
      <w:bookmarkStart w:id="536" w:name="xdx_82D_z5OmunkKdRjd"/>
      <w:bookmarkEnd w:id="536"/>
      <w:r>
        <w:rPr>
          <w:rFonts w:ascii="Times New Roman;Times;Serif" w:hAnsi="Times New Roman;Times;Serif"/>
          <w:b/>
          <w:i w:val="false"/>
          <w:caps w:val="false"/>
          <w:smallCaps w:val="false"/>
          <w:sz w:val="20"/>
        </w:rPr>
        <w:t>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7" w:name="xdx_898_eus-gaap--ScheduleOfAccruedLiabi"/>
      <w:bookmarkEnd w:id="537"/>
      <w:r>
        <w:rPr>
          <w:rFonts w:ascii="Times New Roman;Times;Serif" w:hAnsi="Times New Roman;Times;Serif"/>
          <w:b w:val="false"/>
          <w:i w:val="false"/>
          <w:caps w:val="false"/>
          <w:smallCaps w:val="false"/>
          <w:sz w:val="20"/>
        </w:rPr>
        <w:t>Accrued expenses consisted of the following at January 31, 2025 and April 30, 2024:</w:t>
      </w:r>
    </w:p>
    <w:p>
      <w:pPr>
        <w:pStyle w:val="TextBody"/>
        <w:bidi w:val="0"/>
        <w:spacing w:before="0" w:after="0"/>
        <w:ind w:left="0" w:right="0" w:hanging="0"/>
        <w:jc w:val="both"/>
        <w:rPr>
          <w:caps w:val="false"/>
          <w:smallCaps w:val="false"/>
        </w:rPr>
      </w:pPr>
      <w:r>
        <w:rPr>
          <w:caps w:val="false"/>
          <w:smallCaps w:val="false"/>
        </w:rPr>
        <w:t> </w:t>
      </w:r>
      <w:bookmarkStart w:id="538" w:name="xdx_8B6_zM1f2SlVpI6c"/>
      <w:bookmarkEnd w:id="538"/>
      <w:r>
        <w:rPr>
          <w:rFonts w:ascii="Times New Roman;Times;Serif" w:hAnsi="Times New Roman;Times;Serif"/>
          <w:b w:val="false"/>
          <w:i w:val="false"/>
          <w:caps w:val="false"/>
          <w:smallCaps w:val="false"/>
          <w:sz w:val="20"/>
        </w:rPr>
        <w:t>Schedule of Accrued Expenses</w:t>
      </w:r>
    </w:p>
    <w:tbl>
      <w:tblPr>
        <w:tblW w:w="6360" w:type="dxa"/>
        <w:jc w:val="left"/>
        <w:tblInd w:w="0" w:type="dxa"/>
        <w:tblLayout w:type="fixed"/>
        <w:tblCellMar>
          <w:top w:w="0" w:type="dxa"/>
          <w:left w:w="0" w:type="dxa"/>
          <w:bottom w:w="0" w:type="dxa"/>
          <w:right w:w="0" w:type="dxa"/>
        </w:tblCellMar>
      </w:tblPr>
      <w:tblGrid>
        <w:gridCol w:w="2870"/>
        <w:gridCol w:w="60"/>
        <w:gridCol w:w="355"/>
        <w:gridCol w:w="1420"/>
        <w:gridCol w:w="60"/>
        <w:gridCol w:w="60"/>
        <w:gridCol w:w="292"/>
        <w:gridCol w:w="1168"/>
        <w:gridCol w:w="75"/>
      </w:tblGrid>
      <w:tr>
        <w:trPr/>
        <w:tc>
          <w:tcPr>
            <w:tcW w:w="28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39" w:name="xdx_499_20250131_zNNQ6mTRjJK4"/>
            <w:bookmarkEnd w:id="539"/>
          </w:p>
        </w:tc>
        <w:tc>
          <w:tcPr>
            <w:tcW w:w="1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January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40" w:name="xdx_495_20240430_zA5pDBVItoO1"/>
            <w:bookmarkEnd w:id="540"/>
          </w:p>
        </w:tc>
        <w:tc>
          <w:tcPr>
            <w:tcW w:w="14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April 30, 2024</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55"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(in thousands)</w:t>
            </w:r>
          </w:p>
        </w:tc>
        <w:tc>
          <w:tcPr>
            <w:tcW w:w="75" w:type="dxa"/>
            <w:tcBorders/>
            <w:vAlign w:val="center"/>
          </w:tcPr>
          <w:p>
            <w:pPr>
              <w:pStyle w:val="TableContents"/>
              <w:bidi w:val="0"/>
              <w:spacing w:before="0" w:after="283"/>
              <w:jc w:val="left"/>
              <w:rPr/>
            </w:pPr>
            <w:r>
              <w:rPr/>
              <w:t> </w:t>
            </w:r>
            <w:bookmarkStart w:id="541" w:name="xdx_40E_eus-gaap--OtherEmployeeRelatedLi"/>
            <w:bookmarkEnd w:id="541"/>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Employee incentive payments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1,271</w:t>
            </w:r>
          </w:p>
        </w:tc>
        <w:tc>
          <w:tcPr>
            <w:tcW w:w="75" w:type="dxa"/>
            <w:tcBorders/>
            <w:shd w:fill="CCEEFF" w:val="clear"/>
            <w:vAlign w:val="center"/>
          </w:tcPr>
          <w:p>
            <w:pPr>
              <w:pStyle w:val="TableContents"/>
              <w:bidi w:val="0"/>
              <w:spacing w:before="0" w:after="283"/>
              <w:jc w:val="left"/>
              <w:rPr/>
            </w:pPr>
            <w:r>
              <w:rPr/>
              <w:t> </w:t>
            </w:r>
            <w:bookmarkStart w:id="542" w:name="xdx_408_eus-gaap--AccruedSalariesCurrent"/>
            <w:bookmarkEnd w:id="542"/>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Accrued salary and benefits</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w:t>
            </w:r>
          </w:p>
        </w:tc>
        <w:tc>
          <w:tcPr>
            <w:tcW w:w="75" w:type="dxa"/>
            <w:tcBorders/>
            <w:shd w:fill="FFFFFF" w:val="clear"/>
            <w:vAlign w:val="center"/>
          </w:tcPr>
          <w:p>
            <w:pPr>
              <w:pStyle w:val="TableContents"/>
              <w:bidi w:val="0"/>
              <w:spacing w:before="0" w:after="283"/>
              <w:jc w:val="left"/>
              <w:rPr/>
            </w:pPr>
            <w:r>
              <w:rPr/>
              <w:t> </w:t>
            </w:r>
            <w:bookmarkStart w:id="543" w:name="xdx_40A_eus-gaap--AccruedProfessionalFee"/>
            <w:bookmarkEnd w:id="543"/>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Professional fees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4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44" w:name="xdx_40D_eus-gaap--OtherAccruedLiabilitie"/>
            <w:bookmarkEnd w:id="544"/>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FFFFFF" w:val="clear"/>
            <w:vAlign w:val="center"/>
          </w:tcPr>
          <w:p>
            <w:pPr>
              <w:pStyle w:val="TableContents"/>
              <w:bidi w:val="0"/>
              <w:spacing w:before="0" w:after="283"/>
              <w:jc w:val="left"/>
              <w:rPr/>
            </w:pPr>
            <w:r>
              <w:rPr/>
              <w:t> </w:t>
            </w:r>
          </w:p>
        </w:tc>
        <w:tc>
          <w:tcPr>
            <w:tcW w:w="3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147</w:t>
            </w:r>
          </w:p>
        </w:tc>
        <w:tc>
          <w:tcPr>
            <w:tcW w:w="75" w:type="dxa"/>
            <w:tcBorders/>
            <w:shd w:fill="FFFFFF" w:val="clear"/>
            <w:vAlign w:val="center"/>
          </w:tcPr>
          <w:p>
            <w:pPr>
              <w:pStyle w:val="TableContents"/>
              <w:bidi w:val="0"/>
              <w:spacing w:before="0" w:after="283"/>
              <w:jc w:val="left"/>
              <w:rPr/>
            </w:pPr>
            <w:r>
              <w:rPr/>
              <w:t> </w:t>
            </w:r>
            <w:bookmarkStart w:id="545" w:name="xdx_409_eus-gaap--AccruedLiabilitiesCurr"/>
            <w:bookmarkEnd w:id="545"/>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 total</w:t>
            </w:r>
          </w:p>
        </w:tc>
        <w:tc>
          <w:tcPr>
            <w:tcW w:w="60" w:type="dxa"/>
            <w:tcBorders/>
            <w:shd w:fill="CCEEFF" w:val="clear"/>
            <w:vAlign w:val="center"/>
          </w:tcPr>
          <w:p>
            <w:pPr>
              <w:pStyle w:val="TableContents"/>
              <w:bidi w:val="0"/>
              <w:spacing w:before="0" w:after="283"/>
              <w:jc w:val="left"/>
              <w:rPr/>
            </w:pPr>
            <w:r>
              <w:rPr/>
              <w:t> </w:t>
            </w:r>
          </w:p>
        </w:tc>
        <w:tc>
          <w:tcPr>
            <w:tcW w:w="35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2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46" w:name="xdx_8AE_z5ySHulB3jnb"/>
      <w:bookmarkEnd w:id="546"/>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7" w:name="xdx_803_ecustom--WarrantDisclosureTextBl"/>
      <w:bookmarkEnd w:id="547"/>
      <w:r>
        <w:rPr>
          <w:rFonts w:ascii="Times New Roman;Times;Serif" w:hAnsi="Times New Roman;Times;Serif"/>
          <w:b/>
          <w:i w:val="false"/>
          <w:caps w:val="false"/>
          <w:smallCaps w:val="false"/>
          <w:sz w:val="20"/>
        </w:rPr>
        <w:t xml:space="preserve">(11) </w:t>
      </w:r>
      <w:bookmarkStart w:id="548" w:name="xdx_82E_zYjkuGOcJnb2"/>
      <w:bookmarkEnd w:id="548"/>
      <w:r>
        <w:rPr>
          <w:rFonts w:ascii="Times New Roman;Times;Serif" w:hAnsi="Times New Roman;Times;Serif"/>
          <w:b/>
          <w:i w:val="false"/>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underwritten public offering from April 2019 included the issuance of common stock warrants to purchase up to </w:t>
      </w:r>
      <w:bookmarkStart w:id="549" w:name="xdx_90C_eus-gaap--ClassOfWarrantOrRightN"/>
      <w:bookmarkEnd w:id="549"/>
      <w:r>
        <w:rPr>
          <w:rFonts w:ascii="Times New Roman;Times;Serif" w:hAnsi="Times New Roman;Times;Serif"/>
          <w:b w:val="false"/>
          <w:i w:val="false"/>
          <w:caps w:val="false"/>
          <w:smallCaps w:val="false"/>
          <w:sz w:val="20"/>
        </w:rPr>
        <w:t>4,927,680 shares of common stock that had an exercise price of $</w:t>
      </w:r>
      <w:bookmarkStart w:id="550" w:name="xdx_90D_eus-gaap--ClassOfWarrantOrRightE"/>
      <w:bookmarkEnd w:id="550"/>
      <w:r>
        <w:rPr>
          <w:rFonts w:ascii="Times New Roman;Times;Serif" w:hAnsi="Times New Roman;Times;Serif"/>
          <w:b w:val="false"/>
          <w:i w:val="false"/>
          <w:caps w:val="false"/>
          <w:smallCaps w:val="false"/>
          <w:sz w:val="20"/>
        </w:rPr>
        <w:t xml:space="preserve">3.85 per share and expired </w:t>
      </w:r>
      <w:bookmarkStart w:id="551" w:name="xdx_900_eus-gaap--WarrantsAndRightsOutst"/>
      <w:bookmarkEnd w:id="551"/>
      <w:r>
        <w:rPr>
          <w:rFonts w:ascii="Times New Roman;Times;Serif" w:hAnsi="Times New Roman;Times;Serif"/>
          <w:b w:val="false"/>
          <w:i w:val="false"/>
          <w:caps w:val="false"/>
          <w:smallCaps w:val="false"/>
          <w:sz w:val="20"/>
        </w:rPr>
        <w:t xml:space="preserve">five years from the issuance date. As of April 30, 2024, common warrants to purchase </w:t>
      </w:r>
      <w:bookmarkStart w:id="552" w:name="xdx_904_ecustom--ClassOfWarrantOrRightNu"/>
      <w:bookmarkEnd w:id="552"/>
      <w:r>
        <w:rPr>
          <w:rFonts w:ascii="Times New Roman;Times;Serif" w:hAnsi="Times New Roman;Times;Serif"/>
          <w:b w:val="false"/>
          <w:i w:val="false"/>
          <w:caps w:val="false"/>
          <w:smallCaps w:val="false"/>
          <w:sz w:val="20"/>
        </w:rPr>
        <w:t>732,500 shares of the common stock had been exercised. The remaining warrants expired prior to April 30, 2024.</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3" w:name="xdx_80C_eus-gaap--DisclosureOfCompensati"/>
      <w:bookmarkEnd w:id="553"/>
      <w:r>
        <w:rPr>
          <w:rFonts w:ascii="Times New Roman;Times;Serif" w:hAnsi="Times New Roman;Times;Serif"/>
          <w:b/>
          <w:i w:val="false"/>
          <w:caps w:val="false"/>
          <w:smallCaps w:val="false"/>
          <w:sz w:val="20"/>
        </w:rPr>
        <w:t xml:space="preserve">(12) </w:t>
      </w:r>
      <w:bookmarkStart w:id="554" w:name="xdx_82E_zWVK6SihIGK4"/>
      <w:bookmarkEnd w:id="554"/>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2015, upon approval by the Company’s shareholders, the Company’s 2015 Omnibus Incentive Plan (the “2015 Plan”) became effective. A total of </w:t>
      </w:r>
      <w:bookmarkStart w:id="555" w:name="xdx_90B_eus-gaap--ShareBasedCompensation"/>
      <w:bookmarkEnd w:id="555"/>
      <w:r>
        <w:rPr>
          <w:rFonts w:ascii="Times New Roman;Times;Serif" w:hAnsi="Times New Roman;Times;Serif"/>
          <w:b w:val="false"/>
          <w:i w:val="false"/>
          <w:caps w:val="false"/>
          <w:smallCaps w:val="false"/>
          <w:sz w:val="20"/>
        </w:rPr>
        <w:t xml:space="preserve">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Most recently in January 2025, the shareholders approved an amendment and restatement of the 2015 Plan to, among other things, provide an aggregate increase to the 2015 Plan of </w:t>
      </w:r>
      <w:bookmarkStart w:id="556" w:name="xdx_90F_eus-gaap--ShareBasedCompensation"/>
      <w:bookmarkEnd w:id="556"/>
      <w:r>
        <w:rPr>
          <w:rFonts w:ascii="Times New Roman;Times;Serif" w:hAnsi="Times New Roman;Times;Serif"/>
          <w:b w:val="false"/>
          <w:i w:val="false"/>
          <w:caps w:val="false"/>
          <w:smallCaps w:val="false"/>
          <w:sz w:val="20"/>
        </w:rPr>
        <w:t xml:space="preserve">20,000,000 shares resulting in total shares authorized for issuance of </w:t>
      </w:r>
      <w:bookmarkStart w:id="557" w:name="xdx_90C_eus-gaap--ShareBasedCompensation"/>
      <w:bookmarkEnd w:id="557"/>
      <w:r>
        <w:rPr>
          <w:rFonts w:ascii="Times New Roman;Times;Serif" w:hAnsi="Times New Roman;Times;Serif"/>
          <w:b w:val="false"/>
          <w:i w:val="false"/>
          <w:caps w:val="false"/>
          <w:smallCaps w:val="false"/>
          <w:sz w:val="20"/>
        </w:rPr>
        <w:t>27,282,036 as of January 31, 2025. The 2015 Plan will now terminate in January 2035, but is subject to earlier termination as provided in the 2015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18, 2018, the Company’s Board of Directors adopted the Company’s Employment Inducement Incentive Award Plan (the “2018 Inducement Plan”) pursuant to which the Company reserved </w:t>
      </w:r>
      <w:bookmarkStart w:id="558" w:name="xdx_901_eus-gaap--CommonStockCapitalShar"/>
      <w:bookmarkEnd w:id="558"/>
      <w:r>
        <w:rPr>
          <w:rFonts w:ascii="Times New Roman;Times;Serif" w:hAnsi="Times New Roman;Times;Serif"/>
          <w:b w:val="false"/>
          <w:i w:val="false"/>
          <w:caps w:val="false"/>
          <w:smallCaps w:val="false"/>
          <w:sz w:val="20"/>
        </w:rPr>
        <w:t xml:space="preserve">25,000 shares of common stock for issuance under the Inducement Plan in accordance with Rule 711(a) of the NYSE American Company Guide. On February 9, 2022, the 2018 Inducement Plan was amended to increase the authorized shares by </w:t>
      </w:r>
      <w:bookmarkStart w:id="559" w:name="xdx_90F_eus-gaap--ShareBasedCompensation"/>
      <w:bookmarkEnd w:id="559"/>
      <w:r>
        <w:rPr>
          <w:rFonts w:ascii="Times New Roman;Times;Serif" w:hAnsi="Times New Roman;Times;Serif"/>
          <w:b w:val="false"/>
          <w:i w:val="false"/>
          <w:caps w:val="false"/>
          <w:smallCaps w:val="false"/>
          <w:sz w:val="20"/>
        </w:rPr>
        <w:t xml:space="preserve">250,000 to </w:t>
      </w:r>
      <w:bookmarkStart w:id="560" w:name="xdx_901_eus-gaap--ShareBasedCompensation"/>
      <w:bookmarkEnd w:id="560"/>
      <w:r>
        <w:rPr>
          <w:rFonts w:ascii="Times New Roman;Times;Serif" w:hAnsi="Times New Roman;Times;Serif"/>
          <w:b w:val="false"/>
          <w:i w:val="false"/>
          <w:caps w:val="false"/>
          <w:smallCaps w:val="false"/>
          <w:sz w:val="20"/>
        </w:rPr>
        <w:t>275,000.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the grant commensurate with the expected life of the award. The expected life (estimated period of time outstanding) of the stock options granted was estimated using the “simplified” method as permitted by the SEC’s Staff Accounting Bulletin No. 110, </w:t>
      </w:r>
      <w:r>
        <w:rPr>
          <w:rFonts w:ascii="Times New Roman;Times;Serif" w:hAnsi="Times New Roman;Times;Serif"/>
          <w:b w:val="false"/>
          <w:i/>
          <w:caps w:val="false"/>
          <w:smallCaps w:val="false"/>
          <w:sz w:val="20"/>
        </w:rPr>
        <w:t>Share-Based Payment.</w:t>
      </w:r>
      <w:r>
        <w:rPr>
          <w:rFonts w:ascii="Times New Roman;Times;Serif" w:hAnsi="Times New Roman;Times;Serif"/>
          <w:b w:val="false"/>
          <w:i w:val="false"/>
          <w:caps w:val="false"/>
          <w:smallCaps w:val="false"/>
          <w:sz w:val="20"/>
        </w:rPr>
        <w:t xml:space="preserve"> Expected volatility is based on the Company’s historical volatility over the expected life of the stock option granted. The Company did not grant any stock options during the nine months ended January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61" w:name="xdx_89D_eus-gaap--ScheduleOfShareBasedCo"/>
      <w:bookmarkEnd w:id="561"/>
      <w:r>
        <w:rPr>
          <w:rFonts w:ascii="Times New Roman;Times;Serif" w:hAnsi="Times New Roman;Times;Serif"/>
          <w:b w:val="false"/>
          <w:i w:val="false"/>
          <w:caps w:val="false"/>
          <w:smallCaps w:val="false"/>
          <w:sz w:val="20"/>
        </w:rPr>
        <w:t>A summary of stock options under the stock incentive plans is detailed in the following table.</w:t>
      </w:r>
    </w:p>
    <w:p>
      <w:pPr>
        <w:pStyle w:val="TextBody"/>
        <w:bidi w:val="0"/>
        <w:spacing w:before="0" w:after="0"/>
        <w:ind w:left="0" w:right="0" w:hanging="0"/>
        <w:jc w:val="both"/>
        <w:rPr>
          <w:caps w:val="false"/>
          <w:smallCaps w:val="false"/>
        </w:rPr>
      </w:pPr>
      <w:r>
        <w:rPr>
          <w:caps w:val="false"/>
          <w:smallCaps w:val="false"/>
        </w:rPr>
        <w:t> </w:t>
      </w:r>
      <w:bookmarkStart w:id="562" w:name="xdx_8BD_z8tUYnZan0cd"/>
      <w:bookmarkEnd w:id="562"/>
      <w:r>
        <w:rPr>
          <w:rFonts w:ascii="Times New Roman;Times;Serif" w:hAnsi="Times New Roman;Times;Serif"/>
          <w:b w:val="false"/>
          <w:i w:val="false"/>
          <w:caps w:val="false"/>
          <w:smallCaps w:val="false"/>
          <w:sz w:val="20"/>
        </w:rPr>
        <w:t>Schedule of Stock Option Activity</w:t>
      </w:r>
    </w:p>
    <w:tbl>
      <w:tblPr>
        <w:tblW w:w="8677" w:type="dxa"/>
        <w:jc w:val="left"/>
        <w:tblInd w:w="0" w:type="dxa"/>
        <w:tblLayout w:type="fixed"/>
        <w:tblCellMar>
          <w:top w:w="0" w:type="dxa"/>
          <w:left w:w="0" w:type="dxa"/>
          <w:bottom w:w="0" w:type="dxa"/>
          <w:right w:w="0" w:type="dxa"/>
        </w:tblCellMar>
      </w:tblPr>
      <w:tblGrid>
        <w:gridCol w:w="3395"/>
        <w:gridCol w:w="60"/>
        <w:gridCol w:w="106"/>
        <w:gridCol w:w="1578"/>
        <w:gridCol w:w="95"/>
        <w:gridCol w:w="60"/>
        <w:gridCol w:w="384"/>
        <w:gridCol w:w="1210"/>
        <w:gridCol w:w="60"/>
        <w:gridCol w:w="60"/>
        <w:gridCol w:w="251"/>
        <w:gridCol w:w="1343"/>
        <w:gridCol w:w="75"/>
      </w:tblGrid>
      <w:tr>
        <w:trPr/>
        <w:tc>
          <w:tcPr>
            <w:tcW w:w="33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Underlying 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Term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Years)</w:t>
            </w:r>
          </w:p>
        </w:tc>
        <w:tc>
          <w:tcPr>
            <w:tcW w:w="75"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April 30, 2024</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bookmarkStart w:id="563" w:name="xdx_98F_eus-gaap--ShareBasedCompensation"/>
            <w:bookmarkEnd w:id="563"/>
          </w:p>
        </w:tc>
        <w:tc>
          <w:tcPr>
            <w:tcW w:w="15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734,543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4" w:name="xdx_987_eus-gaap--ShareBasedCompensation"/>
            <w:bookmarkEnd w:id="564"/>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rFonts w:ascii="Times New Roman;Times;Serif" w:hAnsi="Times New Roman;Times;Serif"/>
              </w:rPr>
            </w:pPr>
            <w:bookmarkStart w:id="565" w:name="xdx_904_eus-gaap--SharebasedCompensation"/>
            <w:bookmarkEnd w:id="565"/>
            <w:r>
              <w:rPr>
                <w:rFonts w:ascii="Times New Roman;Times;Serif" w:hAnsi="Times New Roman;Times;Serif"/>
              </w:rPr>
              <w:t>7.6</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bookmarkStart w:id="566" w:name="xdx_98F_eus-gaap--ShareBasedCompensation"/>
            <w:bookmarkEnd w:id="566"/>
          </w:p>
        </w:tc>
        <w:tc>
          <w:tcPr>
            <w:tcW w:w="15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7" w:name="xdx_981_eus-gaap--ShareBasedCompensation"/>
            <w:bookmarkEnd w:id="567"/>
          </w:p>
        </w:tc>
        <w:tc>
          <w:tcPr>
            <w:tcW w:w="12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34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Exercised</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bookmarkStart w:id="568" w:name="xdx_98A_eus-gaap--StockIssuedDuringPerio"/>
            <w:bookmarkEnd w:id="568"/>
          </w:p>
        </w:tc>
        <w:tc>
          <w:tcPr>
            <w:tcW w:w="15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69" w:name="xdx_980_eus-gaap--ShareBasedCompensation"/>
            <w:bookmarkEnd w:id="569"/>
          </w:p>
        </w:tc>
        <w:tc>
          <w:tcPr>
            <w:tcW w:w="12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34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Cancelled/forfeited</w:t>
            </w:r>
          </w:p>
        </w:tc>
        <w:tc>
          <w:tcPr>
            <w:tcW w:w="60" w:type="dxa"/>
            <w:tcBorders/>
            <w:shd w:fill="FFFFFF" w:val="clear"/>
            <w:vAlign w:val="center"/>
          </w:tcPr>
          <w:p>
            <w:pPr>
              <w:pStyle w:val="TableContents"/>
              <w:bidi w:val="0"/>
              <w:spacing w:before="0" w:after="283"/>
              <w:jc w:val="left"/>
              <w:rPr/>
            </w:pPr>
            <w:r>
              <w:rPr/>
              <w:t> </w:t>
            </w:r>
          </w:p>
        </w:tc>
        <w:tc>
          <w:tcPr>
            <w:tcW w:w="1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70" w:name="xdx_98C_eus-gaap--ShareBasedCompensation"/>
            <w:bookmarkEnd w:id="570"/>
          </w:p>
        </w:tc>
        <w:tc>
          <w:tcPr>
            <w:tcW w:w="15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(251,201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1" w:name="xdx_987_eus-gaap--ShareBasedCompensation"/>
            <w:bookmarkEnd w:id="571"/>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4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Outstanding as of January 31, 2025</w:t>
            </w:r>
          </w:p>
        </w:tc>
        <w:tc>
          <w:tcPr>
            <w:tcW w:w="60" w:type="dxa"/>
            <w:tcBorders/>
            <w:shd w:fill="CCEEFF" w:val="clear"/>
            <w:vAlign w:val="center"/>
          </w:tcPr>
          <w:p>
            <w:pPr>
              <w:pStyle w:val="TableContents"/>
              <w:bidi w:val="0"/>
              <w:spacing w:before="0" w:after="283"/>
              <w:jc w:val="left"/>
              <w:rPr/>
            </w:pPr>
            <w:r>
              <w:rPr/>
              <w:t> </w:t>
            </w:r>
          </w:p>
        </w:tc>
        <w:tc>
          <w:tcPr>
            <w:tcW w:w="1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2" w:name="xdx_98A_eus-gaap--ShareBasedCompensation"/>
            <w:bookmarkEnd w:id="572"/>
          </w:p>
        </w:tc>
        <w:tc>
          <w:tcPr>
            <w:tcW w:w="15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3" w:name="xdx_98E_eus-gaap--ShareBasedCompensation"/>
            <w:bookmarkEnd w:id="573"/>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bookmarkStart w:id="574" w:name="xdx_903_eus-gaap--SharebasedCompensation"/>
            <w:bookmarkEnd w:id="574"/>
            <w:r>
              <w:rPr>
                <w:rFonts w:ascii="Times New Roman;Times;Serif" w:hAnsi="Times New Roman;Times;Serif"/>
              </w:rPr>
              <w:t>6.6</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Exercisable as of January 31, 2025</w:t>
            </w:r>
          </w:p>
        </w:tc>
        <w:tc>
          <w:tcPr>
            <w:tcW w:w="60" w:type="dxa"/>
            <w:tcBorders/>
            <w:shd w:fill="FFFFFF" w:val="clear"/>
            <w:vAlign w:val="center"/>
          </w:tcPr>
          <w:p>
            <w:pPr>
              <w:pStyle w:val="TableContents"/>
              <w:bidi w:val="0"/>
              <w:spacing w:before="0" w:after="283"/>
              <w:jc w:val="left"/>
              <w:rPr/>
            </w:pPr>
            <w:r>
              <w:rPr/>
              <w:t> </w:t>
            </w:r>
          </w:p>
        </w:tc>
        <w:tc>
          <w:tcPr>
            <w:tcW w:w="10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75" w:name="xdx_980_eus-gaap--ShareBasedCompensation"/>
            <w:bookmarkEnd w:id="575"/>
          </w:p>
        </w:tc>
        <w:tc>
          <w:tcPr>
            <w:tcW w:w="15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76" w:name="xdx_98A_eus-gaap--ShareBasedCompensation"/>
            <w:bookmarkEnd w:id="576"/>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4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bookmarkStart w:id="577" w:name="xdx_908_eus-gaap--SharebasedCompensation"/>
            <w:bookmarkEnd w:id="577"/>
            <w:r>
              <w:rPr>
                <w:rFonts w:ascii="Times New Roman;Times;Serif" w:hAnsi="Times New Roman;Times;Serif"/>
              </w:rPr>
              <w:t>6.4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8" w:name="xdx_8AB_zllkDJZoOque"/>
      <w:bookmarkEnd w:id="57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31, 2025, the total intrinsic value of outstanding and exercisable options was approximately </w:t>
      </w:r>
      <w:bookmarkStart w:id="579" w:name="xdx_902_eus-gaap--SharebasedCompensation"/>
      <w:bookmarkEnd w:id="579"/>
      <w:r>
        <w:rPr>
          <w:rFonts w:ascii="Times New Roman;Times;Serif" w:hAnsi="Times New Roman;Times;Serif"/>
          <w:b w:val="false"/>
          <w:i w:val="false"/>
          <w:caps w:val="false"/>
          <w:smallCaps w:val="false"/>
          <w:sz w:val="20"/>
        </w:rPr>
        <w:t xml:space="preserve">zero. As of January 31, 2025, approximately </w:t>
      </w:r>
      <w:bookmarkStart w:id="580" w:name="xdx_90D_eus-gaap--SharebasedCompensation"/>
      <w:bookmarkEnd w:id="580"/>
      <w:r>
        <w:rPr>
          <w:rFonts w:ascii="Times New Roman;Times;Serif" w:hAnsi="Times New Roman;Times;Serif"/>
          <w:b w:val="false"/>
          <w:i w:val="false"/>
          <w:caps w:val="false"/>
          <w:smallCaps w:val="false"/>
          <w:sz w:val="20"/>
        </w:rPr>
        <w:t xml:space="preserve">58,000 options were unvested, which had an intrinsic value of </w:t>
      </w:r>
      <w:bookmarkStart w:id="581" w:name="xdx_908_ecustom--SharebasedCompensationA"/>
      <w:bookmarkEnd w:id="581"/>
      <w:r>
        <w:rPr>
          <w:rFonts w:ascii="Times New Roman;Times;Serif" w:hAnsi="Times New Roman;Times;Serif"/>
          <w:b w:val="false"/>
          <w:i w:val="false"/>
          <w:caps w:val="false"/>
          <w:smallCaps w:val="false"/>
          <w:sz w:val="20"/>
        </w:rPr>
        <w:t xml:space="preserve">zero and a weighted average remaining contractual term of </w:t>
      </w:r>
      <w:bookmarkStart w:id="582" w:name="xdx_904_eus-gaap--SharebasedCompensation"/>
      <w:bookmarkEnd w:id="582"/>
      <w:r>
        <w:rPr>
          <w:rFonts w:ascii="Times New Roman;Times;Serif" w:hAnsi="Times New Roman;Times;Serif"/>
          <w:b w:val="false"/>
          <w:i w:val="false"/>
          <w:caps w:val="false"/>
          <w:smallCaps w:val="false"/>
          <w:sz w:val="20"/>
        </w:rPr>
        <w:t>8.0 years. There was approximately $</w:t>
      </w:r>
      <w:bookmarkStart w:id="583" w:name="xdx_901_eus-gaap--AllocatedShareBasedCom"/>
      <w:bookmarkEnd w:id="583"/>
      <w:r>
        <w:rPr>
          <w:rFonts w:ascii="Times New Roman;Times;Serif" w:hAnsi="Times New Roman;Times;Serif"/>
          <w:b w:val="false"/>
          <w:i w:val="false"/>
          <w:caps w:val="false"/>
          <w:smallCaps w:val="false"/>
          <w:sz w:val="20"/>
        </w:rPr>
        <w:t>38,000 and $</w:t>
      </w:r>
      <w:bookmarkStart w:id="584" w:name="xdx_906_eus-gaap--AllocatedShareBasedCom"/>
      <w:bookmarkEnd w:id="584"/>
      <w:r>
        <w:rPr>
          <w:rFonts w:ascii="Times New Roman;Times;Serif" w:hAnsi="Times New Roman;Times;Serif"/>
          <w:b w:val="false"/>
          <w:i w:val="false"/>
          <w:caps w:val="false"/>
          <w:smallCaps w:val="false"/>
          <w:sz w:val="20"/>
        </w:rPr>
        <w:t>50,000 of total recognized compensation cost related to stock options during each of the nine months ended January 31, 2025 and 2024, respectively. There was approximately $</w:t>
      </w:r>
      <w:bookmarkStart w:id="585" w:name="xdx_908_eus-gaap--AllocatedShareBasedCom"/>
      <w:bookmarkEnd w:id="585"/>
      <w:r>
        <w:rPr>
          <w:rFonts w:ascii="Times New Roman;Times;Serif" w:hAnsi="Times New Roman;Times;Serif"/>
          <w:b w:val="false"/>
          <w:i w:val="false"/>
          <w:caps w:val="false"/>
          <w:smallCaps w:val="false"/>
          <w:sz w:val="20"/>
        </w:rPr>
        <w:t xml:space="preserve">12,000 and </w:t>
      </w:r>
      <w:bookmarkStart w:id="586" w:name="xdx_902_eus-gaap--AllocatedShareBasedCom"/>
      <w:bookmarkEnd w:id="586"/>
      <w:r>
        <w:rPr>
          <w:rFonts w:ascii="Times New Roman;Times;Serif" w:hAnsi="Times New Roman;Times;Serif"/>
          <w:b w:val="false"/>
          <w:i w:val="false"/>
          <w:caps w:val="false"/>
          <w:smallCaps w:val="false"/>
          <w:sz w:val="20"/>
        </w:rPr>
        <w:t>($49,000) of total recognized compensation cost related to stock options during each of the three months ended January 31, 2025 and 2024, respectively. As of January 31, 2025, there was approximately $</w:t>
      </w:r>
      <w:bookmarkStart w:id="587" w:name="xdx_90F_eus-gaap--EmployeeServiceShareBa"/>
      <w:bookmarkEnd w:id="587"/>
      <w:r>
        <w:rPr>
          <w:rFonts w:ascii="Times New Roman;Times;Serif" w:hAnsi="Times New Roman;Times;Serif"/>
          <w:b w:val="false"/>
          <w:i w:val="false"/>
          <w:caps w:val="false"/>
          <w:smallCaps w:val="false"/>
          <w:sz w:val="20"/>
        </w:rPr>
        <w:t xml:space="preserve">35,000 of total unrecognized compensation cost related to non-vested stock options granted under the plans. This cost is expected to be recognized over a weighted-average period of </w:t>
      </w:r>
      <w:bookmarkStart w:id="588" w:name="xdx_90E_eus-gaap--EmployeeServiceShareBa"/>
      <w:bookmarkEnd w:id="588"/>
      <w:r>
        <w:rPr>
          <w:rFonts w:ascii="Times New Roman;Times;Serif" w:hAnsi="Times New Roman;Times;Serif"/>
          <w:b w:val="false"/>
          <w:i w:val="false"/>
          <w:caps w:val="false"/>
          <w:smallCaps w:val="false"/>
          <w:sz w:val="20"/>
        </w:rPr>
        <w:t>1.0 year.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31, 2025, there were no performance stock units outstanding. As of April 30, 2023 there were </w:t>
      </w:r>
      <w:bookmarkStart w:id="589" w:name="xdx_903_eus-gaap--SharebasedCompensation"/>
      <w:bookmarkEnd w:id="589"/>
      <w:r>
        <w:rPr>
          <w:rFonts w:ascii="Times New Roman;Times;Serif" w:hAnsi="Times New Roman;Times;Serif"/>
          <w:b w:val="false"/>
          <w:i w:val="false"/>
          <w:caps w:val="false"/>
          <w:smallCaps w:val="false"/>
          <w:sz w:val="20"/>
        </w:rPr>
        <w:t xml:space="preserve">66,667 units outstanding which were all cancelled during the quarter ended July 31, 2023. There was approximately </w:t>
      </w:r>
      <w:bookmarkStart w:id="590" w:name="xdx_908_eus-gaap--AllocatedShareBasedCom"/>
      <w:bookmarkEnd w:id="590"/>
      <w:r>
        <w:rPr>
          <w:rFonts w:ascii="Times New Roman;Times;Serif" w:hAnsi="Times New Roman;Times;Serif"/>
          <w:b w:val="false"/>
          <w:i w:val="false"/>
          <w:caps w:val="false"/>
          <w:smallCaps w:val="false"/>
          <w:sz w:val="20"/>
        </w:rPr>
        <w:t>zero and $</w:t>
      </w:r>
      <w:bookmarkStart w:id="591" w:name="xdx_900_eus-gaap--AllocatedShareBasedCom"/>
      <w:bookmarkEnd w:id="591"/>
      <w:r>
        <w:rPr>
          <w:rFonts w:ascii="Times New Roman;Times;Serif" w:hAnsi="Times New Roman;Times;Serif"/>
          <w:b w:val="false"/>
          <w:i w:val="false"/>
          <w:caps w:val="false"/>
          <w:smallCaps w:val="false"/>
          <w:sz w:val="20"/>
        </w:rPr>
        <w:t>43,000 of total recognized compensation cost related to performance stock units during the nine months ended January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expense for RSUs is generally recorded based on the market value on the date of grant and recognized rateably over the associated service and performance period. During the nine months ended January 31, 2025 and 2024, the Company granted </w:t>
      </w:r>
      <w:bookmarkStart w:id="592" w:name="xdx_905_eus-gaap--ShareBasedCompensation"/>
      <w:bookmarkEnd w:id="592"/>
      <w:r>
        <w:rPr>
          <w:rFonts w:ascii="Times New Roman;Times;Serif" w:hAnsi="Times New Roman;Times;Serif"/>
          <w:b w:val="false"/>
          <w:i w:val="false"/>
          <w:caps w:val="false"/>
          <w:smallCaps w:val="false"/>
          <w:sz w:val="20"/>
        </w:rPr>
        <w:t xml:space="preserve">21,903,000 and </w:t>
      </w:r>
      <w:bookmarkStart w:id="593" w:name="xdx_908_eus-gaap--ShareBasedCompensation"/>
      <w:bookmarkEnd w:id="593"/>
      <w:r>
        <w:rPr>
          <w:rFonts w:ascii="Times New Roman;Times;Serif" w:hAnsi="Times New Roman;Times;Serif"/>
          <w:b w:val="false"/>
          <w:i w:val="false"/>
          <w:caps w:val="false"/>
          <w:smallCaps w:val="false"/>
          <w:sz w:val="20"/>
        </w:rPr>
        <w:t>183,000 shares, respectively, that were subject to both service-based and market-based vesting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94" w:name="xdx_899_eus-gaap--ScheduleOfShareBasedCo"/>
      <w:bookmarkEnd w:id="594"/>
      <w:r>
        <w:rPr>
          <w:rFonts w:ascii="Times New Roman;Times;Serif" w:hAnsi="Times New Roman;Times;Serif"/>
          <w:b w:val="false"/>
          <w:i w:val="false"/>
          <w:caps w:val="false"/>
          <w:smallCaps w:val="false"/>
          <w:sz w:val="20"/>
        </w:rPr>
        <w:t>A summary of unvested RSU’s under the Stock Incentive Plans is as follows:</w:t>
      </w:r>
    </w:p>
    <w:p>
      <w:pPr>
        <w:pStyle w:val="TextBody"/>
        <w:bidi w:val="0"/>
        <w:spacing w:before="0" w:after="0"/>
        <w:ind w:left="0" w:right="0" w:hanging="0"/>
        <w:jc w:val="both"/>
        <w:rPr>
          <w:caps w:val="false"/>
          <w:smallCaps w:val="false"/>
        </w:rPr>
      </w:pPr>
      <w:r>
        <w:rPr>
          <w:caps w:val="false"/>
          <w:smallCaps w:val="false"/>
        </w:rPr>
        <w:t> </w:t>
      </w:r>
      <w:bookmarkStart w:id="595" w:name="xdx_8B8_z0FSNb9z0HJ2"/>
      <w:bookmarkEnd w:id="595"/>
      <w:r>
        <w:rPr>
          <w:rFonts w:ascii="Times New Roman;Times;Serif" w:hAnsi="Times New Roman;Times;Serif"/>
          <w:b w:val="false"/>
          <w:i w:val="false"/>
          <w:caps w:val="false"/>
          <w:smallCaps w:val="false"/>
          <w:sz w:val="20"/>
        </w:rPr>
        <w:t>Schedule of Non-vested Restricted Stock Activity</w:t>
      </w:r>
    </w:p>
    <w:tbl>
      <w:tblPr>
        <w:tblW w:w="6618" w:type="dxa"/>
        <w:jc w:val="left"/>
        <w:tblInd w:w="0" w:type="dxa"/>
        <w:tblLayout w:type="fixed"/>
        <w:tblCellMar>
          <w:top w:w="0" w:type="dxa"/>
          <w:left w:w="0" w:type="dxa"/>
          <w:bottom w:w="0" w:type="dxa"/>
          <w:right w:w="0" w:type="dxa"/>
        </w:tblCellMar>
      </w:tblPr>
      <w:tblGrid>
        <w:gridCol w:w="2855"/>
        <w:gridCol w:w="60"/>
        <w:gridCol w:w="97"/>
        <w:gridCol w:w="1782"/>
        <w:gridCol w:w="95"/>
        <w:gridCol w:w="60"/>
        <w:gridCol w:w="384"/>
        <w:gridCol w:w="1210"/>
        <w:gridCol w:w="75"/>
      </w:tblGrid>
      <w:tr>
        <w:trPr/>
        <w:tc>
          <w:tcPr>
            <w:tcW w:w="28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 per Share</w:t>
            </w:r>
          </w:p>
        </w:tc>
        <w:tc>
          <w:tcPr>
            <w:tcW w:w="75" w:type="dxa"/>
            <w:tcBorders/>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at April 30, 2024</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596" w:name="xdx_98C_eus-gaap--ShareBasedCompensation"/>
            <w:bookmarkEnd w:id="596"/>
          </w:p>
        </w:tc>
        <w:tc>
          <w:tcPr>
            <w:tcW w:w="17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5,124,529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97" w:name="xdx_989_eus-gaap--ShareBasedCompensation"/>
            <w:bookmarkEnd w:id="597"/>
          </w:p>
        </w:tc>
        <w:tc>
          <w:tcPr>
            <w:tcW w:w="12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0.38</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Granted/Adjusted</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bookmarkStart w:id="598" w:name="xdx_981_eus-gaap--ShareBasedCompensation"/>
            <w:bookmarkEnd w:id="598"/>
          </w:p>
        </w:tc>
        <w:tc>
          <w:tcPr>
            <w:tcW w:w="178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21,079,453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599" w:name="xdx_98F_eus-gaap--ShareBasedCompensation"/>
            <w:bookmarkEnd w:id="599"/>
          </w:p>
        </w:tc>
        <w:tc>
          <w:tcPr>
            <w:tcW w:w="12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0.99</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Vested and issued</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bookmarkStart w:id="600" w:name="xdx_981_eus-gaap--ShareBasedCompensation"/>
            <w:bookmarkEnd w:id="600"/>
          </w:p>
        </w:tc>
        <w:tc>
          <w:tcPr>
            <w:tcW w:w="178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(2,964,280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38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Cancelled/forfeited</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1" w:name="xdx_985_eus-gaap--ShareBasedCompensation"/>
            <w:bookmarkEnd w:id="601"/>
          </w:p>
        </w:tc>
        <w:tc>
          <w:tcPr>
            <w:tcW w:w="17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(778,069</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384"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02" w:name="xdx_988_eus-gaap--ShareBasedCompensation"/>
            <w:bookmarkEnd w:id="602"/>
          </w:p>
        </w:tc>
        <w:tc>
          <w:tcPr>
            <w:tcW w:w="12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0.30</w:t>
            </w:r>
          </w:p>
        </w:tc>
        <w:tc>
          <w:tcPr>
            <w:tcW w:w="75"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Unvested at January 31, 2025</w:t>
            </w:r>
          </w:p>
        </w:tc>
        <w:tc>
          <w:tcPr>
            <w:tcW w:w="60" w:type="dxa"/>
            <w:tcBorders/>
            <w:shd w:fill="CCEEFF" w:val="clear"/>
            <w:vAlign w:val="center"/>
          </w:tcPr>
          <w:p>
            <w:pPr>
              <w:pStyle w:val="TableContents"/>
              <w:bidi w:val="0"/>
              <w:spacing w:before="0" w:after="283"/>
              <w:jc w:val="left"/>
              <w:rPr/>
            </w:pPr>
            <w:r>
              <w:rPr/>
              <w:t> </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03" w:name="xdx_989_eus-gaap--ShareBasedCompensation"/>
            <w:bookmarkEnd w:id="603"/>
          </w:p>
        </w:tc>
        <w:tc>
          <w:tcPr>
            <w:tcW w:w="17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22,461,633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604" w:name="xdx_98E_eus-gaap--ShareBasedCompensation"/>
            <w:bookmarkEnd w:id="604"/>
          </w:p>
        </w:tc>
        <w:tc>
          <w:tcPr>
            <w:tcW w:w="12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0.90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5" w:name="xdx_8A5_z3RfZtIo8jz6"/>
      <w:bookmarkEnd w:id="60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approximately $</w:t>
      </w:r>
      <w:bookmarkStart w:id="606" w:name="xdx_90B_eus-gaap--AllocatedShareBasedCom"/>
      <w:bookmarkEnd w:id="606"/>
      <w:r>
        <w:rPr>
          <w:rFonts w:ascii="Times New Roman;Times;Serif" w:hAnsi="Times New Roman;Times;Serif"/>
          <w:b w:val="false"/>
          <w:i w:val="false"/>
          <w:caps w:val="false"/>
          <w:smallCaps w:val="false"/>
          <w:sz w:val="20"/>
        </w:rPr>
        <w:t>1,293,000 and $</w:t>
      </w:r>
      <w:bookmarkStart w:id="607" w:name="xdx_902_eus-gaap--AllocatedShareBasedCom"/>
      <w:bookmarkEnd w:id="607"/>
      <w:r>
        <w:rPr>
          <w:rFonts w:ascii="Times New Roman;Times;Serif" w:hAnsi="Times New Roman;Times;Serif"/>
          <w:b w:val="false"/>
          <w:i w:val="false"/>
          <w:caps w:val="false"/>
          <w:smallCaps w:val="false"/>
          <w:sz w:val="20"/>
        </w:rPr>
        <w:t>710,000 of total recognized compensation cost related to RSUs for the nine months ended January 31, 2025 and 2024, respectively. There was approximately $</w:t>
      </w:r>
      <w:bookmarkStart w:id="608" w:name="xdx_904_eus-gaap--AllocatedShareBasedCom"/>
      <w:bookmarkEnd w:id="608"/>
      <w:r>
        <w:rPr>
          <w:rFonts w:ascii="Times New Roman;Times;Serif" w:hAnsi="Times New Roman;Times;Serif"/>
          <w:b w:val="false"/>
          <w:i w:val="false"/>
          <w:caps w:val="false"/>
          <w:smallCaps w:val="false"/>
          <w:sz w:val="20"/>
        </w:rPr>
        <w:t>768,000 and $</w:t>
      </w:r>
      <w:bookmarkStart w:id="609" w:name="xdx_90F_eus-gaap--AllocatedShareBasedCom"/>
      <w:bookmarkEnd w:id="609"/>
      <w:r>
        <w:rPr>
          <w:rFonts w:ascii="Times New Roman;Times;Serif" w:hAnsi="Times New Roman;Times;Serif"/>
          <w:b w:val="false"/>
          <w:i w:val="false"/>
          <w:caps w:val="false"/>
          <w:smallCaps w:val="false"/>
          <w:sz w:val="20"/>
        </w:rPr>
        <w:t>179,000 of total recognized compensation cost related to RSUs for the three months ended January 31, 2025 and 2024, respectively. As of January 31, 2025, there was approximately $</w:t>
      </w:r>
      <w:bookmarkStart w:id="610" w:name="xdx_90D_eus-gaap--EmployeeServiceShareBa"/>
      <w:bookmarkEnd w:id="610"/>
      <w:r>
        <w:rPr>
          <w:rFonts w:ascii="Times New Roman;Times;Serif" w:hAnsi="Times New Roman;Times;Serif"/>
          <w:b w:val="false"/>
          <w:i w:val="false"/>
          <w:caps w:val="false"/>
          <w:smallCaps w:val="false"/>
          <w:sz w:val="20"/>
        </w:rPr>
        <w:t xml:space="preserve">17,480,000 of unrecognized compensation cost remaining related to unvested RSUs. This cost is expected to be recognized over a weighted-average period of </w:t>
      </w:r>
      <w:bookmarkStart w:id="611" w:name="xdx_90B_eus-gaap--EmployeeServiceShareBa"/>
      <w:bookmarkEnd w:id="611"/>
      <w:r>
        <w:rPr>
          <w:rFonts w:ascii="Times New Roman;Times;Serif" w:hAnsi="Times New Roman;Times;Serif"/>
          <w:b w:val="false"/>
          <w:i w:val="false"/>
          <w:caps w:val="false"/>
          <w:smallCaps w:val="false"/>
          <w:sz w:val="20"/>
        </w:rPr>
        <w:t>1.7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2" w:name="xdx_80C_eus-gaap--FairValueDisclosuresTe"/>
      <w:bookmarkEnd w:id="612"/>
      <w:r>
        <w:rPr>
          <w:rFonts w:ascii="Times New Roman;Times;Serif" w:hAnsi="Times New Roman;Times;Serif"/>
          <w:b/>
          <w:i w:val="false"/>
          <w:caps w:val="false"/>
          <w:smallCaps w:val="false"/>
          <w:sz w:val="20"/>
        </w:rPr>
        <w:t xml:space="preserve">(13) </w:t>
      </w:r>
      <w:bookmarkStart w:id="613" w:name="xdx_82B_zUBMqhWBYHT3"/>
      <w:bookmarkEnd w:id="613"/>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Topic 820,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0"/>
        <w:gridCol w:w="9585"/>
      </w:tblGrid>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Unadjusted quoted prices in active markets for identical assets or liabilities that the Company has the ability to access at the measurement date.</w:t>
            </w:r>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other than quoted prices in active markets that are observable for the asset or liability, either directly or indirectly.</w:t>
            </w:r>
          </w:p>
        </w:tc>
      </w:tr>
      <w:tr>
        <w:trPr/>
        <w:tc>
          <w:tcPr>
            <w:tcW w:w="620" w:type="dxa"/>
            <w:tcBorders/>
            <w:vAlign w:val="center"/>
          </w:tcPr>
          <w:p>
            <w:pPr>
              <w:pStyle w:val="TableContents"/>
              <w:bidi w:val="0"/>
              <w:spacing w:before="0" w:after="283"/>
              <w:jc w:val="left"/>
              <w:rPr>
                <w:caps w:val="false"/>
                <w:smallCaps w:val="false"/>
              </w:rPr>
            </w:pPr>
            <w:r>
              <w:rPr>
                <w:caps w:val="false"/>
                <w:smallCaps w:val="false"/>
              </w:rPr>
              <w:t> </w:t>
            </w:r>
          </w:p>
        </w:tc>
        <w:tc>
          <w:tcPr>
            <w:tcW w:w="958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w:t>
            </w:r>
          </w:p>
        </w:tc>
        <w:tc>
          <w:tcPr>
            <w:tcW w:w="95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Inputs that are unobservable for the asset or liability.</w:t>
            </w:r>
          </w:p>
        </w:tc>
      </w:tr>
    </w:tbl>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of Fair Values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are not re-measured at fair value include cash, cash equivalents, restricted cash, accounts receivable, other assets, contract assets and liabilities, deposits, accounts payable, and accrued expenses. The carrying value is equal to their fair value due to the short-term nature of these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January 2025, the Company paid $</w:t>
      </w:r>
      <w:bookmarkStart w:id="614" w:name="xdx_900_ecustom--CashPaidForFirstEarnOut"/>
      <w:bookmarkEnd w:id="614"/>
      <w:r>
        <w:rPr>
          <w:rFonts w:ascii="Times New Roman;Times;Serif" w:hAnsi="Times New Roman;Times;Serif"/>
          <w:b w:val="false"/>
          <w:i w:val="false"/>
          <w:caps w:val="false"/>
          <w:smallCaps w:val="false"/>
          <w:sz w:val="20"/>
        </w:rPr>
        <w:t xml:space="preserve">150,000 in cash and issued </w:t>
      </w:r>
      <w:bookmarkStart w:id="615" w:name="xdx_901_eus-gaap--StockIssuedDuringPerio"/>
      <w:bookmarkEnd w:id="615"/>
      <w:r>
        <w:rPr>
          <w:rFonts w:ascii="Times New Roman;Times;Serif" w:hAnsi="Times New Roman;Times;Serif"/>
          <w:b w:val="false"/>
          <w:i w:val="false"/>
          <w:caps w:val="false"/>
          <w:smallCaps w:val="false"/>
          <w:sz w:val="20"/>
        </w:rPr>
        <w:t>2,864,808 in shares worth $</w:t>
      </w:r>
      <w:bookmarkStart w:id="616" w:name="xdx_90A_eus-gaap--StockIssuedDuringPerio"/>
      <w:bookmarkEnd w:id="616"/>
      <w:r>
        <w:rPr>
          <w:rFonts w:ascii="Times New Roman;Times;Serif" w:hAnsi="Times New Roman;Times;Serif"/>
          <w:b w:val="false"/>
          <w:i w:val="false"/>
          <w:caps w:val="false"/>
          <w:smallCaps w:val="false"/>
          <w:sz w:val="20"/>
        </w:rPr>
        <w:t>0.5 million to partially satisfy the final earnout period related to its acquisition of MAR in November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into or out of any hierarchy level are recognized at the end of the reporting period in which the transfers occurred. There were no transfers between any hierarchy levels during either of the three and nine months ended January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17" w:name="xdx_809_eus-gaap--StockholdersEquityNote"/>
      <w:bookmarkEnd w:id="617"/>
      <w:r>
        <w:rPr>
          <w:rFonts w:ascii="Times New Roman;Times;Serif" w:hAnsi="Times New Roman;Times;Serif"/>
          <w:b/>
          <w:i w:val="false"/>
          <w:caps w:val="false"/>
          <w:smallCaps w:val="false"/>
          <w:sz w:val="20"/>
        </w:rPr>
        <w:t xml:space="preserve">(14) </w:t>
      </w:r>
      <w:bookmarkStart w:id="618" w:name="xdx_82E_z7zPeB3GrW2"/>
      <w:bookmarkEnd w:id="618"/>
      <w:r>
        <w:rPr>
          <w:rFonts w:ascii="Times New Roman;Times;Serif" w:hAnsi="Times New Roman;Times;Serif"/>
          <w:b/>
          <w:i w:val="false"/>
          <w:caps w:val="false"/>
          <w:smallCaps w:val="false"/>
          <w:sz w:val="20"/>
        </w:rPr>
        <w:t>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2024, the Company entered into an At-the-Market Offering Agreement with an aggregate offering price of up to $</w:t>
      </w:r>
      <w:bookmarkStart w:id="619" w:name="xdx_909_eus-gaap--SaleOfStockConsiderati"/>
      <w:bookmarkEnd w:id="619"/>
      <w:r>
        <w:rPr>
          <w:rFonts w:ascii="Times New Roman;Times;Serif" w:hAnsi="Times New Roman;Times;Serif"/>
          <w:b w:val="false"/>
          <w:i w:val="false"/>
          <w:caps w:val="false"/>
          <w:smallCaps w:val="false"/>
          <w:sz w:val="20"/>
        </w:rPr>
        <w:t>7.0 million (the “2023 ATM Facility”). On August 30, 2024 the aggregate offering price under the 2023 ATM Facility was increased to approximately $</w:t>
      </w:r>
      <w:bookmarkStart w:id="620" w:name="xdx_905_eus-gaap--SaleOfStockConsiderati"/>
      <w:bookmarkEnd w:id="620"/>
      <w:r>
        <w:rPr>
          <w:rFonts w:ascii="Times New Roman;Times;Serif" w:hAnsi="Times New Roman;Times;Serif"/>
          <w:b w:val="false"/>
          <w:i w:val="false"/>
          <w:caps w:val="false"/>
          <w:smallCaps w:val="false"/>
          <w:sz w:val="20"/>
        </w:rPr>
        <w:t>16.0 million. It was then reduced to approximately $</w:t>
      </w:r>
      <w:bookmarkStart w:id="621" w:name="xdx_90F_eus-gaap--SaleOfStockConsiderati"/>
      <w:bookmarkEnd w:id="621"/>
      <w:r>
        <w:rPr>
          <w:rFonts w:ascii="Times New Roman;Times;Serif" w:hAnsi="Times New Roman;Times;Serif"/>
          <w:b w:val="false"/>
          <w:i w:val="false"/>
          <w:caps w:val="false"/>
          <w:smallCaps w:val="false"/>
          <w:sz w:val="20"/>
        </w:rPr>
        <w:t>2.9 million in September 2024 and increased again to approximately $</w:t>
      </w:r>
      <w:bookmarkStart w:id="622" w:name="xdx_903_eus-gaap--SaleOfStockConsiderati"/>
      <w:bookmarkEnd w:id="622"/>
      <w:r>
        <w:rPr>
          <w:rFonts w:ascii="Times New Roman;Times;Serif" w:hAnsi="Times New Roman;Times;Serif"/>
          <w:b w:val="false"/>
          <w:i w:val="false"/>
          <w:caps w:val="false"/>
          <w:smallCaps w:val="false"/>
          <w:sz w:val="20"/>
        </w:rPr>
        <w:t>60.0 million in December 2024. As of January 31, 2025, the Company had received proceeds of approximately $</w:t>
      </w:r>
      <w:bookmarkStart w:id="623" w:name="xdx_900_eus-gaap--ProceedsFromIssuanceOr"/>
      <w:bookmarkEnd w:id="623"/>
      <w:r>
        <w:rPr>
          <w:rFonts w:ascii="Times New Roman;Times;Serif" w:hAnsi="Times New Roman;Times;Serif"/>
          <w:b w:val="false"/>
          <w:i w:val="false"/>
          <w:caps w:val="false"/>
          <w:smallCaps w:val="false"/>
          <w:sz w:val="20"/>
        </w:rPr>
        <w:t>16.9 million under this facility and an additional $</w:t>
      </w:r>
      <w:bookmarkStart w:id="624" w:name="xdx_90C_eus-gaap--ProceedsFromIssuanceOr"/>
      <w:bookmarkEnd w:id="624"/>
      <w:r>
        <w:rPr>
          <w:rFonts w:ascii="Times New Roman;Times;Serif" w:hAnsi="Times New Roman;Times;Serif"/>
          <w:b w:val="false"/>
          <w:i w:val="false"/>
          <w:caps w:val="false"/>
          <w:smallCaps w:val="false"/>
          <w:sz w:val="20"/>
        </w:rPr>
        <w:t>0.9 million between January 31, 2025 and March 16,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common stock purchase agreement (the “First RDO Purchase Agreement”) with an institutional accredited investor for the sale (the “First Offering”) by the Company of shares (the “First RDO Shares”) of the Company’s common stock, par value $</w:t>
      </w:r>
      <w:bookmarkStart w:id="625" w:name="xdx_909_eus-gaap--CommonStockParOrStated"/>
      <w:bookmarkEnd w:id="625"/>
      <w:r>
        <w:rPr>
          <w:rFonts w:ascii="Times New Roman;Times;Serif" w:hAnsi="Times New Roman;Times;Serif"/>
          <w:b w:val="false"/>
          <w:i w:val="false"/>
          <w:caps w:val="false"/>
          <w:smallCaps w:val="false"/>
          <w:sz w:val="20"/>
        </w:rPr>
        <w:t>0.001 per share (the “Common Stock”), for aggregate gross proceeds of $</w:t>
      </w:r>
      <w:bookmarkStart w:id="626" w:name="xdx_90E_eus-gaap--ProceedsFromIssuanceOf"/>
      <w:bookmarkEnd w:id="626"/>
      <w:r>
        <w:rPr>
          <w:rFonts w:ascii="Times New Roman;Times;Serif" w:hAnsi="Times New Roman;Times;Serif"/>
          <w:b w:val="false"/>
          <w:i w:val="false"/>
          <w:caps w:val="false"/>
          <w:smallCaps w:val="false"/>
          <w:sz w:val="20"/>
        </w:rPr>
        <w:t xml:space="preserve">1.5 million before deducting offering expenses payable by the Company. The First RDO Shares were issued upon execution of a funding notice by the Company to the investor. </w:t>
      </w:r>
      <w:bookmarkStart w:id="627" w:name="xdx_90A_eus-gaap--SaleOfStockDescription"/>
      <w:bookmarkEnd w:id="627"/>
      <w:r>
        <w:rPr>
          <w:rFonts w:ascii="Times New Roman;Times;Serif" w:hAnsi="Times New Roman;Times;Serif"/>
          <w:b w:val="false"/>
          <w:i w:val="false"/>
          <w:caps w:val="false"/>
          <w:smallCaps w:val="false"/>
          <w:sz w:val="20"/>
        </w:rPr>
        <w:t>The First RDO Shares were issued at a price per share equal to 80% of the lowest traded price of the Common Stock ten days prior to the closing date for the purchase of the shares. In addition, the Company has the right, but not the obligation, to sell to this investor up to an additional $</w:t>
      </w:r>
      <w:bookmarkStart w:id="628" w:name="xdx_909_eus-gaap--SaleOfStockConsiderati"/>
      <w:bookmarkEnd w:id="628"/>
      <w:r>
        <w:rPr>
          <w:rFonts w:ascii="Times New Roman;Times;Serif" w:hAnsi="Times New Roman;Times;Serif"/>
          <w:b w:val="false"/>
          <w:i w:val="false"/>
          <w:caps w:val="false"/>
          <w:smallCaps w:val="false"/>
          <w:sz w:val="20"/>
        </w:rPr>
        <w:t>3.5 million of shares of Common Stock on the same pricing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RDO Purchase Agreement contained customary representations, warranties and agreements by the Company and customary conditions for closing. Pursuant to the First RDO Purchase Agreement, the Company also agreed to indemnify the purchaser against certain liabilities, including liabilities under the Securities Act and liabilities arising from breaches of representations and warranties contained therein. The First RDO Purchase Agreement included a waiver to the Tax Benefits Preservation Plan as well as a covenant on the investor to vote their shares of common stock in favor of all Company director nominees and other proxy proposals, but only for so long as the investor owns more than 5% of the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also entered into a common stock purchase agreement (the “Second RDO Purchase Agreement”) with a separate institutional accredited investor for the sale (the “Second Offering”) by the Company of shares (the “Second RDO Shares”) of the Common Stock, for aggregate gross proceeds of $</w:t>
      </w:r>
      <w:bookmarkStart w:id="629" w:name="xdx_902_eus-gaap--ProceedsFromIssuanceOf"/>
      <w:bookmarkEnd w:id="629"/>
      <w:r>
        <w:rPr>
          <w:rFonts w:ascii="Times New Roman;Times;Serif" w:hAnsi="Times New Roman;Times;Serif"/>
          <w:b w:val="false"/>
          <w:i w:val="false"/>
          <w:caps w:val="false"/>
          <w:smallCaps w:val="false"/>
          <w:sz w:val="20"/>
        </w:rPr>
        <w:t xml:space="preserve">1.5 million, before deducting offering expenses payable by the Company. The Second RDO Shares were issued upon issuance of a funding notice by the Company to the investor. </w:t>
      </w:r>
      <w:bookmarkStart w:id="630" w:name="xdx_90D_eus-gaap--SaleOfStockDescription"/>
      <w:bookmarkEnd w:id="630"/>
      <w:r>
        <w:rPr>
          <w:rFonts w:ascii="Times New Roman;Times;Serif" w:hAnsi="Times New Roman;Times;Serif"/>
          <w:b w:val="false"/>
          <w:i w:val="false"/>
          <w:caps w:val="false"/>
          <w:smallCaps w:val="false"/>
          <w:sz w:val="20"/>
        </w:rPr>
        <w:t>The Second RDO Shares were issued at a price per share equal to 80% of the lowest traded price of the Common Stock five days prior to the closing date for the purchase of the shares. In addition, the Company has the right, but not the obligation, to sell to this investor up to an additional $</w:t>
      </w:r>
      <w:bookmarkStart w:id="631" w:name="xdx_90C_eus-gaap--SaleOfStockConsiderati"/>
      <w:bookmarkEnd w:id="631"/>
      <w:r>
        <w:rPr>
          <w:rFonts w:ascii="Times New Roman;Times;Serif" w:hAnsi="Times New Roman;Times;Serif"/>
          <w:b w:val="false"/>
          <w:i w:val="false"/>
          <w:caps w:val="false"/>
          <w:smallCaps w:val="false"/>
          <w:sz w:val="20"/>
        </w:rPr>
        <w:t>2.5 million of shares of Common Stock on the same pricing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RDO Purchase Agreement contains customary representations, warranties and agreements by the Company and customary conditions to closing. Pursuant to the Second RDO Purchase Agreement, the Company also agreed to indemnify the purchaser against certain liabilities, including liabilities under the Securities Act and liabilities arising from breaches of representations and warranties contained therein. The Second RDO Purchase Agreement included a waiver to the Tax Benefits Preservation Plan as well as a covenant on the investor to vote their shares of common stock in favor of all Company director nominees and other proxy proposals, but only for so long as the investor owns more than 5% of the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net proceeds from the First RDO Purchase Agreement and the Second RDO Purchase Agreement to build additional products and solutions to meet market demand, further advance the development of new products and solutions, engage in corporate development and merger and acquisition activities, for working capital needs, capital expenditures, repayment or refinancing of indebtedness, repurchases and redemptions of securities, and for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Debt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2024, the Company entered into a securities purchase agreement (the “Securities Purchase Agreement”) with an institutional investor (the “Investor”) under which the Company agreed to issue and sell, in one or more registered public offerings by the Company directly to the Investor (the “Offering”), senior convertible notes for up to an aggregate principal amount of $</w:t>
      </w:r>
      <w:bookmarkStart w:id="632" w:name="xdx_908_eus-gaap--DebtInstrumentFaceAmou"/>
      <w:bookmarkEnd w:id="632"/>
      <w:r>
        <w:rPr>
          <w:rFonts w:ascii="Times New Roman;Times;Serif" w:hAnsi="Times New Roman;Times;Serif"/>
          <w:b w:val="false"/>
          <w:i w:val="false"/>
          <w:caps w:val="false"/>
          <w:smallCaps w:val="false"/>
          <w:sz w:val="20"/>
        </w:rPr>
        <w:t>54.0 million (the “Notes”) that will be convertible into shares of the Company’s common stock. On December 20, 2024 (the “Initial Closing Date”), the Company issued and sold to the Investor a Note in the original principal amount of $</w:t>
      </w:r>
      <w:bookmarkStart w:id="633" w:name="xdx_906_eus-gaap--DebtInstrumentFaceAmou"/>
      <w:bookmarkEnd w:id="633"/>
      <w:r>
        <w:rPr>
          <w:rFonts w:ascii="Times New Roman;Times;Serif" w:hAnsi="Times New Roman;Times;Serif"/>
          <w:b w:val="false"/>
          <w:i w:val="false"/>
          <w:caps w:val="false"/>
          <w:smallCaps w:val="false"/>
          <w:sz w:val="20"/>
        </w:rPr>
        <w:t>4.0 million (the “Initial Note”). Upon our filing of one or more additional prospectus supplements, and our satisfaction of certain other conditions, the Securities Purchase Agreement contemplates additional closings of up to $</w:t>
      </w:r>
      <w:bookmarkStart w:id="634" w:name="xdx_90E_eus-gaap--DebtInstrumentFaceAmou"/>
      <w:bookmarkEnd w:id="634"/>
      <w:r>
        <w:rPr>
          <w:rFonts w:ascii="Times New Roman;Times;Serif" w:hAnsi="Times New Roman;Times;Serif"/>
          <w:b w:val="false"/>
          <w:i w:val="false"/>
          <w:caps w:val="false"/>
          <w:smallCaps w:val="false"/>
          <w:sz w:val="20"/>
        </w:rPr>
        <w:t xml:space="preserve">50 million in aggregate principal amount of additional Notes, upon mutual agreement of the Company and the Investor. The Securities Purchase Agreement contains customary representations, warranties and covenants. It also grants the Investor the right to participate in certain future equity and equity-linked transactions of the Company from the Initial Closing Date through the 3-year anniversary thereof, as well as certain anti-dilution rights applicable to the Notes. </w:t>
      </w:r>
      <w:bookmarkStart w:id="635" w:name="xdx_90E_ecustom--DebtInstrumentBeneficia"/>
      <w:bookmarkEnd w:id="635"/>
      <w:r>
        <w:rPr>
          <w:rFonts w:ascii="Times New Roman;Times;Serif" w:hAnsi="Times New Roman;Times;Serif"/>
          <w:b w:val="false"/>
          <w:i w:val="false"/>
          <w:caps w:val="false"/>
          <w:smallCaps w:val="false"/>
          <w:sz w:val="20"/>
        </w:rPr>
        <w:t>No Note may be converted to the extent that such conversion would cause the then holder of such Note to become the beneficial owner of more than 4.99%, or, at the option of such holder, 9.99% of the then outstanding common stock, after giving effect to such conversion (the “Beneficial Ownership Cap”).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Initial Note was issued with an original issue discount of </w:t>
      </w:r>
      <w:bookmarkStart w:id="636" w:name="xdx_909_ecustom--DebtInstrumentDiscountP"/>
      <w:bookmarkEnd w:id="636"/>
      <w:r>
        <w:rPr>
          <w:rFonts w:ascii="Times New Roman;Times;Serif" w:hAnsi="Times New Roman;Times;Serif"/>
          <w:b w:val="false"/>
          <w:i w:val="false"/>
          <w:caps w:val="false"/>
          <w:smallCaps w:val="false"/>
          <w:sz w:val="20"/>
        </w:rPr>
        <w:t>9.5%, resulting in $</w:t>
      </w:r>
      <w:bookmarkStart w:id="637" w:name="xdx_90E_eus-gaap--ProceedsFromIssuanceOf"/>
      <w:bookmarkEnd w:id="637"/>
      <w:r>
        <w:rPr>
          <w:rFonts w:ascii="Times New Roman;Times;Serif" w:hAnsi="Times New Roman;Times;Serif"/>
          <w:b w:val="false"/>
          <w:i w:val="false"/>
          <w:caps w:val="false"/>
          <w:smallCaps w:val="false"/>
          <w:sz w:val="20"/>
        </w:rPr>
        <w:t>3.6 million of proceeds to the Company, before fees and expenses of approximately $</w:t>
      </w:r>
      <w:bookmarkStart w:id="638" w:name="xdx_900_eus-gaap--DebtInstrumentFeeAmoun"/>
      <w:bookmarkEnd w:id="638"/>
      <w:r>
        <w:rPr>
          <w:rFonts w:ascii="Times New Roman;Times;Serif" w:hAnsi="Times New Roman;Times;Serif"/>
          <w:b w:val="false"/>
          <w:i w:val="false"/>
          <w:caps w:val="false"/>
          <w:smallCaps w:val="false"/>
          <w:sz w:val="20"/>
        </w:rPr>
        <w:t xml:space="preserve">0.4 million. Each Note bore interest at a rate of </w:t>
      </w:r>
      <w:bookmarkStart w:id="639" w:name="xdx_909_eus-gaap--DebtInstrumentInterest"/>
      <w:bookmarkEnd w:id="639"/>
      <w:r>
        <w:rPr>
          <w:rFonts w:ascii="Times New Roman;Times;Serif" w:hAnsi="Times New Roman;Times;Serif"/>
          <w:b w:val="false"/>
          <w:i w:val="false"/>
          <w:caps w:val="false"/>
          <w:smallCaps w:val="false"/>
          <w:sz w:val="20"/>
        </w:rPr>
        <w:t xml:space="preserve">12.5% per annum, which compounded on the first calendar day of each calendar quarter and increased the principal amount of the Notes on a dollar-for-dollar basis. Upon the occurrence and during the continuance of an event of default, the interest rate on the Notes will increase to </w:t>
      </w:r>
      <w:bookmarkStart w:id="640" w:name="xdx_90E_eus-gaap--DebtInstrumentInterest"/>
      <w:bookmarkEnd w:id="640"/>
      <w:r>
        <w:rPr>
          <w:rFonts w:ascii="Times New Roman;Times;Serif" w:hAnsi="Times New Roman;Times;Serif"/>
          <w:b w:val="false"/>
          <w:i w:val="false"/>
          <w:caps w:val="false"/>
          <w:smallCaps w:val="false"/>
          <w:sz w:val="20"/>
        </w:rPr>
        <w:t xml:space="preserve">17.5% per annum. Unless earlier converted, the Notes will mature on the eighteen-month anniversary of their respective issuance dates. All amounts due under the Notes were convertible at any time, in whole or in part, and subject to the Beneficial Ownership Cap, at the option of the holders into shares of common stock at a conversion price equal to the lower of the closing price of the common stock on the trading day prior to each closing plus a 15% premium (the “Reference Price”) or 90% of the volume weighted average price of the common stock during the seven trading days ending and including the trading day immediately preceding the delivery or deemed delivery of the applicable conversion notice. Upon the satisfaction of certain conditions, we could have prepaid outstanding Notes upon not less than 20 business days nor more than 30 business days’ written notice by paying an amount equal to the face value of the Notes at a premium of </w:t>
      </w:r>
      <w:bookmarkStart w:id="641" w:name="xdx_904_ecustom--DebtInstrumentPremiumPe"/>
      <w:bookmarkEnd w:id="641"/>
      <w:r>
        <w:rPr>
          <w:rFonts w:ascii="Times New Roman;Times;Serif" w:hAnsi="Times New Roman;Times;Serif"/>
          <w:b w:val="false"/>
          <w:i w:val="false"/>
          <w:caps w:val="false"/>
          <w:smallCaps w:val="false"/>
          <w:sz w:val="20"/>
        </w:rPr>
        <w:t>15%.</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 contained certain terms and conditions which management evaluated as potential embedded derivatives. Management determined that the optional conversion feature is not clearly and closely related to the debt host instrument, and therefore required bifurcation and separate accounting. We determined the fair value of the embedded derivative as approximately $</w:t>
      </w:r>
      <w:bookmarkStart w:id="642" w:name="xdx_908_eus-gaap--DerivativeGainLossOnDe"/>
      <w:bookmarkEnd w:id="642"/>
      <w:r>
        <w:rPr>
          <w:rFonts w:ascii="Times New Roman;Times;Serif" w:hAnsi="Times New Roman;Times;Serif"/>
          <w:b w:val="false"/>
          <w:i w:val="false"/>
          <w:caps w:val="false"/>
          <w:smallCaps w:val="false"/>
          <w:sz w:val="20"/>
        </w:rPr>
        <w:t>0.4 million and recorded it as a discount to the debt and a derivative liability on the date of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converted all of the outstanding principal and accrued interest under the Initial Note to common stock during December 2024, resulting in the issuance of </w:t>
      </w:r>
      <w:bookmarkStart w:id="643" w:name="xdx_900_eus-gaap--DebtConversionConverte"/>
      <w:bookmarkEnd w:id="643"/>
      <w:r>
        <w:rPr>
          <w:rFonts w:ascii="Times New Roman;Times;Serif" w:hAnsi="Times New Roman;Times;Serif"/>
          <w:b w:val="false"/>
          <w:i w:val="false"/>
          <w:caps w:val="false"/>
          <w:smallCaps w:val="false"/>
          <w:sz w:val="20"/>
        </w:rPr>
        <w:t>15,442,429 common shares at an average conversion price of $</w:t>
      </w:r>
      <w:bookmarkStart w:id="644" w:name="xdx_905_eus-gaap--DebtInstrumentConverti"/>
      <w:bookmarkEnd w:id="644"/>
      <w:r>
        <w:rPr>
          <w:rFonts w:ascii="Times New Roman;Times;Serif" w:hAnsi="Times New Roman;Times;Serif"/>
          <w:b w:val="false"/>
          <w:i w:val="false"/>
          <w:caps w:val="false"/>
          <w:smallCaps w:val="false"/>
          <w:sz w:val="20"/>
        </w:rPr>
        <w:t>0.26 per share. Interest expense during the time the Initial Note was outstanding was immaterial. The Company recognized a loss on extinguishment resulting from the conversion, which is presented as a separate line item in the Company’s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45" w:name="xdx_808_eus-gaap--CommitmentsAndContinge"/>
      <w:bookmarkEnd w:id="645"/>
      <w:r>
        <w:rPr>
          <w:rFonts w:ascii="Times New Roman;Times;Serif" w:hAnsi="Times New Roman;Times;Serif"/>
          <w:b/>
          <w:i w:val="false"/>
          <w:caps w:val="false"/>
          <w:smallCaps w:val="false"/>
          <w:sz w:val="20"/>
        </w:rPr>
        <w:t xml:space="preserve">(15) </w:t>
      </w:r>
      <w:bookmarkStart w:id="646" w:name="xdx_82B_zXzNaNDEBNDl"/>
      <w:bookmarkEnd w:id="64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Spain Income Tax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underwent an income tax audit in Spain for the period from 2011 to 2014, when its Spanish branch was closed. On July 30, 2018, the Spanish tax inspector concluded that although there was no tax owed in light of losses reported, the Company’s Spanish branch owed penalties for failure to properly account for the income associated with the funding grant. During the year ended April 30, 2022, the Company received notice from the Spanish Central Economic and Administrative Tribunal (“Spanish Tax Administration”) that it agreed with the inspector and ruled that the Company owes the full amount of the penalty in the amount of €</w:t>
      </w:r>
      <w:bookmarkStart w:id="647" w:name="xdx_907_eus-gaap--IncomeTaxExaminationPe"/>
      <w:bookmarkEnd w:id="647"/>
      <w:r>
        <w:rPr>
          <w:rFonts w:ascii="Times New Roman;Times;Serif" w:hAnsi="Times New Roman;Times;Serif"/>
          <w:b w:val="false"/>
          <w:i w:val="false"/>
          <w:caps w:val="false"/>
          <w:smallCaps w:val="false"/>
          <w:sz w:val="20"/>
        </w:rPr>
        <w:t>279,870 or approximately $</w:t>
      </w:r>
      <w:bookmarkStart w:id="648" w:name="xdx_90B_eus-gaap--IncomeTaxExaminationPe"/>
      <w:bookmarkEnd w:id="648"/>
      <w:r>
        <w:rPr>
          <w:rFonts w:ascii="Times New Roman;Times;Serif" w:hAnsi="Times New Roman;Times;Serif"/>
          <w:b w:val="false"/>
          <w:i w:val="false"/>
          <w:caps w:val="false"/>
          <w:smallCaps w:val="false"/>
          <w:sz w:val="20"/>
        </w:rPr>
        <w:t>331,000. On January 25, 2021, the Company paid the Spanish Tax Administration €</w:t>
      </w:r>
      <w:bookmarkStart w:id="649" w:name="xdx_90B_eus-gaap--LossContingencyDamages"/>
      <w:bookmarkEnd w:id="649"/>
      <w:r>
        <w:rPr>
          <w:rFonts w:ascii="Times New Roman;Times;Serif" w:hAnsi="Times New Roman;Times;Serif"/>
          <w:b w:val="false"/>
          <w:i w:val="false"/>
          <w:caps w:val="false"/>
          <w:smallCaps w:val="false"/>
          <w:sz w:val="20"/>
        </w:rPr>
        <w:t>279,870. Notwithstanding that payment, on April 30, 2022, the Company filed its appeal of the decision of the Central Court to the Spanish National Court. On February 3, 2025, the Spanish National Court denied the Company’s appeal, and the Company does not believe it has further available grounds to appeal this decision to the Spanish Supreme Court. Accordingly, this matter is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 with Paragon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10, 2023, Paragon Technologies, Inc. filed a complaint in the Court of Chancery of the State of Delaware against the Company, and the members of its Board of Directors, claiming certain breaches of their fiduciary duties. The complaint sought only injunctive relief against the Company, and not monetary damages, and therefore the financial exposure derived therein was limited to applicable legal fees and costs at that stage, which was material to FY’ 24. On November 2, 2023, Paragon sought leave to amend its complaint to add additional claims. The Court granted this motion for leave to amend, provided that the Court would not delay the hearing on the matters raised in the initial complaint, which was set for November 28, 2023. This hearing on the initial complaint was held and on November 30, 2023, the Court ruled in favor of the Company and denied Paragon’s motion for injunctive relief. The status of the in the amended complaint is still pending. On February 28, 2024, the Company successfully finalized its 2023 annual meeting of stockholders in spite of Paragon’s repeated attempts to contest the meeting. In an August 12, 2024 Press Release and its Form 10-Q report for the second quarter of 2024, Paragon announced that it was no longer pursuing litigation against the Company. Pursuant to a Court order dated January 9, 2025, Paragon was required “to file a status report within 30 days. Otherwise, the case will be dismissed under Rule 41(e).” Because Paragon did not file a status report by February 10, 2025, the Company anticipates that the Court will dismiss the case, with prejudice, due to Paragon’s failure to prosecute.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received a shareholder demand under Section 220 of the General Corporation Law of the State of Delaware for inspection of certain books and records relating to prior equity grants made to officers and directors under the 2015 Plan in January 2023, February 2024 and January 2025. The Company is reviewing and considering the demand and engaging with counsel for the shareholder. The Company has not recorded any material liability for these matters as of January 31, 2025 as it cannot estimate the ultimate outcome at this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50" w:name="xdx_800_eus-gaap--IncomeTaxDisclosureTex"/>
      <w:bookmarkEnd w:id="650"/>
      <w:r>
        <w:rPr>
          <w:rFonts w:ascii="Times New Roman;Times;Serif" w:hAnsi="Times New Roman;Times;Serif"/>
          <w:b/>
          <w:i w:val="false"/>
          <w:caps w:val="false"/>
          <w:smallCaps w:val="false"/>
          <w:sz w:val="20"/>
        </w:rPr>
        <w:t xml:space="preserve">(16) </w:t>
      </w:r>
      <w:bookmarkStart w:id="651" w:name="xdx_82F_zUBuSSE3p6Fl"/>
      <w:bookmarkEnd w:id="651"/>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in accordance with ASC 740. The guidance requires the Company to recognize in its consolidated financial statements the impact of a tax position if that position is more likely than not to be sustained upon examination, based on the technical merits of the position. The Company has no current or deferred tax due to current and projected losses for the year. The Company previously appealed the results of the income tax audit in Spain for the period from 2011 to 2014, when the Company’s Spanish branch was closed (see Note 14). On February 3, 2025, the Spanish National Court denied the Company’s appeal, and the Company does not believe it has further available grounds to appeal this decision to the Spanish Supreme Court. Accordingly, this matter is closed. At January 31, 2025, the Company had no uncertain tax positions. The Company does not expect any material increase or decrease in its income tax expense or benefit in the next twelve months, related to examinations or uncertain tax positions. Net operating loss and credit carry forwards since inception remain open to examination by taxing authorities and will continue to remain open for a period of time after utilization.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Preservation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2023, in order to protect the Company’s valuable tax assets related to its net operating losses from being limited or lost under Section 382 of the Internal Revenue Code, the Company adopted a Tax Benefits Preservation Plan (the “Plan”). Pursuant to the Plan, the Board declared a dividend of one preferred share purchase right (each, a “Right”) for each outstanding share of common stock of the Company. The dividend was distributed to stockholders of record as of the close of business on July 11, 2023. The Plan substantially diminishes the risk that the Company’s ability to utilize its net operating loss carryovers to reduce potential future federal income tax obligations may become substantially limited. The Plan is intended to act as a deterrent to any person or group acquiring beneficial ownership of </w:t>
      </w:r>
      <w:bookmarkStart w:id="652" w:name="xdx_904_ecustom--BusinessAcquisitionOuts"/>
      <w:bookmarkEnd w:id="652"/>
      <w:r>
        <w:rPr>
          <w:rFonts w:ascii="Times New Roman;Times;Serif" w:hAnsi="Times New Roman;Times;Serif"/>
          <w:b w:val="false"/>
          <w:i w:val="false"/>
          <w:caps w:val="false"/>
          <w:smallCaps w:val="false"/>
          <w:sz w:val="20"/>
        </w:rPr>
        <w:t>4.99% or more of the outstanding common stock without approval by potentially subjecting any such person or group to significant dilution. The Plan was approved by shareholders by a non-binding advisory vote at the Company’s Annual Meeting held on February 28,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grant date fair value of the Rights using an option-pricing model. The amount was immaterial to the consolidated financial statements and deemed to be de minimis, and accordingly was not recorded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New Jersey NOL’s and R&amp;D Tax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monetize their attributes, the Company has historically sold the Net Operating Losses (NOL’s) and R&amp;D credit generated in New Jersey. In September 2024 the Company was notified that it received a preliminary award of approximately $</w:t>
      </w:r>
      <w:bookmarkStart w:id="653" w:name="xdx_901_eus-gaap--IncomeTaxPaidForeignBe"/>
      <w:bookmarkEnd w:id="653"/>
      <w:r>
        <w:rPr>
          <w:rFonts w:ascii="Times New Roman;Times;Serif" w:hAnsi="Times New Roman;Times;Serif"/>
          <w:b w:val="false"/>
          <w:i w:val="false"/>
          <w:caps w:val="false"/>
          <w:smallCaps w:val="false"/>
          <w:sz w:val="20"/>
        </w:rPr>
        <w:t>1.1 million for New Jersey State for the sale of the fiscal year 2024 NOL. The final allocation is expected to be determined during the fourth quarter of OPT’s 2025 fiscal year when the sale of the NOL’s and credit are finalized. The Company has elected to recognize the gain on the sale as a component of tax expense at the time of the sale. Historically the Company has received over 90% of the amount of the preliminary award upon final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4" w:name="xdx_809_eus-gaap--SegmentReportingDisclo"/>
      <w:bookmarkEnd w:id="654"/>
      <w:r>
        <w:rPr>
          <w:rFonts w:ascii="Times New Roman;Times;Serif" w:hAnsi="Times New Roman;Times;Serif"/>
          <w:b/>
          <w:i w:val="false"/>
          <w:caps w:val="false"/>
          <w:smallCaps w:val="false"/>
          <w:sz w:val="20"/>
        </w:rPr>
        <w:t xml:space="preserve">(17) </w:t>
      </w:r>
      <w:bookmarkStart w:id="655" w:name="xdx_82B_zdVtOdt6F9qj"/>
      <w:bookmarkEnd w:id="655"/>
      <w:r>
        <w:rPr>
          <w:rFonts w:ascii="Times New Roman;Times;Serif" w:hAnsi="Times New Roman;Times;Serif"/>
          <w:b/>
          <w:i w:val="false"/>
          <w:caps w:val="false"/>
          <w:smallCaps w:val="false"/>
          <w:sz w:val="20"/>
        </w:rPr>
        <w:t>Operating Segments and Geographic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business consists of </w:t>
      </w:r>
      <w:bookmarkStart w:id="656" w:name="xdx_907_eus-gaap--NumberOfReportableSegm"/>
      <w:bookmarkEnd w:id="656"/>
      <w:r>
        <w:rPr>
          <w:rFonts w:ascii="Times New Roman;Times;Serif" w:hAnsi="Times New Roman;Times;Serif"/>
          <w:b w:val="false"/>
          <w:i w:val="false"/>
          <w:caps w:val="false"/>
          <w:smallCaps w:val="false"/>
          <w:sz w:val="20"/>
        </w:rPr>
        <w:t>one reportable segment as the revenues associated with its different business lines are not material enough to justify segment reporting or to make it meaningful to investors, and the Company’s chief operating decision maker does not view the Company’s operations on a segment basis. The Company operates worldwide, with its U.S. operations in New Jersey and California and one operating subsidiary in the UK. Revenues and expenses are generally attributed to the operating unit that bills the customers. During each of the three and nine months ended January 31, 2025 and 2024, the Company’s primary business operations were in North America, South America, EMEA and Asia/Australia.</w:t>
      </w:r>
    </w:p>
    <w:p>
      <w:pPr>
        <w:pStyle w:val="TextBody"/>
        <w:bidi w:val="0"/>
        <w:spacing w:before="0" w:after="0"/>
        <w:ind w:left="0" w:right="0" w:hanging="0"/>
        <w:jc w:val="both"/>
        <w:rPr>
          <w:caps w:val="false"/>
          <w:smallCaps w:val="false"/>
        </w:rPr>
      </w:pPr>
      <w:bookmarkStart w:id="657" w:name="xdx_81A_zzLa1sMKr1k8"/>
      <w:bookmarkEnd w:id="657"/>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8" w:name="a_009"/>
      <w:bookmarkEnd w:id="658"/>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revenue and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or incorporated by reference are largely based on our expectations, which reflect estimates and assumptions made by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doubt about our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 term and possibly longer;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inflation related to the U.S. dollar on our business, operations, customers, suppliers, manufacturers, and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and continuous improvement of our technology, products and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regarding Federal governmental tariffs, the implementation on the new US Department of Governmental Efficiency (“DOGE”) and related DOGE federal governmental budget cuts and the potential that this affects the demand for, or restrict the use of, our products and services;</w:t>
            </w:r>
          </w:p>
        </w:tc>
      </w:tr>
      <w:tr>
        <w:trPr/>
        <w:tc>
          <w:tcPr>
            <w:tcW w:w="75"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markets across geographic boundaries;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our ability to be successful doing business internationally which requires strict compliance with applicable statutes and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tariffs, Russia’s invasion of Ukraine, the Israel/Palestine conflict and previous attacks on merchant ships in the Red Sea;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consistent commercial profit margins.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2024,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2024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2024 refers to the year ended April 30, 2024). References to “we,” “us,” “our”, and “OPT” refer to Ocean Power Technologies, Inc. and its subsidiaries,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solutions focus on three major service areas: Data as a Service (“DaaS”), which includes data collected by our Wave Adaptive Modular Vessel (WAM-V®) autonomous vehicles or our PowerBuoy® (“PB”) product lines; Robotics as a Service (“RaaS”), which provides a lower cost subscription model for our customers to access use of our WAM-V’s®; and Power as a Service (“PaaS”), which includes our PowerBuoy®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mission is to provide intelligent maritime solutions and services that enable more secure and more productive utilization of our oceans and waterways, provide clean energy power services, and offer sophisticated surface and subsea maritime domain awareness solutions. The Company achieves this through our proprietary, state-of-the-art technologies that are at the core of our clean and renewable energy platforms, autonomous systems, solutions and services. The Company is involved in the entire life cycle of product development, from product design through assembly, testing, deployment, maintenance and upgrades, while working closely with partners across our supply chain. The Company also works closely with our third-party partners that provide us with, among other things, software, controls, sensors, integration services, and marine installation services. Our solutions are based on proprietary technologies that enable autonomous, zero or low carbon emitting, and cost-effective data collection, analysis, transportation and communication. Our solutions are primarily suited to ocean and other offshore environments, and support generation of actionable intelligence on a standalone basis or working with other data sources. We channel the information we collect, and other communications, through control equipment linked to edge computing and cloud hosting environments, </w:t>
      </w:r>
      <w:r>
        <w:rPr>
          <w:rFonts w:ascii="Times New Roman;Times;Serif" w:hAnsi="Times New Roman;Times;Serif"/>
          <w:b w:val="false"/>
          <w:i w:val="false"/>
          <w:caps w:val="false"/>
          <w:smallCaps w:val="false"/>
          <w:color w:val="333333"/>
          <w:sz w:val="20"/>
        </w:rPr>
        <w:t xml:space="preserve">including Merrows™, which provides AI capable seamless integration of Maritime Domain Awareness Systems across </w:t>
      </w:r>
      <w:r>
        <w:rPr>
          <w:rFonts w:ascii="Times New Roman;Times;Serif" w:hAnsi="Times New Roman;Times;Serif"/>
          <w:b w:val="false"/>
          <w:i w:val="false"/>
          <w:caps w:val="false"/>
          <w:smallCaps w:val="false"/>
          <w:sz w:val="20"/>
        </w:rPr>
        <w:t>platforms. The data collected by OPT’s technologies underscores the Company’s unique position as a system of systems provider. What sets OPT apart is its ability to enhance these data collection capabilities by integrating the WAM-V and PB systems. This integration enables the use of artificial intelligence and machine learning not only to improve data accuracy and operational efficiency but also delivery of persistent actionable intelligence over greater distances.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under the laws of the State of New Jersey in April 1984 and began commercial operations in 1994. On April 23, 2007, we reincorporated in Delaware.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Data as a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DaaS solution is at the forefront of our strategic goal to be a leader in offshore data collection, integration, analytics and real time communication for a variety of important applications. For example, our solutions can track surface vessel movement for maritime border enforcement and illegal fishing interdiction, provide security for offshore wind farms and oil and gas fields, and provide harbor or port security as well as logistics support. We have the ability to support aquaculture and gather information on ocean currents, water quality, wind and other weather metrics, provide photography, and map shorelines or subsurface bathymetry, objects and activity frequently required for obtaining development and operational permits with environmental studies. We also offer 24/7 monitoring solutions that can provide meaningful real time information, and long-term data collection and analytics for sophisticated applications across many industries and scientific applications. Additionally, the stability of our WAM-V® platform makes it an ideal solution to produce high quality sonar data in many sea conditions for subsea surveys. WAM-V’s® can also be outfitted with various equipment for the performance of marine infrastructure surveys, berth clearance surveys, dredging surveys, and mining pit surveys.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funding from the Naval Postgraduate School for the deployment of a PowerBuoy® in Monterey Bay. The PowerBuoy®, integrating our MDAS along with cutting-edge Satellite communication and AT&amp;T 5G technology, will demonstrate its persistent surveillance and communications capacities in a maritime environment. This deployment marks a significant milestone in maritime technology, showcasing the potential of standalone at-sea infrastructure nodes to support diverse operational needs. We have further expanded our DaaS offering through field demonstration such as ANTX Coastal Trident, as well as the Naval Task Force 59 for the Digital Horizon field exercise and the International Maritime Exercise (IMX) in Bahrain. Additional DaaS contracts include Sulmara for survey services with our WAM-V® platform and Phase I funding through National Oceanic and Atmospheric Administration’s (NOAA) Small Business Innovation Research (SBIR) program.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received an award of three separate Indefinite Delivery Indefinite Quantity (IDIQ) Multiple-Award Contracts (MAC) from the NOAA. NOAA has selected OPT as one of several Multiple Award IDIQ contract holders to provide Uncrewed Maritime Systems (UMS) Services to NOAA’s Office of Marine and Aviation Operations (OMAO), Uncrewed Systems Operation Center (UxSOC). Under these contracts, OPT will bring its expertise to utilize cutting-edge UMS to support NOAA in conducting vital marine resource surveys and research while also playing a pivotal role in enhancing NOAA’s meteorological and oceanographic observations, further advancing our understanding of the natural world. Finally, OPT will collaborate with NOAA to explore and characterize the depths of our oceans, contributing to the discovery and preservation of invaluable marine ecosystems.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was awarded a contract to provide scientific hardware delivery, training, and integration services under a subcontract for a U.S. government agency. This project seeks to identify and integrate sensors and systems and share data suitable for the full spectrum of maritime operations. We will provide the required hardware, hardware deployment support, software, software deployment support, integration services, surveillance and telemetry data, and associated training in support of a legacy PB3 PowerBuoy® equipped with our Maritime Domain Awareness (MDA) solution. The project will be deployed in support of security efforts to detect illegal, unreported, and unregulated (“IUU”) fishing, dark vessels, and human/drug trafficking in operation 24/7/365. As further discussed under “Commercial Activities,” the Company was awarded a contract in support of foreign law enforcement partners. This collaboration aims to protect vital marine species and combat illegal, unreported, and IUU fishing activities in critical habitats using our state-of-the-art uncrewed technologies and demonstrates unprecedented, networked surveillance capabilities and evidence collection.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Maritime Domain Awareness Solution (“MDAS”)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International Maritime Organization defines Maritime Domain Awareness as the effective understanding of any activity that could impact the security, safety, economy, or environment related to and within our oceans and seas. Since 2002, the U.S. has had an active strategy to secure the maritime domain, primarily through the U.S. Navy. Furthermore, the U.S. Coast Guard has elevated IUU fishing, one aspect of MDA security, as a leading global maritime threat.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designed our solution to provide detailed, localized maritime domain awareness that can be utilized for a wide range of applications across market segments. Our MDAS base hardware consists of a high-definition radar, a stabilized high-definition optical and thermal imaging camera, and a vessel Automatic Identification System (“AIS”) detection module. This hardware can be customized or supplemented by other solutions, depending on the requirements of our customers. These devices can be mounted on our products, such as our legacy PB3 and NextGen PB or WAM-V®, and then, utilizing integrated command and control software, data would be sent to us and to our customers via secure communications channels. Multiple sensors can be used on a single unit based on the comprehensiveness of the needs of our customers.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MDAS processes data onboard our platforms (i.e., edge computing) and transmits the results to our cloud-based analytics platform via secure Wi-Fi and cellular and satellite communications. We anticipate integrating our MDAS solution into our WAM-V’s® to add mobile assets for patrols or interdiction and utilizing satellite communication to expand the availability of our data service. Surveillance data can be integrated with third party marine monitoring software or with our own MDAS software solution to provide command and control features of a multi-platform surveillance network. As an example, one or more WAM-Vs® can be networked to our self-powered buoy, which acts as a central data and communication hub. These WAM-Vs® can significantly increase the range of our MDAS network solutions. The data can also be integrated with satellite, weather, bathymetric, and other third-party data feeds to form a detailed surface and subsea picture of a monitored area. All vessel video, radar, and track data can be securely stored in our cloud, or the customer’s cloud environment and is accessible for as long as required by the customer for further analysis and reference. We refer to the integrated Command, Control, Communications, Computers, Cyber, Intelligence, Surveillance, and Reconnaissance systems as Merrows.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launched the first commercially ready MDAS on a test buoy off the coast of New Jersey in September 2021. The system includes our proprietary integration of sensors, hardware and software, supported by cloud infrastructure as well as having a web-based user interface that displays camera, radar, AIS and live chart data. During the first half of calendar 2024 we successfully demonstrated the system multiple times for potential customers, including a remote demonstrations using assets deployed off New Jersey for potential customers active in the Mediterranean, South America and Middle East. In addition, during the third quarter of fiscal 20025 the Company shipped an </w:t>
      </w:r>
      <w:r>
        <w:rPr>
          <w:rFonts w:ascii="Times New Roman;Times;Serif" w:hAnsi="Times New Roman;Times;Serif"/>
          <w:b w:val="false"/>
          <w:i w:val="false"/>
          <w:caps w:val="false"/>
          <w:smallCaps w:val="false"/>
          <w:color w:val="333333"/>
          <w:sz w:val="20"/>
        </w:rPr>
        <w:t>AI capable Merrows™ PowerBuoy</w:t>
      </w:r>
      <w:r>
        <w:rPr>
          <w:rFonts w:ascii="Times New Roman;Times;Serif" w:hAnsi="Times New Roman;Times;Serif"/>
          <w:b w:val="false"/>
          <w:i w:val="false"/>
          <w:caps w:val="false"/>
          <w:smallCaps w:val="false"/>
          <w:color w:val="333333"/>
          <w:position w:val="7"/>
          <w:sz w:val="16"/>
          <w:sz w:val="20"/>
        </w:rPr>
        <w:t xml:space="preserve">® </w:t>
      </w:r>
      <w:r>
        <w:rPr>
          <w:rFonts w:ascii="Times New Roman;Times;Serif" w:hAnsi="Times New Roman;Times;Serif"/>
          <w:b w:val="false"/>
          <w:i w:val="false"/>
          <w:caps w:val="false"/>
          <w:smallCaps w:val="false"/>
          <w:color w:val="333333"/>
          <w:sz w:val="20"/>
        </w:rPr>
        <w:t>to a customer in the middle east and a system,to the Navy Postgraduate School which include AT&amp;T® 5G technology and integrated advanced subsea sensors into a PowerBuoy® equipped with OPT’s latest Merrows™ suite for AI capable seamless integration of Maritime Domain Awareness (MDA) across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Autonomous Vehicles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Autonomous Vehicles business incorporates the patented WAM-V® technology, which enables roaming capabilities for unmanned maritime systems in waters around the world. The first WAM-V® was launched in 2007 as a new vehicle class to deliver reliable autonomous surface vehicles to customers that could provide robust, real-time data collection and reporting. Our Autonomous Vehicles business also provides RaaS, allowing customers to lease WAM-V® robotics and access information from our WAM-Vs® while we maintain ownership and maintenance and repair responsibilities. Today, WAM-Vs® operate in ten countries for commercial, military defense and scientific uses. Our WAM-Vs® exist in three primary sizes of 8, 16, and 22 feet. However, many of the design components are common across the sizes, allowing for integration of different payloads and adaptation of the payload platforms for larger equipment. All sizes can be adapted to suit electric or liquid fuel propulsion methods.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WAM-V® product line highly complements the Company’s business strategy and can be used inshore, nearshore, and offshore. This business continues to grow and is further into core marine survey and maritime security markets in the Middle East, Europe, Asia, Oceania and the expanding Americas. We continue to find ways to integrate Autonomous Vehicles with the Company’s existing platforms and service offerings and expect to take advantage of new synergistic opportunities as they arise. In addition, in connection with our Merrows offering noted below, we are already integrating data streams relating to all aspects of, on, under, adjacent to, or bordering on a sea, ocean, or other navigable waterway onto the WAM-V® to expand our offering to provide a roaming MDA solution to our customers.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Technological Advancements</w:t>
      </w:r>
    </w:p>
    <w:p>
      <w:pPr>
        <w:pStyle w:val="TextBody"/>
        <w:bidi w:val="0"/>
        <w:spacing w:before="0" w:after="0"/>
        <w:ind w:left="0" w:right="0" w:hanging="0"/>
        <w:jc w:val="both"/>
        <w:rPr>
          <w:caps w:val="false"/>
          <w:smallCaps w:val="false"/>
        </w:rPr>
      </w:pPr>
      <w:r>
        <w:rPr>
          <w:caps w:val="false"/>
          <w:smallCaps w:val="false"/>
        </w:rPr>
        <w:t> </w:t>
      </w:r>
    </w:p>
    <w:p>
      <w:pPr>
        <w:pStyle w:val="TextBody"/>
        <w:shd w:fill="FEFEFE"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we completed a major set of exercises in California and successfully demonstrated the autonomous capability of the WAM-V to provide offshore survey capabilities for multiple days without needing to return to base. During the exercises, the WAM-V 22 operated for several days while hosting a complete seabed survey payload providing real time hydrographic and survey data collection. This multi-day operational capability is designed to offer greater persistence at sea while hosting an array of offshore instrumentation for longer and more power intensive requirements. This milestone for OPT demonstrated how WAM-Vs can now be deployed for multiple days in over the horizon operations. This opens up entirely new operating approaches for our customers, leading to enhanced efficiencies and new markets for OPT.</w:t>
      </w:r>
    </w:p>
    <w:p>
      <w:pPr>
        <w:pStyle w:val="TextBody"/>
        <w:shd w:fill="FEFEFE" w:val="clear"/>
        <w:bidi w:val="0"/>
        <w:spacing w:before="0" w:after="0"/>
        <w:ind w:left="0" w:right="0" w:hanging="0"/>
        <w:jc w:val="both"/>
        <w:rPr>
          <w:caps w:val="false"/>
          <w:smallCaps w:val="false"/>
          <w:color w:val="333333"/>
        </w:rPr>
      </w:pPr>
      <w:r>
        <w:rPr>
          <w:caps w:val="false"/>
          <w:smallCaps w:val="false"/>
          <w:color w:val="333333"/>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we completed the second set of exercises of the previously announced follow-on contract as a subcontractor to EpiSci and successfully deployed several WAM-V autonomous surface vehicles during the Mission Autonomy Proving Grounds (MAPG) as part of Project Overmatch. Project Overmatch is a United States Navy initiative aimed at achieving a seamless and highly integrated warfighting capability by leveraging advanced data networks, artificial intelligence (AI), and machine learning. Under this contract, OPT continues to ruggedize and enhance the operational capability of its autonomous maritime technologies to support the U.S. military and its allies. The first set of exercises was concluded over the summer and the completion of these most recent exercises contributed to the revenue recognition noted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announced that we completed more than four months of offshore testing of our Next Generation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(“PB”) in the Atlantic Ocean off New Jersey. The solar and wind power equipped Next Generation PB was equipped with OPT’s AI capable Merrows™ suite of solutions. The system maintained 100% data uptime and the state of charge of the batteries remained over 90% throughout the deployment. During the deployment, several intelligence, surveillance, and reconnaissance demonstrations for potential customers were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the Company announced Merrows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 projected significant step forward to enhance maritime domain awareness and underline the critical importance of ocean security’s role in national security. Merrows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is OPT’s consolidated solution offering comprehensive ocean surveillance and involves the deployment of sophisticated Command, Control, Communications, Computers, Cyber, Intelligence, Surveillance, and Reconnaissance systems. These systems are integrated within OPT’s roaming technologies, such as the WAM-V, and geostationary technologies, like the PB, to offer an unparalleled level of surveillance and data analysis capability. This initiative, which builds on OPT’s recently completed R&amp;D efforts, demonstrates OPT’s commitment to safeguarding the world’s oceans through advanced technology and innovation.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2024, the Company announced it was approaching 15MWh of renewable energy production from its family of PBs. The recent launch of its Next Generation PB off the coast of New Jersey has materially accelerated average energy production by combining solar, wind, and wave energy production capabilities. The energy generation numbers are based on deployments in the Atlantic, Pacific, Mediterranean, and North Sea. OPT has demonstrated and delivered use cases as a proven solution for Anti-Submarine Warfare, Intelligence, Surveillance, and Reconnaissance, USV Charging, and Environmental Sensing. These numbers show that non-grid connected marine energy production is not just for the R&amp;D community but is a commercially available 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Robotics as a Service (“RaaS”)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fiscal 2023 the Company introduced the subscription model for our customers to access our WAM-V’s®. Under this model we lease our WAM-V’s to our customers over a fixed time period or provide a specified number of use days, typically with a guaranteed minimum. This model provides a lower cost entry point for our customers to access our products, provides a try before buying opportunity, and allows our customers increased access during periods of increased need. The Company expects to benefit from the growing RaaS trend, providing greater visibility into predicting revenue and planning supply for demand, while providing our customers with flexibility and a lower cost of entry.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Power as a Service (“PaaS”)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PaaS solutions deliver value to customers by utilizing our managed power platforms. We continue to commercialize our proprietary power platforms that generate electricity primarily by harnessing the renewable energy of ocean waves. In addition to offering our commercial legacy PB3, we have added solar power options to our next generation PowerBuoy® (the “NextGen PB”) and have the option of adding small wind turbines to supplement power generation. The NextGen PB includes versions with and without a wave energy converter (WEC), with the non-WEC version replacing our previous hybrid PB. Our focus for these solutions is on bringing autonomous clean power to our customers wherever it is required. Moreover, offshore data and communications networks require power to function, and our solution provides this power continuously without requiring ongoing battery replacement or older technologies such as shore station power cables. Many of the lessons learned from the deployments of both our legacy PB3 and demonstrator systems have been used to develop the next generation of PowerBuoy®. The NextGen PBs are designed to be modular for both WEC and non-WEC applications. The legacy PB3 will continue to be available and supported in addition to the NextGen PB, which was fully commercialized during fiscal 2024.</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Next Generation PowerBuoy® (“NextGen PB”)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NextGen PB is our future platform that integrates the lessons learned from the legacy PB3 and our demonstrator systems. It consists of two versions, one utilizing solar and wind power and one utilizing solar and wind power plus wave energy conversion capability, to provide reliable power in remote offshore locations, regardless of ocean wave conditions. Both versions utilize the same spar shape, thus increasing modularity and decreasing part count and costs. The WEC technology in the NextGen PB is based on our Mass on Spring Wave Energy Converter (MOSWEC) development which has the advantages of smaller size, lower cost, sealed to the environment design, and increased energy generation capability. The solar and wind PowerBuoy® is now commercially available and the prototype of the MOSWEC PowerBuoys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has been tested off the coast of New Jersey and the solar and wind system was used during the MDAS demonstration for ANTX during fiscal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this product addresses a broader spectrum of customer deployment needs, including low-wave and nearshore environments, with the potential for greater product integration within each customer project. The NextGen PB is intended to provide a stable energy platform for our MDAS solution, and for agile deployment of other intelligence gathering surface and subsea sensors, subsea power and surface communications applications, for electric remotely operated vehicles (“eROV”) and autonomous underwater vehicles used for mine counter measures, unexploded ordinance disposal, subsea acoustic monitoring, underwater inspections and short-term maintenance, and subsea equipment monitoring and control. The design has a high payload capacity for surveillance and communications equipment, including subsea acoustics, with the capability of being tethered to subsea payloads such as batteries, or with a conventional anchor mooring system. Energy is stored in onboard lithium-ion batteries which can power subsea and topside payloads. The control system uses sensors and an onboard computer to continuously monitor the subsystems. The NextGen PB is designed to be able to operate over a broad range of temperature and ocean wave conditions and is capable of being deployed in hot climates </w:t>
      </w:r>
      <w:r>
        <w:rPr>
          <w:rFonts w:ascii="Times New Roman;Times;Serif" w:hAnsi="Times New Roman;Times;Serif"/>
          <w:b w:val="false"/>
          <w:i w:val="false"/>
          <w:caps w:val="false"/>
          <w:smallCaps w:val="false"/>
          <w:color w:val="333333"/>
          <w:sz w:val="20"/>
        </w:rPr>
        <w:t>such as the Middle East, Sub-Saharan Africa, and North Africa.</w:t>
      </w:r>
      <w:r>
        <w:rPr>
          <w:rFonts w:ascii="Times New Roman;Times;Serif" w:hAnsi="Times New Roman;Times;Serif"/>
          <w:b w:val="false"/>
          <w:i w:val="false"/>
          <w:caps w:val="false"/>
          <w:smallCaps w:val="false"/>
          <w:sz w:val="20"/>
        </w:rPr>
        <w:t xml:space="preserve"> It has a 50kW-hour battery system which can be expanded up to 100 kW-hour energy.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caps w:val="false"/>
          <w:smallCaps w:val="false"/>
          <w:sz w:val="20"/>
        </w:rPr>
        <w:t>Legacy PB3 PowerBuoy</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PB3 has been discontinued. The proprietary technologies that convert the hydrokinetic energy of ocean waves into electricity and lessons learned from the legacy PB# have been incorporated into the NextGen PB as noted above. The legacy PB3 generates a nominal nameplate capacity rating of up to three kilowatts (“kW”) of peak power. Our Energy Storage System (“ESS”) has a capacity of up to a nominal 150 kW-hours to meet specific application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legacy PB3 is designed to generate power for use independent of the power grid in offshore locations. As ocean waves pass the legacy PB3, the rising and falling of the waves are converted into mechanical energy, which in turn, drives the electric generator. The power electronics system then conditions the electrical output which is stored within the 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operation of the legacy PB3 is controlled by our customized, proprietary control system. The control system uses sensors and an onboard computer to continuously monitor the legacy PB3 subsystems. We believe that this ability to optimize and manage the electric power output of the legacy PB3 is a significant advantage of our technology.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Strategy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strategy includes developing integrated solutions and services, including autonomous and cloud-based delivery systems for ocean intelligence, ocean data and predictive analytics to provide actionable intelligence including our product offering Merrows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We also have a number of resellers and strategic alliances, including partnerships recently entered into in the Middle East and U.S., to advance our product and services and gain further adoption from our target markets. Our marketing efforts are focused on offshore locations that require a cost-efficient solution for renewable, reliable, and persistent power, data collection, and communications, either by supplying electric power to payloads that are integrated directly with our products or located in its vicinity, such as on the surface, the seabed, or in the water column. Our recent projects have been primarily focused on military and government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recent market analysis reveals evolving dynamics within the offshore MDA sector, notably influenced by the technological revolution that enhances MDA capabilities through advanced, low-cost unmanned systems. This shift, highlighted by the National Plan to achieve MDA by the Department of Homeland Security (“DHS”) and the Government Accountability Office (“GAO”) in their 2022 ‘Unmanned Maritime Systems’ report on Maritime Security, is further exemplified by the U.S. Coast Guard’s March 2023 Unmanned System Strategic Plan. This plan outlines a vision to effectively employ, defend against, and regulate unmanned systems in maritime operations, underscoring the strategic importance of collaborative international efforts in maritime security. The U.S. is actively encouraging Pacific allies to bolster their maritime surveillance capabilities to counteract regional coercive behaviors, reflecting a broader trend towards democratizing technology to enhance global maritime safety, security, and prosperity. This aligns with our company’s positioning, as our products are well-suited to enable the Coast Guard and other maritime bodies to achieve their mission-critical capabilities in surveillance, detection, classification, identification, and prosecution, which are essential for executing statutory missions. Moreover, large defense contractors’ increasing interest in the “ocean data collection” space, through acquisition of small and mid-size unmanned and autonomous surface vehicle companies, signifies a growing market and application opportunities for our unmanned system offerings. Within the United States, our MDAS deployed on NextGen PB can also be deployed domestically, enhancing our market size.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Unmanned systems are increasingly in demand by defense and security and commercial companies to reduce costs and improve safety in offshore operations. Also, geopolitical developments such as conflict in the Middle East and Eastern Europe demonstrate the need for countries to protect their borders. In addition, the need to protect exclusive economic zones from illegal fishing activities and protect natural resources on the seabed are accelerating the adoption of solutions or technologies that collect, transmit, and synthesize data to provide actionable intelligence and decision-advantage to clients. Our recent operations in Bahrain and in the Asia Pacific region show the broadening geographic opportunity for our services, especially in the defense and security markets. This includes support for other unmanned technologies, such as aerial drones, deployment of underwater vehicles, that can then communicate via PowerBuoy® deployed secure communication links.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regional partnership strategy is a cornerstone of our growth plan, aligning with our broader vision of delivering sustainable, innovative ocean technology solutions while driving long-term value for our shareholders. This strategy includes engaging with regional partners and resellers in order to expand our market reach, accelerate sales cycles, and strengthening our global presence in a cost-effective manner. By partnering with regional resellers, we leverage their deep understanding of local market dynamics, regulatory environments, and customer needs. This enables us to tailor our solutions and better address region-specific challenges and opportunities. Such regional partners and resellers also have established relationships and networks, allowing us to enter new markets more rapidly. This minimizes barriers to entry and reduces the time it takes to secure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Recent global events have highlighted the growing risk of sabotage targeting critical infrastructure, including underwater pipelines and telecommunications cables. Such attacks have the potential to severely disrupt economic activities, compromise national security, and impede global communications. As these threats become more sophisticated, the need for proactive monitoring and deterrence strategies has never been more urgent. We recognize the critical role we play in supporting the security and resilience of maritime infrastructure. Our innovative solutions, such as the PowerBuoy® platform, provide real-time offshore intelligence, surveillance, and reconnaissance capabilities. These systems are equipped with advanced sensors, radar, and acoustic monitoring technologies, enabling the continuous collection and analysis of environmental and operational data. Through integrated communications systems, our platforms offer secure data transmission, allowing for timely detection of suspicious activities near critical assets. In light of the recent sabotage incidents, OPT has intensified its focus on collaborating with governmental agencies, defense organizations, and commercial operators to deploy maritime domain awareness solutions. Our autonomous, renewable energy-powered systems are designed to operate in remote and hard-to-reach areas, providing a sustainable and cost-effective approach to safeguarding vital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focused on serving defense and security organizations, while also targeting offshore wind, science and research, and ports and harbors. Our pipeline continues to grow and comprises primarily participants in defense and security markets. In addition, we continue to see a growing number of commercial opportunities from offshore wind companies for autonomous monitoring, surveillance and survey-related services during various stages of the project development cycle, including initial permitting that can reduce risk in permit obtainment and legal challenge. Further, we are attracting interest targeted toward subsea applications, using proprietary sensor payloads for environmental monitoring and subsea intelligence. We believe that our buoys and WAM-Vs® are uniquely able to deliver these services either as a standalone solutions, together or in combination with other systems. Furthermore, we are becoming a trusted provider of solutions for the hydrography survey market, especially for shallow water operations.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we are now primarily focused on commercial activities. We have built a suite of products that we believe will be the basis for our current and future commercial success resulting in meaningful progress in orders, pipeline, and backlog. 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For the three-month periods ended January 31, 2025 and 2024, the Company had three and two customers, respectively, whose revenue accounted for at least 10% of the Company’s consolidated revenue, respectively. These revenues accounted for approximately 95% and 85% of the Company’s total revenue for the respective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achieve success in ongoing commercialization efforts, we must expand our customer base and obtain commercial contracts to lease or sell our solutions and services to customers. Our potential customer base for our solutions includes various public and private entities, and agencies that require remote offshore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 Contracts and Commercial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commercially notable activities occurred during year to date fiscal</w:t>
      </w:r>
      <w:r>
        <w:rPr>
          <w:rFonts w:ascii="Times New Roman;Times;Serif" w:hAnsi="Times New Roman;Times;Serif"/>
          <w:b w:val="false"/>
          <w:i w:val="false"/>
          <w:caps w:val="false"/>
          <w:smallCaps w:val="false"/>
          <w:color w:val="333333"/>
          <w:sz w:val="20"/>
        </w:rPr>
        <w:t>.</w:t>
      </w:r>
      <w:r>
        <w:rPr>
          <w:rFonts w:ascii="Times New Roman;Times;Serif" w:hAnsi="Times New Roman;Times;Serif"/>
          <w:b w:val="false"/>
          <w:i w:val="false"/>
          <w:caps w:val="false"/>
          <w:smallCaps w:val="false"/>
          <w:sz w:val="20"/>
        </w:rPr>
        <w:t xml:space="preserve">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we participated in NAVDEX in Abu Dhabi alongside Remah International Group (“RIG”), a privately held, UAE-headquartered company specializing in both military and civilian services. This collaboration follows OPT’s appointment of RIG as its exclusive distributor for defense and security solutions in the UAE in late 2024. During NAVDEX, OPT and RIG conducted live demonstrations of the WAM-V® Unmanned Surface Vehicles (“USVs”), showcasing their advanced capabilities, including underwater sensor integration and aerial drone compatibility. Additionally, we exhibited our Next Generation PowerBuoy® and AI-enabled Merrows™ system. These demonstrations highlight OPT’s innovative autonomous ocean security solutions and are expected to accelerate the adoption of AI-capable, resident, and persistent maritime technologies in the region. We are well-positioned to advance multiple opportunities in the UAE and the broader Middle East, aligning with the region’s increasing focus on autonomous defense solutions. Our work at NAVDEX showcased how technologies are designed to meet the operational needs of the UAE Armed Forces, offering drone and swarming capabilities across various domains, including maritime missions.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we announced a new partnership in Latin America, accompanied by two purchase orders totalling $5 million in commitments. These purchase orders encompass both our Next Generation PowerBuoys® and WAM-V® Unmanned Surface Vehicles (USVs). The WAM-V USVs will be deployed for hydrographic applications, leveraging their adaptability and reliability to deliver versatile, multi-application solutions for our customers. Additionally, the PowerBuoys®, which harness a combination of wave, solar, and wind power generation, will enable customers to integrate permanent monitoring and marine intelligence solutions into the existing roaming capabilities we have begun deploying in the region. This strategic partnership highlights the increasing demand for OPTs’ innovative solutions and reinforces our position as a leader in the maritime artificial intelligence robotics sector.</w:t>
            </w:r>
          </w:p>
        </w:tc>
      </w:tr>
    </w:tbl>
    <w:p>
      <w:pPr>
        <w:pStyle w:val="TextBody"/>
        <w:shd w:fill="FEFEFE" w:val="clear"/>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2024 we made significant advancements to our expansion of our defense and security business in the Middle East by signing a Distributor Agreement with Remah International Group (“RIG”), a privately held and UAE headquartered company with a focus on both military and civilian services. The agreement calls for the parties to explore additional expansion and integration of services as demand for OPT’s solutions continues to grow in the UAE. In addition, we signed an agreement with 3B General Trading &amp; Contracting Co. W.L.L. (3B) to explore projects in the offshore energy and maritime industry in Kuwait, including deployment of WAM-V® autonomous and unmanned surface vehicles and Next Generation PowerBuoys® equipped with AI capable Merrows™. We are also actively collaborating with Unique Group (UG) for WAM-V® 22 demonstrations to potential energy and hydrographic survey customers throughout the Middle East. UG will also be modifying the vehicle from gas to diesel-electric outboards per regulatory requirements in oil and gas fields in the region.</w:t>
            </w:r>
          </w:p>
        </w:tc>
      </w:tr>
    </w:tbl>
    <w:p>
      <w:pPr>
        <w:pStyle w:val="TextBody"/>
        <w:shd w:fill="FEFEFE"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September 2024 we announced that we had received a further contract by the Naval Postgraduate School (NPS) in Monterey, California. This contract adds to the deployment of OPT’s PowerBuoy® as part of an ongoing initiative to enhance maritime domain awareness and connectivity in Monterey Bay and demonstrate the use of PowerBuoys® for multi-domain drone and communication integration. Building on the success of the previously announced NPS contract, which included installing AT&amp;T 5G technology on a PowerBuoy®, this new order focuses on integrating advanced subsea sensors into a PowerBuoy® equipped with OPT’s latest Merrows™ suite for AI capable seamless integration of MDA across platforms and utilizing communication technologies from AT&amp;T for NPS.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2024 we announced the signing of the latest of four new reseller agreements targeted at supporting global critical services. These agreements include opportunities for partnering with allied nations in areas like the South China Sea, previously announced efforts in Latin America and the Middle East and serving global commercial markets. These partnerships provide leverage to proactively serve the demand for our autonomous maritime technologies in geographies remote from OPT.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August 2024 we announced a patent pending for our docking and recharging buoy technology, specifically designed for the WAM-V. This advanced system has already been successfully demonstrated, showcasing its potential to revolutionize the operational efficiency and endurance of autonomous surface vessels. This development aligns with our broader strategy to enhance the functionality and versatility of our Merrows </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Platform, bringing artificial intelligence capable solutions to the ocean.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we announced the signing of a reseller agreement with Geos Telecom, a prominent provider of maritime communication and navigation solutions in Costa Rica. This partnership marks a significant expansion of our presence in the Latin American market. We believe this agreement not only enhances our footprint in Latin America but also enables us to deliver advanced USV capabilities to a new customer base.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we announced we had been awarded a contract for immediate delivery of a PowerBuoy equipped with Merrows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in the Midde East. We had previously announced our selection as a preferred supplier for our Merrows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equipped buoys in the region. We believe this order for a solar and wind powered system highlights our ability to provide carbon free, renewable Merrows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platforms in most all marine environments across the globe. Offering field tested technology solutions as complementary building blocks makes it possible for our customers to integrate WAM-Vs and PowerBuoys into their operations and to put configurable ocean intelligence into their hands.</w:t>
            </w:r>
          </w:p>
        </w:tc>
      </w:tr>
    </w:tbl>
    <w:p>
      <w:pPr>
        <w:pStyle w:val="TextBody"/>
        <w:shd w:fill="FEFEFE" w:val="clear"/>
        <w:bidi w:val="0"/>
        <w:spacing w:before="0" w:after="0"/>
        <w:ind w:left="72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2024 we announced the signing of a reseller agreement with Survey Equipment Services, Inc. (“SES”), a specialist in the supply of Marine Survey and Navigation equipment. The agreement focuses on the provision of our WAM-Vs® in the USA. This agreement allows us to leverage SES’s offering of survey and navigation equipment and deploy WAM-V’s® to SES’s customer base.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we announced a partnership with Unique Group (“Unique”), a UAE headquartered global innovator in subsea technologies and engineering, offering multiple products and services to customers in a range of industry sectors. Unique has more than 600 employees and 20 operational bases around the world. Unique Group will collaborate with OPT to deploy our WAM-V in the UAE and other countries in the Gulf Collaboration Council (“GCC”) region. Integrating our commercially available vehicles with Unique’s leading position in the offshore energy industry in the UAE will accelerate the adoption of USVs in the region. Working with Unique Group will further facilitate our efforts to deploy USVs globally.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2024 we announced the signing of an OEM agreement with Teledyne Marine, a division of Teledyne Technologies Inc. (NYSE: TDY) (“Teledyne”), a key supplier in the maritime technology inclusive of connectors, instruments, and vehicles. This strategic partnership aims to enhance our product offerings and drive innovation within the industry providing customers with a turnkey system. This agreement allows us to leverage Teledyne’s best-in-class offerings to deliver superior sensor and ocean technology products to our customers.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2024 we announced we launched our Global 24/7 Service Support (“Services”). We were already servicing its Artificial Intelligence Capable Maritime Domain Awareness Solution, Merrows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in regions such as Latin America and Sub-Saharan Africa. The new Services offering gives customers the opportunity for 24/7 support with tiered options to maintain operations around the globe. This new Services offering enables our customers to choose from a menu of options and determine the most cost-effective way to operate our PowerBuoys and USVs.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solutions are best developed, sold, deployed, and maintained together with subject matter experts in their respective fields. This enables the Company to protect, maintain, and evolve our various platforms and integrate them with surface and subsea payloads. The Company has previously entered into business relationships focused on including, but not limited to, deployment and installations, sourcing of surface payloads, and integration with autonomous vehicles. To augment our own internal software development team and further develop the MDAS, we maintain ongoing strategic software and robotics partnerships with software companies. We believe the business relationships with these software companies will further the development, alongside our internal technology resources, of our next-generation MDAS product for the maritime industrial market and governmental defense and security organizations.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finalizing the transition from our third-party software company to our internal software team, allowing us to have faster response to customer needs and more significant control over our MDAS solution. In addition, our internal software team will be supporting a more integrated solution between the PB and WAM-V products, moving the Merrows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initiative forward. The platform will continue to have a flexible architecture that allows the Company to integrate new sensor technologies and third-party analytics capabilities and share MDAS data with customers and partners. We also keep in contact with several offshore specialists and marine operations partners globally to support our deployment, maintenance, and recovery operations and projects.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first nine months of fiscal 2025, we have continued to advance our marketing programs, products, and solutions (including Merrows </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noted above). We intend to build on these efforts by introducing additional processes and making investments in appropriate human capital, operations, and manufacturing capabilities. In support of our focus on the national security and defense markets, we have developed a defense specific sales team, including veterans from the U.S. Navy and Swedish Navy.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the Company’s potential customers are in areas of defense and security, hydrographic survey, offshore wind, offshore and coastal communication networks, and MDA, including mitigation of IUU fishing, where the end use may be both domestic and abroad.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demonstration projects have been a requisite step towards broad solution deployment and revenue associated with specific applications such as our New Jersey MDAS test array as part of our DaaS solution and to highlight these capabilities. Customers may want their own dedicated demonstration depending on customer needs. During a typical demonstration project’s specification, negotiation and evaluation period, we are often subject to the prospective customer’s vendor qualification process, which entails substantial due diligence of the Company and its capabilities. Such demonstrations are often a required step prior to leasing and may include negotiation of standard terms and conditions. Many proposals contain provisions which would provide the option to purchase or lease our PowerBuoy® or WAM-V® product upon successful conclusion of the demonstration project. The Company maintains access to WAM-Vs® assets for demonstrations and has successfully demonstrated the capabilities of many of its solutions on its own or in customer-sponsored evaluation projects and remains focused on further demonstrations to build customer awareness and confidence in our products and services and ultimately to drive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pursuing a long-term growth strategy to expand its market value proposition while growing the Company’s revenue base. This strategy includes partnerships with leading companies and organizations in adjacent and complementary markets. We continue to refine NextGen PB and WAM-V® products for use in offshore power, data acquisition, and real-time data communications applications, and to achieve this goal, we are pursuing the following business objectives: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integrated turn-key solutions, purchases or leases. We also provide Contractor-Owned, Contractor-Operated (COCO) solutions whereby OPT owns and operates the equipment and GOCO Government-Owned, Contractor-Operated (GOCO) solutions whereby the government retains ownership of the equipment but OPT is hired to manage and operate it. We believe our DaaS, RaaS and PaaS solutions, together with our platforms, are well suited to enable unmanned, autonomous (non-grid connected) offshore applications, such as intelligence, surveillance, and reconnaissance (ISR), mine counter measure operations, topside and subsea surveillance and communications, surveying, subsea equipment monitoring, early warning systems platform, subsea power and buffering, and weather and climate data collection. We have investigated and realized market demand for some of these solutions, and we intend to sell and/or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 cycle. As our MDAS development continues, we expect that this will also include data and cloud services, as well as Counter Unmanned Underwater Vehicle (“CUUV”) WAM-V ® capability. CUUV represents emerging technologies designed to detect, track, and neutralize unmanned underwater vehicles and is an important area of growth in ensuring maritime security. Recent demonstrations successfully showcased the ability to detect multiple underwater threats, including singular and swarming micro–AUV.</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customer system solution offerings through new complementary products that enable more cost-efficient deployments that make shorter missions more feasible. We are continuously innovating new solutions to deliver enhanced value to our customers, such as enhancing our MDAS and improving our deployment platforms solutions, such as our PowerBuoys® and WAM-Vs®. We have substantially completed development of our next generation PowerBuoy</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that incorporates wave, wind, and solar power generation capabilities in a robust yet cost effective system that supports shorter term missions as well as the ability to operate in near shore and low wave environments. This effort was partially funded by the DOE SBIR Phase II award. In addition, we have integrated PowerBuoy® and WAM-V® capabilities, including WAM-V® recharging from a PowerBuoy®, with future plans to integrate MDAS capabilities into our WAM-Vs®, thus extending our reach and providing both fixed and mobile MDAS offerings to our customers.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Focus WAM-Vs® on the defense and security, hydrographic survey, and surveillance industries. We are well positioned to capitalize on the growing demand for unmanned surface vehicles to provide maritime safety, security, and awareness of what is happening in the maritime domain, including surveillance, detection, classification, and identification. The ability of our WAM-Vs® to handle various payloads allows us to target navigation surveys, marine infrastructure surveys, berth clearance surveys, dredging surveys, and mining pit surveys. Near-term future markets for our WAM-Vs® include the use of WAM-Vs® for the launch of aerial drones and underwater survey equipment, including our partnership with </w:t>
            </w:r>
            <w:r>
              <w:rPr>
                <w:rFonts w:ascii="Times New Roman;Times;Serif" w:hAnsi="Times New Roman;Times;Serif"/>
                <w:b w:val="false"/>
                <w:i w:val="false"/>
                <w:caps w:val="false"/>
                <w:smallCaps w:val="false"/>
                <w:sz w:val="20"/>
                <w:u w:val="single"/>
              </w:rPr>
              <w:t>Red Cat Holdings, Inc.</w:t>
            </w:r>
            <w:r>
              <w:rPr>
                <w:rFonts w:ascii="Times New Roman;Times;Serif" w:hAnsi="Times New Roman;Times;Serif"/>
                <w:b w:val="false"/>
                <w:i w:val="false"/>
                <w:caps w:val="false"/>
                <w:smallCaps w:val="false"/>
                <w:sz w:val="20"/>
              </w:rPr>
              <w:t xml:space="preserve"> (Nasdaq: RCAT) to deploy Teal 2 Drones as part of their strategy to leverage autonomous vehicles to assess and address maritime threats in real time. This collaboration adds to our robust tactical ecosystem of partnerships with leading companies to provide the best solutions to clients for their tactical missions.WAM-Vs® are easily and economically shipped via land, air, or sea, and their modular design enables us to quickly reduce their size for storage or shipment. The ability to disassemble a WAM-V® reduces the footprint by as much as 75%, and as a result, a 20-foot container can hold four 16-foot WAM-Vs®. In addition, our 8-foot WAM-V® can be checked as baggage on a standard commercial flight. To integrate our solutions and add roaming as an option or enhancement to our MDAS, we are advancing developments to further integrate MDAS into the WAM-V® platform and develop additional autonomy capabilities.</w:t>
            </w:r>
          </w:p>
        </w:tc>
      </w:tr>
    </w:tbl>
    <w:p>
      <w:pPr>
        <w:pStyle w:val="TextBody"/>
        <w:bidi w:val="0"/>
        <w:spacing w:before="0" w:after="0"/>
        <w:ind w:left="720" w:right="0" w:hanging="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Focus sales efforts on key global markets in the U.S., Middle East, Latin America, and Sub-Saharan Africa. While we are marketing our products and services globally, we have focused on several key markets and applications, including U.S. and foreign defense and security applications with our MDAS offering; and the hydrographic survey market with regard to our WAM-Vs®. We believe that each of these areas has demand for our solutions, sizable end market opportunities, and high levels of industrialization and economic development. Our headquarters in Monroe Township, New Jersey and our office in Richmond, California enable us to support the geographic diversity of our customers and strengthen our dialogue with our solution partners located on both the east and west coasts of the U.S.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our relationships in key market areas through strategic partnerships and collaborations. We believe that strategic partners are an important part of expanding visibility to our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We have been actively pursuing additional opportunities to bring in-house skills, capabilities, and solutions that are complementary to our strategy and enable us to scale more quickly.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 with fabrication, deployment and service contractors. In order to minimize our capital requirements as we scale our business, we intend to optimize and utilize state of the art fabrication, anchoring, mooring, cabling supply, and in some cases, deployment of our products and solutions. We believe this domestically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Expand survey and security market applications. Through our WAM-V® products, we can increase our ability to lease vehicles specifically to support shoreline and offshore survey markets as well as security applications while integrating MDA into these solutions.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January 31, 2025, the Company incurred a net loss of approximately $15.1 million and used cash in operations of approximately $14.6 million.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(including recent litigation noted above), and deployment risks and integration of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2024, the Company entered into an At-the-Market Offering Agreement with an aggregate offering price of up to $7.0 million (the “2023 ATM Facility”). On August 30, 2024 the aggregate offering price under the 2023 ATM Facility was increased to approximately $16.0 million. It was then reduced to approximately $2.9 million in September 2024 and increased again to approximately $60.0 million in December 2024. As of January 31, 2025, the Company had received proceeds of approximately $16.8 million under this facility and an additional $0.9 million between January 31, 2025 and March 16,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First Registered Direct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entered into a common stock purchase agreement (the “First RDO Purchase Agreement”) with an institutional accredited investor for the sale (the “First Offering”) by the Company of shares (the “First RDO Shares”) of the Company’s common stock, par value $0.001 per share (the “Common Stock”), for aggregate gross proceeds of $1.5 million, before deducting offering expenses payable by the Company. The First RDO Shares were issued upon issuance of a funding notice by the Company to the investor. The First RDO Shares were issued at a price per share equal to 80% of the lowest traded price of the Common Stock ten days prior to the closing date for the purchase of the shares. In addition, the Company has the right, but not the obligation, to sell to this investor up to an additional $3.5 million of shares of Common Stock on the same pricing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RDO Purchase Agreement contained customary representations, warranties and agreements by the Company and customary conditions for closing. Pursuant to the First RDO Purchase Agreement, the Company also agreed to indemnify the purchaser against certain liabilities, including liabilities under the Securities Act and liabilities arising from breaches of representations and warranties contained therein. The First RDO Purchase Agreement also included a covenant on the investor to vote their shares of common stock in favor of all Company director nominees and other proxy proposals, but only for so long as the investor owns more than 5% of the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Second Registered Direct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2024, the Company also entered into a common stock purchase agreement (the “Second RDO Purchase Agreement”) with a separate institutional accredited investor for the sale (the “Second Offering”) by the Company of shares (the “Second RDO Shares”) of the Common Stock, for aggregate gross proceeds of $1.5 million, before deducting offering expenses payable by the Company. The Second RDO Shares were issued upon issuance of a funding notice by the Company to the investor. The Second RDO Shares were issued at a price per share equal to 80% of the lowest traded price of the Common Stock five days prior to the closing date for the purchase of the shares. In addition, the Company has the right, but not the obligation, to sell to this investor up to an additional $2.5 million of shares of Common Stock on the same pricing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RDO Purchase Agreement contains customary representations, warranties and agreements by the Company and customary conditions to closing. Pursuant to the Second RDO Purchase Agreement, the Company also agreed to indemnify the purchaser against certain liabilities, including liabilities under the Securities Act and liabilities arising from breaches of representations and warranties contained therein. The Second RDO Purchase Agreement also included a covenant on the investor to vote their shares of common stock in favor of all Company director nominees and other proxy proposals, but only for so long as the investor owns more than 5% of the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the net proceeds from the First RDO Purchase Agreement and the Second RDO Purchase Agreement to build additional products and solutions to meet market demand, further advance the development of new products and solutions, engage in corporate development and merger and acquisition activities, for working capital needs, capital expenditures, repayment or refinancing of indebtedness, repurchases and redemptions of securities, and for other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cash balance may not be sufficient to fund its planned expenditures through March 2026. 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Debt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2024, the Company entered into a securities purchase agreement (the “Securities Purchase Agreement”) with an institutional investor (the “Investor”) under which the Company agreed to issue and sell, in one or more registered public offerings by the Company directly to the Investor (the “Offering”), senior convertible notes for up to an aggregate principal amount of $54.0 million (the “Notes”) that will be convertible into shares of the Company’s common stock. On December 20, 2024 (the “Initial Closing Date”), the Company issued and sold to the Investor a Note in the original principal amount of $4.0 million (the “Initial Note”). Upon our filing of one or more additional prospectus supplements, and our satisfaction of certain other conditions, the Securities Purchase Agreement contemplates additional closings of up to $50 million in aggregate principal amount of additional Notes, upon mutual agreement of the Company and the Investor. The Securities Purchase Agreement contains customary representations, warranties and covenants. It also grants the Investor the right to participate in certain future equity and equity-linked transactions of the Company from the Initial Closing Date through the 3-year anniversary thereof, as well as certain anti-dilution rights applicable to the Notes. No Note may be converted to the extent that such conversion would cause the then holder of such Note to become the beneficial owner of more than 4.99%, or, at the option of such holder, 9.99% of the then outstanding common stock, after giving effect to such conversion (the “Beneficial Ownership Cap”).</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 was issued with an original issue discount of 9.5%, resulting in $3.6 million of proceeds to the Company, before fees and expenses of approximately $0.4 million. Each Note will bear interest at a rate of 12.5% per annum, which shall compound on the first calendar day of each calendar quarter and increase the principal amount of the Notes on a dollar-for-dollar basis. Upon the occurrence and during the continuance of an event of default, the interest rate on the Notes will increase to 17.5% per annum. Unless earlier converted, the Notes will mature on the eighteen-month anniversary of their respective issuance dates. All amounts due under the Notes are convertible at any time, in whole or in part, and subject to the Beneficial Ownership Cap, at the option of the holders into shares of common stock at a conversion price equal to the lower of the closing price of the common stock on the trading day prior to each closing plus a 15% premium (the “Reference Price”) or 90% of the volume weighted average price of the common stock during the seven trading days ending and including the trading day immediately preceding the delivery or deemed delivery of the applicable conversion notice. Upon the satisfaction of certain conditions, we may prepay outstanding Notes upon not less than 20 business days nor more than 30 business days’ written notice by paying an amount equal to the face value of the Notes at premium of 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Note contains certain terms and conditions which management evaluated as potential embedded derivatives. Management determined that the optional conversion feature is not clearly and closely related to the debt host instrument, and therefore requires bifurcation and separate accounting. We determined the fair value of the embedded derivative as approximately $0.4 million and recorded it as a discount to the debt and a derivative liability on the date of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converted all of the outstanding principal and accrued interest under the Initial Note to common stock during December 2024, resulting in the issuance of 15,442,429 common shares at an average conversion price of $0.26 per share. Interest expense during the time the Initial Note was outstanding was immaterial. The Company recognized a loss on extinguishment resulting from the conversion, which is presented as a separate line item in the Company’s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January 31, 2025, the Company’s backlog was $7.5 million as compared to $3.3 million as of January 31, 2024. Our backlog includes unfilled firm orders for our products and services from commercial or governmental customers. If any of our contracts were to be terminated, our backlog would be reduced by the expected value of the remaining terms of such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contract backlog is not necessarily indicative of future revenue because modifications to or terminations of present contracts and production delays can provide additional revenue or reduce anticipated revenue. A portion of our revenue is recognized using the input method used to measure progress towards completion of our customer contracts over time, and changes in estimates from time to time may have a significant effect on revenue and backlog. Our backlog is subject to large variations from time to time due to the timing of new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accounting policies are critical to understanding our historical and future performance, as these policies relate to the more significant areas involving management’s judgments and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following accounting policy requires significant judgment and estimates by us in the preparation of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our critical accounting estimates, see the section entitled Item 7. “Management’s Discussion and Analysis of Financial Condition and Results of Operations” in our Annual Report on Form 10-K for the year ended April 30, 2024. There were no material changes to our critical accounting estimates or accounting policies during the three and nine months ended January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January 31, 2025 or 2024. The Company presents shipping and handling costs, that occur after control of the promised goods or services transfer to the customer, as fulfilment costs in costs of goods sold and regular shipping and handling activities charged to 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nine-month period ended January 31, 2025, the Company recognized approximately $4.0 million in revenue related to performance obligations satisfied at a point in time and approximately $0.5 million in revenue related to performance obligations satisfied over time. During the three month period ended January 31, 2025, the Company recognized approximately $0.4 million in revenue related to performance obligations satisfied at a point in time and approximately $0.4 million in revenue related to performance obligations satisfied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contracts are either cost-plus contracts, fixed-price contracts, time and material agreements, lease or service agreements. Under cost plus contracts, customers are billed for actual expenses incurred plus an agreed-upon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 sharing contracts, an amount corresponding to the revenue is recorded in cost of revenue, resulting in gross profit on these contracts of zero. The Company’s share of the costs is recorded as product development expense. The Company reports its disaggregation of revenue by contract type since this method best represents the Company’s business. For the three- and nine-month periods ended January 31, 2025 and 2024, the majority of the Company’s contracts were classified as firm fixed-price and the balance were cost-sharing.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also includes revenue from certain contracts which do not fall within the scope of ASC 606, but under the scope of ASC 842. At inception of a contract for those classified under ASC 842,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 in the Consolidated Statement of Operations. The Company also enters into lease arrangements for its PowerBuoys® and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Financial Accounting Standards Board (“FASB”) issued Accounting Standards Update (“ASU”) No. 2023-09, Income Taxes (Topic 740): Improvements to Income Tax Disclosures (“ASU 2023-09”), which improves the transparency of income tax disclosures by requiring companies to (1) 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FASB issued ASU No. 2023-07, “Segment Reporting (Topic 280): Improvements to Reportable Segment Disclosures.” This ASU improves financial reporting by requiring disclosure of incremental segment information. The new guidance is effective for fiscal years beginning after December 15, 2023, and interim periods within fiscal years beginning after December 15, 2024. Early adoption is permitted. The guidance was effective for the Company on May 1, 2024. The Company expects to provide incremental qualitative segment-related disclosures beginning with the Company’s Annual Report on Form 10-K for the fiscal year ended April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No. 2024-3, “Income Statement - Reporting Comprehensive Income - Expense Disaggregation Disclosures (Subtopic 220-40): Disaggregation of Income Statement Expenses.” This ASU improves the disclosures about a public business entity’s expenses and address requests from investors for more detailed information about the types of expenses in commonly presented expense captions. The new guidance is effective for fiscal years beginning after December 15, 2026, and interim periods within fiscal years beginning after December 15, 2027. Early adoption is permitted. We are currently evaluating what the potential impact of adopting this ASU 2024-03 could have on our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certain line items in our statement of operations and some of the factors that affect our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focus our sales efforts in key global markets in North America, South America, Europe and Asia. The following table shows the percentage of our revenues by geographical location of our customers for the three and nine months ended January 31, 2025 and 2023.</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0"/>
        <w:gridCol w:w="60"/>
        <w:gridCol w:w="174"/>
        <w:gridCol w:w="1092"/>
        <w:gridCol w:w="617"/>
        <w:gridCol w:w="172"/>
        <w:gridCol w:w="174"/>
        <w:gridCol w:w="1092"/>
        <w:gridCol w:w="215"/>
        <w:gridCol w:w="60"/>
        <w:gridCol w:w="167"/>
        <w:gridCol w:w="1050"/>
        <w:gridCol w:w="593"/>
        <w:gridCol w:w="165"/>
        <w:gridCol w:w="167"/>
        <w:gridCol w:w="1050"/>
        <w:gridCol w:w="237"/>
      </w:tblGrid>
      <w:tr>
        <w:trPr/>
        <w:tc>
          <w:tcPr>
            <w:tcW w:w="3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January 31,</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January 31,</w:t>
            </w:r>
          </w:p>
        </w:tc>
        <w:tc>
          <w:tcPr>
            <w:tcW w:w="237" w:type="dxa"/>
            <w:tcBorders/>
            <w:vAlign w:val="center"/>
          </w:tcPr>
          <w:p>
            <w:pPr>
              <w:pStyle w:val="TableContents"/>
              <w:bidi w:val="0"/>
              <w:spacing w:before="0" w:after="283"/>
              <w:jc w:val="left"/>
              <w:rPr/>
            </w:pPr>
            <w:r>
              <w:rPr/>
              <w:t> </w:t>
            </w:r>
          </w:p>
        </w:tc>
      </w:tr>
      <w:tr>
        <w:trPr/>
        <w:tc>
          <w:tcPr>
            <w:tcW w:w="31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Customer Location*</w:t>
            </w:r>
          </w:p>
        </w:tc>
        <w:tc>
          <w:tcPr>
            <w:tcW w:w="60" w:type="dxa"/>
            <w:tcBorders/>
            <w:vAlign w:val="center"/>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17"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6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59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237" w:type="dxa"/>
            <w:tcBorders/>
            <w:vAlign w:val="center"/>
          </w:tcPr>
          <w:p>
            <w:pPr>
              <w:pStyle w:val="TableContents"/>
              <w:bidi w:val="0"/>
              <w:spacing w:before="0" w:after="283"/>
              <w:jc w:val="left"/>
              <w:rPr/>
            </w:pPr>
            <w:r>
              <w:rPr/>
              <w:t> </w:t>
            </w:r>
          </w:p>
        </w:tc>
      </w:tr>
      <w:tr>
        <w:trPr/>
        <w:tc>
          <w:tcPr>
            <w:tcW w:w="3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6" w:type="dxa"/>
            <w:gridSpan w:val="2"/>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266"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North America &amp; South America</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w:t>
            </w:r>
          </w:p>
        </w:tc>
        <w:tc>
          <w:tcPr>
            <w:tcW w:w="6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9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w:t>
            </w:r>
          </w:p>
        </w:tc>
        <w:tc>
          <w:tcPr>
            <w:tcW w:w="5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w:t>
            </w:r>
          </w:p>
        </w:tc>
        <w:tc>
          <w:tcPr>
            <w:tcW w:w="2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2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EMEA</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w:t>
            </w:r>
          </w:p>
        </w:tc>
        <w:tc>
          <w:tcPr>
            <w:tcW w:w="6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5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2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2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Asia &amp; Australia</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9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59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2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31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61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72"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59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65"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For U.S. Government contracts, the revenue is classified as North American however, location of operations may differ.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consists primarily of subcontracts, incurred material, labor and manufacturing overhead expenses, such as engineering expense, equipment depreciation, maintenance, and facility related expenses, and includes the cost of equipment to customize the PowerBuoy®, WAM-V® and our other products supplied by third-party suppliers. Cost of revenue also includes PowerBuoy® and other product system delivery and deployment expenses and may include losses recorded at the time a loss is forecasted to be incurred on a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Engineering and product development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engineering and product enhancement costs consist of salaries and other personnel-related costs and the costs of products, materials and outside services used in our product enhancement and unfunded research activities. Our product enhancement costs relate primarily to our efforts to increase the power output and reliability of our PowerBuoy® system and other products, to enhance and optimize data monitoring and controls systems, and the development of new products, product applications and complementary technologies. We expense all of these costs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costs consist primarily of professional fees, salaries, share-based compensation and other personnel-related costs for employees and consultants engaged in sales and marketing of our products, and costs for executive, accounting and administrative personnel, professional fees and other general corporate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net consists of interest received on cash, cash equivalents, and short-term investments and interest paid on certain obligations to third parties as well as amortization expense related to the premiums on the purchase of short-term investments.</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gain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transact business in various countries and have exposure to fluctuations in foreign currency exchange rates. Since we conduct our business in U.S. dollars and our functional currency is the U.S. dollar, our main foreign exchange exposure, if any, results from changes in the exchange rate between the U.S. dollar and transactions settled in foreign 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completed the process of winding down its Australian subsidiary during fiscal 2024. The Company began the process of winding down its UK subsidiary during fiscal 2024 and expects this to be completed during fiscal 2025. The unrealized gains or losses resulting from foreign currency balances translation are included in Accumulated Other Comprehensive Loss within Shareholders’ Equity. Foreign currency transaction gains and losses are recognized within our Consolidated Statements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do not hedge our exchange rate exposure. However, we assess the anticipated foreign currency working capital requirements and capital asset acquisitions of our foreign operations and assess the need and cost to utilize financial instruments to hedge currency exposures on an ongoing basis and may hedge against exchange rate exposure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should be read in conjunction with the discussion below under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Three months ended January 31, 2025 compared to the three months ended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selected statement of operations information, which serves as the basis of the discussion of our results of operations for the three months ended January 31, 2025 and 2024.</w:t>
      </w:r>
    </w:p>
    <w:p>
      <w:pPr>
        <w:pStyle w:val="TextBody"/>
        <w:bidi w:val="0"/>
        <w:spacing w:before="0" w:after="0"/>
        <w:ind w:left="0" w:right="0" w:hanging="0"/>
        <w:jc w:val="left"/>
        <w:rPr>
          <w:caps w:val="false"/>
          <w:smallCaps w:val="false"/>
        </w:rPr>
      </w:pPr>
      <w:r>
        <w:rPr>
          <w:caps w:val="false"/>
          <w:smallCaps w:val="false"/>
        </w:rPr>
        <w:t> </w:t>
      </w:r>
    </w:p>
    <w:tbl>
      <w:tblPr>
        <w:tblW w:w="8067" w:type="dxa"/>
        <w:jc w:val="left"/>
        <w:tblInd w:w="0" w:type="dxa"/>
        <w:tblLayout w:type="fixed"/>
        <w:tblCellMar>
          <w:top w:w="0" w:type="dxa"/>
          <w:left w:w="0" w:type="dxa"/>
          <w:bottom w:w="0" w:type="dxa"/>
          <w:right w:w="0" w:type="dxa"/>
        </w:tblCellMar>
      </w:tblPr>
      <w:tblGrid>
        <w:gridCol w:w="4505"/>
        <w:gridCol w:w="60"/>
        <w:gridCol w:w="278"/>
        <w:gridCol w:w="1264"/>
        <w:gridCol w:w="189"/>
        <w:gridCol w:w="119"/>
        <w:gridCol w:w="278"/>
        <w:gridCol w:w="1264"/>
        <w:gridCol w:w="11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 January 31,</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8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2" w:type="dxa"/>
            <w:gridSpan w:val="2"/>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1542"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825</w:t>
            </w:r>
          </w:p>
        </w:tc>
        <w:tc>
          <w:tcPr>
            <w:tcW w:w="18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1,792</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628</w:t>
            </w:r>
          </w:p>
        </w:tc>
        <w:tc>
          <w:tcPr>
            <w:tcW w:w="1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979</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197</w:t>
            </w:r>
          </w:p>
        </w:tc>
        <w:tc>
          <w:tcPr>
            <w:tcW w:w="18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813</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6,0</w:t>
            </w:r>
            <w:r>
              <w:rPr>
                <w:rFonts w:ascii="Times New Roman;Times;Serif" w:hAnsi="Times New Roman;Times;Serif"/>
              </w:rPr>
              <w:t>72</w:t>
            </w:r>
          </w:p>
        </w:tc>
        <w:tc>
          <w:tcPr>
            <w:tcW w:w="18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8,551</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from change in fair value of consideration</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(5,875</w:t>
            </w:r>
          </w:p>
        </w:tc>
        <w:tc>
          <w:tcPr>
            <w:tcW w:w="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(7,705</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 net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w:t>
            </w:r>
          </w:p>
        </w:tc>
        <w:tc>
          <w:tcPr>
            <w:tcW w:w="18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 (expense), net</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w:t>
            </w:r>
          </w:p>
        </w:tc>
        <w:tc>
          <w:tcPr>
            <w:tcW w:w="18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jc w:val="left"/>
              <w:rPr/>
            </w:pPr>
            <w:r>
              <w:rPr/>
              <w:t> </w:t>
            </w:r>
          </w:p>
        </w:tc>
        <w:tc>
          <w:tcPr>
            <w:tcW w:w="126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disposal of assets</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pPr>
            <w:r>
              <w:rPr/>
              <w:t>—</w:t>
            </w:r>
          </w:p>
        </w:tc>
        <w:tc>
          <w:tcPr>
            <w:tcW w:w="189"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126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exchange gain</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8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w:t>
            </w:r>
          </w:p>
        </w:tc>
        <w:tc>
          <w:tcPr>
            <w:tcW w:w="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 w:type="dxa"/>
            <w:tcBorders/>
            <w:shd w:fill="FFFFFF" w:val="clear"/>
            <w:vAlign w:val="center"/>
          </w:tcPr>
          <w:p>
            <w:pPr>
              <w:pStyle w:val="TableContents"/>
              <w:bidi w:val="0"/>
              <w:spacing w:before="0" w:after="283"/>
              <w:jc w:val="left"/>
              <w:rPr/>
            </w:pPr>
            <w:r>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(7,763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w:t>
            </w:r>
          </w:p>
        </w:tc>
        <w:tc>
          <w:tcPr>
            <w:tcW w:w="60"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89"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jc w:val="left"/>
              <w:rPr/>
            </w:pPr>
            <w:r>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1,254</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(6,720</w:t>
            </w:r>
          </w:p>
        </w:tc>
        <w:tc>
          <w:tcPr>
            <w:tcW w:w="18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9" w:type="dxa"/>
            <w:tcBorders/>
            <w:shd w:fill="FFFFFF" w:val="cle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(6,509</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three months ended January 31, 2025 and 2024 were approximately $0.8 million and $1.8 million, respectively. The year-over-year decrease primarily related to the timing of deliveries on current year projects versus the prior year contracts of WAM-Vs.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three months ended January 31, 2025 and 2024 decreased to $0.6 million from $1.0 million, respectively. The year-over-year decrease is related primarily to revenue decreases and changes in product mix, with the current year’s quarterly revenue containing a larger amount of third-party equipment, which carry lower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from change in fair value of contingent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from change in fair value of contingent consideration for the three months ended January 31, 2025 and 2024 was zero and a $33,000 decrease in the liabilities value, respectively. The prior year amount was due to changes in actual and forecasted bookings relating to the MAR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months ended January 31, 2025 and 2024 were $6.0 million and $8.6 million, respectively. The decrease of approximately $2.6 million was primarily the result of the significant cost reduction activities we implemented at the end of fiscal 2024 including headcount optimization, material reductions in third party spend, and efforts to tightly control and contain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for the three months ended January 31, 2025 and 2024 was less than $6,000 and $151,000, respectively, with the decrease primarily related to lower investment balances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extinguishment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extinguishment of debt of $0.8 million as of January 31, 2025 relates to convertible notes issued in December 2024 that were converted to common stock in December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disposition of assets of $0.2 million as of January 31, 2024 relates to the disposal of intangible and fixed assets related to the disposition of 3Dent Technology, LLC in November of 2023.</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Nine months ended January 31, 2025 compared to the nine months ended January 31,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selected statement of operations information, which serves as the basis of the discussion of our results of operations for the nine months ended January 31, 2025 and 2024.</w:t>
      </w:r>
    </w:p>
    <w:p>
      <w:pPr>
        <w:pStyle w:val="TextBody"/>
        <w:bidi w:val="0"/>
        <w:spacing w:before="0" w:after="0"/>
        <w:ind w:left="0" w:right="0" w:hanging="0"/>
        <w:jc w:val="center"/>
        <w:rPr>
          <w:caps w:val="false"/>
          <w:smallCaps w:val="false"/>
        </w:rPr>
      </w:pPr>
      <w:r>
        <w:rPr>
          <w:caps w:val="false"/>
          <w:smallCaps w:val="false"/>
        </w:rPr>
        <w:t> </w:t>
      </w:r>
    </w:p>
    <w:tbl>
      <w:tblPr>
        <w:tblW w:w="7932" w:type="dxa"/>
        <w:jc w:val="left"/>
        <w:tblInd w:w="0" w:type="dxa"/>
        <w:tblLayout w:type="fixed"/>
        <w:tblCellMar>
          <w:top w:w="0" w:type="dxa"/>
          <w:left w:w="0" w:type="dxa"/>
          <w:bottom w:w="0" w:type="dxa"/>
          <w:right w:w="0" w:type="dxa"/>
        </w:tblCellMar>
      </w:tblPr>
      <w:tblGrid>
        <w:gridCol w:w="4505"/>
        <w:gridCol w:w="60"/>
        <w:gridCol w:w="234"/>
        <w:gridCol w:w="1265"/>
        <w:gridCol w:w="159"/>
        <w:gridCol w:w="100"/>
        <w:gridCol w:w="234"/>
        <w:gridCol w:w="1265"/>
        <w:gridCol w:w="11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Nine months ended January 31,</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4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9" w:type="dxa"/>
            <w:gridSpan w:val="2"/>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49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4,545</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3,953</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Cost of revenues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3,106</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1,989</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margin</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1,439</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1,964</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expenses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15,702</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24,648</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Gain from change in fair value of consideration</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Operating loss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(14,263</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(22,567</w:t>
            </w:r>
          </w:p>
        </w:tc>
        <w:tc>
          <w:tcPr>
            <w:tcW w:w="11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 net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760</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 income</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(838</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on disposition of assets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pPr>
            <w:r>
              <w:rPr/>
              <w:t>—</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26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Foreign exchange gain</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5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Loss before income taxes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(15,085</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(22,015</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45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Income tax benefit</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3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1,254</w:t>
            </w:r>
          </w:p>
        </w:tc>
        <w:tc>
          <w:tcPr>
            <w:tcW w:w="11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(15,085</w:t>
            </w:r>
          </w:p>
        </w:tc>
        <w:tc>
          <w:tcPr>
            <w:tcW w:w="15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 w:type="dxa"/>
            <w:tcBorders/>
            <w:shd w:fill="FFFFFF" w:val="cle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26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(20,761</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nine months ended January 31, 2025 and 2024 were approximately $4.5 million and $4.0 million, respectively. The year-over-year increase primarily reflects higher levels of revenue stemming from the sales and leases of WAM-Vs.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for the nine months ended January 31, 2025 and 2024 increased to $3.1 million from $2.0 million, respectively. The year-over-year increase is related to an increase in revenue and a change in product mix, with the current year’s quarterly revenue containing a larger amount of third-party equipment, and associated lower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 from change in fair value of contingent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contingent consideration for the nine months ended January 31, 2025 and 2024 was zero and a $0.1 million decrease in the liabilities value, respectively. The prior year amount was due to changes in actual and forecasted bookings relating to the MAR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nine months ended January 31, 2025 and 2024 were $15.7 million and $24.6 million, respectively. The decrease of approximately $8.9 million was primarily the result of the significant cost reduction activities we implemented at the end of fiscal 2024 including headcount optimization, material reductions in third party spend, and efforts to tightly control and contain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for the nine months ended January 31, 2025 and 2024 was $13,000 and $760,000, respectively, with the decrease primarily related to lower investment balances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for the nine months ended January 31, 2025 and 2024 was $4,000 and zero, respectively. The 2025 balance is related to proceeds received from the sale of fixed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on extinguishment of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extinguishment of debt of $0.8 million as of January 31, 2025 relates to convertible notes that were issued in December 2024 and were converted to common stock in December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br/>
        <w:t>Loss on disposition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loss on disposition of assets of $0.2 million as of January 31, 2024 relates to the disposal of intangible and fixed assets related to the disposition of 3Dent Technology, LLC in November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relate primarily to working capital needed to operate and grow our business including funding operating expenses. We have experienced and continue to experience negative cash flows from operations and net losses. The Company incurred net losses of $15.1 million and $20.8 million for the nine months ended January 31, 2025 and 2024, respectively. Refer to “Liquidity Outlook” below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January 31, 2025, net cash flows used in operating activities was $14.6 million, a reduction of cash used in operating activities of $10.1 million compared to net cash used in operating activities during the nine months ended January 31, 2024 of $24.7 million. This primarily reflects a decrease in the net loss, of $5.9 million and increases in the current year on non-cash expenses, such as depreciation and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in)/provided by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during the nine months ended January 31, 2025 was ($350,000), compared to $22.5 million cash provided by investing activities during the nine months ended January 31, 2024, a change of $22.1 million. The net cash of $(350,000) million used in investing activities during the nine months ended January 31, 2025 was due to the purchase of property, plant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during the nine months ended January 31, 2025 and January 31, 2024 was $21.9 million and $16,000, respectively. The current quarter activity was driven by the issuance of common stock under the Company’s At the Market Facility and proceeds from the issuance of stock for convertible debt, discussed above under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of exchange rates on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material effect of exchange rates on cash and cash equivalents during the nine months ended January 31, 2025 and January 31, 2024.</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Outlook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the cash flows from customer revenues have not been sufficient to fund our operations and provide the capital resources for our business. As of January 31, 2025, our year-to-date revenues were $4.5 million, our year-to-date net losses were $15.1 million, and our year-to-date net cash used in operating activities was $14.6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devote substantial resources to expand our sales, marketing and manufacturing programs associated with the continued commercialization of our products. Our future capital requirements will depend on several factors, including but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improve, market and commercialize our products, and achieve and sustain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improvement of our proprietary technologies, and expected continued use of cash from operating activities unless or until we achieve positive cash flow from the commercialization of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funding, as and if needed, which will be subject to several factors, including market conditions, our financial condition and our operating performance;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substantial doubt about our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operating losses, which we expect to continue for at least the short term and possibly longer;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challenges and expenses associated with communications and disputes with activist shareholders, including litigation;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and mitigate risks associated with our internal cyber security protocols and protection of the data we collect and distribute;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protect our intellectual property portfolio;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inflation related to the U.S. dollar on our business, operations, customers, suppliers, manufacturers, and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forecasts and estimates regarding future expenses, revenue, gross margin, cash flow and capital requirements;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identify and penetrate markets for our products, services, and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respond to competition in our targeted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relationships with our existing and future strategic partners which may not be successful;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listing of our common stock on the NYSE American;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reliability and continuous improvement of our technology, products and solutions;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increase or more efficiently utilize the synergies available from our product lines: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current legislation, regulations and economic conditions regarding Federal governmental tariffs, the implementation on the new US Department of Governmental Efficiency (“DOGE”) and related DOGE federal governmental budget cuts and the potential that this affects the demand for, or restrict the use of,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expand markets across geographic boundaries;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 successful with Federal government work which is complex due to various statutes and regulations applicable to doing business with the Federal government;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our ability to be successful doing business internationally which requires strict compliance with applicable statutes and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geopolitical world uncertainty, including tariffs, Russia’s invasion of Ukraine, the Israel/Palestine conflict and previous attacks on merchant ships in the Red Sea;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impact that new foreign country tariffs may have on our ability (i) to source and procure necessary raw materials for the manufacture and provision of our products and services; and (ii) to deliver our products to such foreign countries;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including senior management, to achieve our business objectives;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consistent commercial profit margins.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capital intensive, and through January 31, 2025, we have been funding our business principally through sales of our securities. As of January 31, 2025, our cash and cash equivalents and long-term restricted cash balance was $10.2 million and we expect to fund our business with this amount and, to a lesser extent, with our cash flow generated from operations. Management believes the Company’s current cash and cash equivalents, and long-term restricted cash, may not be sufficient to fund its planned expenditures through March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conditions and events raise substantial doubt about the Company’s ability to continue as a going concern for at least a period of one year from the issuance of these consolidated financial statements. The ability to continue as a going concern is dependent upon the Company’s operations in the future and/or obtaining the necessary financing to meet its obligations and repay its liabilities arising from normal business operations when they become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engaged in any off-balance sheet financing activities.</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59" w:name="a_010"/>
      <w:bookmarkEnd w:id="659"/>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60" w:name="a_011"/>
      <w:bookmarkEnd w:id="660"/>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Evaluation of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provide reasonable assurance that material information required to be disclosed in our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designing and evaluating the disclosure controls and procedures, management recognized that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report, we carried out an evaluation, under the supervision and with the participation of our management, including our CEO and CFO, of the effectiveness of the design and operation of our disclosure controls and procedures pursuant to Rule 13a-15 of the Exchange Act. Based upon that evaluation, our CEO and CFO concluded that our disclosure controls and procedures were not effective, due to the material weaknesses in internal control over financial reporting that are described in our Annual Report on Form 10-K for the year ended April 30, 2024 (the “2024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such material weaknesses in internal control over financial reporting, our management, including our CEO and CFO, has concluded that our consolidated financial statements present fairly, in all material respects, our financial position, results of our operations and our cash flows for the periods presented in this Quarterly Report, in conformity with U.S.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Remediation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previously described in </w:t>
      </w:r>
      <w:r>
        <w:rPr>
          <w:rFonts w:ascii="Times New Roman;Times;Serif" w:hAnsi="Times New Roman;Times;Serif"/>
          <w:b w:val="false"/>
          <w:i/>
          <w:caps w:val="false"/>
          <w:smallCaps w:val="false"/>
          <w:sz w:val="20"/>
        </w:rPr>
        <w:t>Part II – Item 9A – Controls and Procedures</w:t>
      </w:r>
      <w:r>
        <w:rPr>
          <w:rFonts w:ascii="Times New Roman;Times;Serif" w:hAnsi="Times New Roman;Times;Serif"/>
          <w:b w:val="false"/>
          <w:i w:val="false"/>
          <w:caps w:val="false"/>
          <w:smallCaps w:val="false"/>
          <w:sz w:val="20"/>
        </w:rPr>
        <w:t xml:space="preserve"> of the 2024 10-K, we continue to implement a remediation plan to address the material weaknesses mentioned above. The weaknesses will not be considered remediated until the applicable controls operate for a sufficient period of time and management has concluded, through testing, that these controls are operating effectively. Please see below for the remediation actions taken by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trained our employees to reinforce the importance of a strong control environment and communicated expectations to emphasize responsibilities and the technical requirements for controls, and to set the appropriate expectations on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established a business process control remediation plan, which included frequent communications between our Audit Committee and senior management regarding the progression of remediation of our financial reporting and internal control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IT General Controls and invested in people and technology to address gaps in IT Systems Security controls. In addition, there is now a formal process for System and Organization Controls (“SOC”) Report reviews and templates that are being performed by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third-party consultants to assist with process mapping and internal control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Progress has been made against management’s plan to remediate these material weaknesses, but for management to consider a material weakness remediated, the related controls are required to function as anticipated for a minimum period which varies based upon the specified control. As part of its remediation plan, management will put mitigating controls in place to minimize risk associated with any open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material weaknesses described in the 2024 10-K, the Company reviewed the design of its controls and began remediation activities to alleviate the noted control deficiencies. Other than these items, there was no change in the Company’s internal control over financial reporting that occurred during the quarter ended January 31, 2015, that has materially affected, or is reasonably likely to materially affect, the Company’s internal control over financial reporting.</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61" w:name="a_012"/>
      <w:bookmarkEnd w:id="661"/>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 </w:t>
      </w:r>
      <w:bookmarkStart w:id="662" w:name="a_013"/>
      <w:bookmarkEnd w:id="662"/>
      <w:r>
        <w:rPr>
          <w:rFonts w:ascii="Times New Roman;Times;Serif" w:hAnsi="Times New Roman;Times;Serif"/>
          <w:b/>
          <w:i/>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pStyle w:val="TextBody"/>
        <w:bidi w:val="0"/>
        <w:spacing w:before="0" w:after="0"/>
        <w:ind w:left="4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on matters in dispute, see Note 14 to the Consolidated Financial Statements under Part I, Item 1 of this report.</w:t>
      </w:r>
    </w:p>
    <w:p>
      <w:pPr>
        <w:pStyle w:val="TextBody"/>
        <w:bidi w:val="0"/>
        <w:spacing w:before="0" w:after="0"/>
        <w:ind w:left="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1A. </w:t>
      </w:r>
      <w:bookmarkStart w:id="663" w:name="a_014"/>
      <w:bookmarkEnd w:id="663"/>
      <w:r>
        <w:rPr>
          <w:rFonts w:ascii="Times New Roman;Times;Serif" w:hAnsi="Times New Roman;Times;Serif"/>
          <w:b/>
          <w:i/>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of our business and operations should be read together with the risk factors contained in Item 1A of our Annual Report on Form 10-K for the year ended April 30, 2024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Except as noted below, there have been no material changes in our risk factors from those disclosed in our Annual Report on Form 10-K filed with the SEC on July 25,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history of operating losses and may not achieve or maintain profitability and positive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since we began operations in 1994, including net losses of $15.1 million during the first nine months of fiscal year 2025 and $20.8 million during the same nine-month period in fiscal year 2024. As of January 31, 2025, we had an accumulated deficit of $322.5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encounter seasonality and revenue variability due to the markets and customers we serve which may impact our ability to attain forecasted revenue, earnings and cash flow targets consistently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grow and scale, we anticipate some quarterly variability in both bookings and revenue recognition going forward. This is a natural outcome of our business model, which involves securing large, complex contracts that may span multiple quarters before revenue is fully recognized. We believe this variability will continue to be offset by our existing “as a Service” solutions that provide recurring revenue, but there may be quarters in our business where this cannot be the case. Our focus remains on long-term execution, delivering on our commitments, and driving sustained value creation. By maintaining this disciplined approach, we believe we will successfully navigate these natural variances as we scale, but there can be no assurance that this will be the case consistently on a quarterly basis. In turn, our ability to attain forecasted revenue, earnings and cash flow target</w:t>
      </w:r>
      <w:r>
        <w:rPr>
          <w:rFonts w:ascii="Times New Roman;Times;Serif" w:hAnsi="Times New Roman;Times;Serif"/>
          <w:b/>
          <w:i/>
          <w:caps w:val="false"/>
          <w:smallCaps w:val="false"/>
          <w:sz w:val="20"/>
        </w:rPr>
        <w:t xml:space="preserve">s </w:t>
      </w:r>
      <w:r>
        <w:rPr>
          <w:rFonts w:ascii="Times New Roman;Times;Serif" w:hAnsi="Times New Roman;Times;Serif"/>
          <w:b w:val="false"/>
          <w:i w:val="false"/>
          <w:caps w:val="false"/>
          <w:smallCaps w:val="false"/>
          <w:sz w:val="20"/>
        </w:rPr>
        <w:t>could be negatively impacted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government trade policies, including the imposition of tariffs, may have a material impact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 all trade policies that impact us, and we adjust our operational strategies to mitigate the impact of these policies. However, trade policies, including quotas, duties, tariffs, taxes, or other restrictions on the import or export of our products, are subject to change, and we cannot ensure that any mitigation strategies employed will remain available in the future or that we will be able to offset tariff-related costs or maintain competitive pricing of our products. The adoption and expansion of trade restrictions, the occurrence of a trade war, or other governmental action related to tariffs or trade agreements or policies has the potential to adversely impact demand for our products, our costs, our customers, our suppliers, and the global economy, which in turn could have a material adverse effect on our business,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tariffs may be imposed on other imports of our products. For example, effective February 4, 2025, the U.S. announced additional tariffs for goods imported into the U.S. from Mexico, Canada, and China beginning in January through April of 2025. We cannot predict what additional actions may ultimately be taken by the U.S. or other governments with respect to tariffs or trade relations and our business may be further impacted by retaliatory trade measures taken by other countries in response to existing or future U.S. tariffs or other measures (e.g., subsidies). We may raise our prices on products subject to such tariffs to share the cost with our customers, which could harm our operating performance or cause our customers to seek alternative suppliers. In addition, we may seek to shift some of our manufacturing to other countries, which could result in additional costs and disruption to our operations. We also sell our products globally and, therefore, our export sales could be impacted by the tariffs. Any material reduction in sales may have a material adverse effect on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 </w:t>
      </w:r>
      <w:bookmarkStart w:id="664" w:name="a_015"/>
      <w:bookmarkEnd w:id="664"/>
      <w:r>
        <w:rPr>
          <w:rFonts w:ascii="Times New Roman;Times;Serif" w:hAnsi="Times New Roman;Times;Serif"/>
          <w:b/>
          <w:i/>
          <w:caps w:val="false"/>
          <w:smallCaps w:val="false"/>
          <w:sz w:val="20"/>
        </w:rPr>
        <w:t>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 </w:t>
      </w:r>
      <w:bookmarkStart w:id="665" w:name="a_016"/>
      <w:bookmarkEnd w:id="665"/>
      <w:r>
        <w:rPr>
          <w:rFonts w:ascii="Times New Roman;Times;Serif" w:hAnsi="Times New Roman;Times;Serif"/>
          <w:b/>
          <w:i/>
          <w:caps w:val="false"/>
          <w:smallCaps w:val="false"/>
          <w:sz w:val="20"/>
        </w:rPr>
        <w:t>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4. </w:t>
      </w:r>
      <w:bookmarkStart w:id="666" w:name="a_017"/>
      <w:bookmarkEnd w:id="666"/>
      <w:r>
        <w:rPr>
          <w:rFonts w:ascii="Times New Roman;Times;Serif" w:hAnsi="Times New Roman;Times;Serif"/>
          <w:b/>
          <w:i/>
          <w:caps w:val="false"/>
          <w:smallCaps w:val="false"/>
          <w:sz w:val="20"/>
        </w:rPr>
        <w:t>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 </w:t>
      </w:r>
      <w:bookmarkStart w:id="667" w:name="a_018"/>
      <w:bookmarkEnd w:id="667"/>
      <w:r>
        <w:rPr>
          <w:rFonts w:ascii="Times New Roman;Times;Serif" w:hAnsi="Times New Roman;Times;Serif"/>
          <w:b/>
          <w:i/>
          <w:caps w:val="false"/>
          <w:smallCaps w:val="false"/>
          <w:sz w:val="20"/>
        </w:rPr>
        <w:t>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6. </w:t>
      </w:r>
      <w:bookmarkStart w:id="668" w:name="a_019"/>
      <w:bookmarkEnd w:id="668"/>
      <w:r>
        <w:rPr>
          <w:rFonts w:ascii="Times New Roman;Times;Serif" w:hAnsi="Times New Roman;Times;Serif"/>
          <w:b/>
          <w:i/>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38"/>
        <w:gridCol w:w="9597"/>
      </w:tblGrid>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Form of Amended and Restated Common Stock Purchase Agreement, dated as of September 19, 2024 (incorporated by reference to Exhibit 10.1 to the Company’s Current Report on Form 8-K filed on September 20, 2024.</w:t>
              </w:r>
            </w:hyperlink>
          </w:p>
        </w:tc>
      </w:tr>
      <w:tr>
        <w:trPr/>
        <w:tc>
          <w:tcPr>
            <w:tcW w:w="470" w:type="dxa"/>
            <w:tcBorders/>
            <w:vAlign w:val="center"/>
          </w:tcPr>
          <w:p>
            <w:pPr>
              <w:pStyle w:val="TableContents"/>
              <w:bidi w:val="0"/>
              <w:spacing w:before="0" w:after="283"/>
              <w:jc w:val="both"/>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Form of Securities Purchase Agreement, dated as of September 13, 2024 (incorporated by reference to Exhibit 10.2 to the Company’s Quarterly Report on Form 10-Q filed on September 16, 2024).</w:t>
              </w:r>
            </w:hyperlink>
          </w:p>
        </w:tc>
      </w:tr>
      <w:tr>
        <w:trPr/>
        <w:tc>
          <w:tcPr>
            <w:tcW w:w="470" w:type="dxa"/>
            <w:tcBorders/>
            <w:vAlign w:val="center"/>
          </w:tcPr>
          <w:p>
            <w:pPr>
              <w:pStyle w:val="TableContents"/>
              <w:bidi w:val="0"/>
              <w:spacing w:before="0" w:after="283"/>
              <w:jc w:val="both"/>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597" w:type="dxa"/>
            <w:tcBorders/>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597" w:type="dxa"/>
            <w:tcBorders/>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financial information from Ocean Power Technologies, Inc.’s Quarterly Report on Form 10-Q for the quarter ended January 31, 2025, formatted in eXtensible Business Reporting Language (XBRL): (i) Consolidated Balance Sheets – January 31, 2025 (unaudited) and April 30, 2024, (ii) Consolidated Statements of Operations (unaudited) – three and three months ended January 31, 2025 and 2023, (iii) Consolidated Statements of Comprehensive Loss (unaudited) – three and three months ended January 31, 2025 and 2021, (iv) Consolidated Statement of Shareholders’ Equity (unaudited) – three and three months ended January 31, 2025 and 2023 (v) Consolidated Statements of Cash Flows (unaudited) –three months ended January 31, 2025 and 2023, (vi) Notes to Consolidated Financial Statements.**</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caps w:val="false"/>
                <w:smallCaps w:val="false"/>
              </w:rPr>
            </w:pPr>
            <w:r>
              <w:rPr>
                <w:caps w:val="false"/>
                <w:smallCaps w:val="false"/>
              </w:rPr>
              <w:t> </w:t>
            </w:r>
          </w:p>
        </w:tc>
        <w:tc>
          <w:tcPr>
            <w:tcW w:w="959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Regulation S-K, Item 601(b)(10)(iv) of the Securities Exchange Act of 1934, as amended, certain confidential portions of this exhibit have been redacted from the publicly filed document. The Company agrees to furnish supplementally an unredacted copy of the exhibit to the Securities and Exchange Commission upon its request.</w:t>
            </w:r>
          </w:p>
        </w:tc>
      </w:tr>
    </w:tbl>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left"/>
              <w:rPr/>
            </w:pPr>
            <w:r>
              <w:rPr/>
              <w:t> </w:t>
            </w:r>
          </w:p>
        </w:tc>
      </w:tr>
    </w:tbl>
    <w:tbl>
      <w:tblPr>
        <w:tblW w:w="1865" w:type="dxa"/>
        <w:jc w:val="left"/>
        <w:tblInd w:w="0" w:type="dxa"/>
        <w:tblLayout w:type="fixed"/>
        <w:tblCellMar>
          <w:top w:w="0" w:type="dxa"/>
          <w:left w:w="0" w:type="dxa"/>
          <w:bottom w:w="0" w:type="dxa"/>
          <w:right w:w="0" w:type="dxa"/>
        </w:tblCellMar>
      </w:tblPr>
      <w:tblGrid>
        <w:gridCol w:w="1730"/>
        <w:gridCol w:w="60"/>
        <w:gridCol w:w="75"/>
      </w:tblGrid>
      <w:tr>
        <w:trPr/>
        <w:tc>
          <w:tcPr>
            <w:tcW w:w="1730" w:type="dxa"/>
            <w:tcBorders/>
            <w:vAlign w:val="center"/>
          </w:tcPr>
          <w:p>
            <w:pPr>
              <w:pStyle w:val="TableContents"/>
              <w:bidi w:val="0"/>
              <w:spacing w:before="0" w:after="283"/>
              <w:jc w:val="left"/>
              <w:rPr/>
            </w:pPr>
            <w:hyperlink w:anchor="toc_001">
              <w:r>
                <w:rPr>
                  <w:rStyle w:val="InternetLink"/>
                </w:rPr>
                <w:t>Table of Contents</w:t>
              </w:r>
            </w:hyperlink>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300" w:type="dxa"/>
        <w:jc w:val="left"/>
        <w:tblInd w:w="0" w:type="dxa"/>
        <w:tblLayout w:type="fixed"/>
        <w:tblCellMar>
          <w:top w:w="0" w:type="dxa"/>
          <w:left w:w="0" w:type="dxa"/>
          <w:bottom w:w="0" w:type="dxa"/>
          <w:right w:w="0" w:type="dxa"/>
        </w:tblCellMar>
      </w:tblPr>
      <w:tblGrid>
        <w:gridCol w:w="1805"/>
        <w:gridCol w:w="365"/>
        <w:gridCol w:w="4130"/>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4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Ocean Power Technologies, Inc.</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4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495" w:type="dxa"/>
            <w:gridSpan w:val="2"/>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17, 2025</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17, 2025</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6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669" w:name="ex31-1.htm"/>
      <w:bookmarkStart w:id="670" w:name="ksex311"/>
      <w:bookmarkEnd w:id="669"/>
      <w:bookmarkEnd w:id="67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SARBANES-OXLEY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Philipp Stratmann,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Ocean Power Technologies, Inc.;</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360" w:right="0" w:hanging="360"/>
        <w:jc w:val="both"/>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805"/>
        <w:gridCol w:w="3125"/>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17, 2025</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671" w:name="ex31-2.htm"/>
      <w:bookmarkStart w:id="672" w:name="ksex312"/>
      <w:bookmarkEnd w:id="671"/>
      <w:bookmarkEnd w:id="67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302 OF SARBANES-OXLEY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Robert Powers,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Ocean Power Technologies, Inc.;</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18" w:type="dxa"/>
            <w:tcBorders/>
            <w:vAlign w:val="center"/>
          </w:tcPr>
          <w:p>
            <w:pPr>
              <w:pStyle w:val="TableContents"/>
              <w:bidi w:val="0"/>
              <w:spacing w:before="0" w:after="283"/>
              <w:jc w:val="left"/>
              <w:rPr>
                <w:caps w:val="false"/>
                <w:smallCaps w:val="false"/>
              </w:rPr>
            </w:pPr>
            <w:r>
              <w:rPr>
                <w:caps w:val="false"/>
                <w:smallCaps w:val="false"/>
              </w:rPr>
              <w:t> </w:t>
            </w:r>
          </w:p>
        </w:tc>
        <w:tc>
          <w:tcPr>
            <w:tcW w:w="998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360" w:right="0" w:hanging="36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805"/>
        <w:gridCol w:w="413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17, 2025</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673" w:name="ex32-1.htm"/>
      <w:bookmarkStart w:id="674" w:name="ksex321"/>
      <w:bookmarkEnd w:id="673"/>
      <w:bookmarkEnd w:id="67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Ocean Power Technologies, Inc. (the “Company”) for the period ended January 31, 2025, as filed with the Securities and Exchange Commission on the date hereof (the “Report”), the undersigned, Philipp Stratmann III, President and Chief Executive Officer of the Company, hereby certifies, pursuant to 18 U.S.C. Section 1350,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center"/>
        <w:rPr>
          <w:caps w:val="false"/>
          <w:smallCaps w:val="false"/>
        </w:rPr>
      </w:pPr>
      <w:r>
        <w:rPr>
          <w:caps w:val="false"/>
          <w:smallCaps w:val="false"/>
        </w:rPr>
        <w:t> </w:t>
      </w:r>
    </w:p>
    <w:tbl>
      <w:tblPr>
        <w:tblW w:w="4930" w:type="dxa"/>
        <w:jc w:val="left"/>
        <w:tblInd w:w="0" w:type="dxa"/>
        <w:tblLayout w:type="fixed"/>
        <w:tblCellMar>
          <w:top w:w="0" w:type="dxa"/>
          <w:left w:w="0" w:type="dxa"/>
          <w:bottom w:w="0" w:type="dxa"/>
          <w:right w:w="0" w:type="dxa"/>
        </w:tblCellMar>
      </w:tblPr>
      <w:tblGrid>
        <w:gridCol w:w="1805"/>
        <w:gridCol w:w="3125"/>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17, 2025</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Philipp Stratmann</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1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bookmarkStart w:id="675" w:name="ex32-2.htm"/>
      <w:bookmarkStart w:id="676" w:name="ksex322"/>
      <w:bookmarkEnd w:id="675"/>
      <w:bookmarkEnd w:id="67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Ocean Power Technologies, Inc. (the “Company”) for the period ended January 31, 2025, as filed with the Securities and Exchange Commission on the date hereof (the “Report”), the undersigned, Robert Powers, Senior Vice President and Chief Financial Officer of the Company, hereby certifies, pursuant to 18 U.S.C. Section 1350, as adopted pursuant to Section 906 of the Sarbanes-Oxley Act of 2002, that, to the best of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as amended; and</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360" w:right="0" w:hanging="36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1805"/>
        <w:gridCol w:w="4130"/>
      </w:tblGrid>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17, 2025</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Powers</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413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8140/000149315224037590/ex10-1.htm" TargetMode="External"/><Relationship Id="rId3" Type="http://schemas.openxmlformats.org/officeDocument/2006/relationships/hyperlink" Target="https://www.sec.gov/Archives/edgar/data/1378140/000149315224036423/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30721</Words>
  <Characters>171131</Characters>
  <CharactersWithSpaces>203616</CharactersWithSpaces>
  <Paragraphs>6542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