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333-275843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 Supplement dated August 8, 2025</w:t>
        <w:br/>
      </w:r>
      <w:r>
        <w:rPr>
          <w:rFonts w:ascii="Times New Roman;Times;Serif" w:hAnsi="Times New Roman;Times;Serif"/>
          <w:b w:val="false"/>
          <w:i w:val="false"/>
          <w:caps w:val="false"/>
          <w:smallCaps w:val="false"/>
          <w:sz w:val="20"/>
        </w:rPr>
        <w:t>(to prospectus dated December 12,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717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17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of shares of our common stock having an aggregate gross sales price of up to $40,000,000, to or through Ladenburg Thalmann &amp; Co. Inc., or Ladenburg, acting as our sales agent, in accordance with the terms of an At Market Issuance Sales Agreement, or the Sales Agreement, we have entered into with Ladenburg on August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will be made by any method that is deemed to be an “at the market offering” as defined in Rule 415(a)(4) under the Securities Act of 1933, as amended, or the Securities Act. If authorized by us in writing, Ladenburg may also sell shares of our common stock in negotiated transactions at market prices prevailing at the time of sale or at prices related to such prevailing market prices. If we and Ladenburg agree on any method of distribution other than sales of shares of our common stock on or through the NYSE American or another existing trading market in the United States at market prices, we will file a prospectus supplement providing all information about such offering as required by Rule 424(b) under the Securities Act. Ladenburg is not required to sell any specific amount of securities, but will act as our sales agent using commercially reasonable efforts consistent with its normal trading and sales practices, on mutually agreed terms between Ladenburg and us. There is no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will be entitled to compensation at a fixed commission rate of 3.0% of the gross proceeds from the sale of our common stock on our behalf as sales agent pursuant to the sales agreement. In connection with the sale of the common stock on our behalf, Ladenburg will be deemed to be an “underwriter” within the meaning of the Securities Act, and the compensation of Ladenburg will be deemed to be underwriting commissions or discounts. We have also agreed to provide indemnification and contribution to Ladenburg against certain civil liabilities, including liabilities under the Securities Act. See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 The last reported sale price of our common stock on the NYSE American on August 5, 2025 was $0.52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See “Risk Factors” in this prospectus and in our reports filed with the Securities and Exchange Commission which are incorporated by reference therein for a discussion of information that should be considered in connection with an investment in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the prospectus, as supplemented by this supplement,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Ladenburg Thalmann &amp; Co.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supplement is August 8, 2025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6245"/>
        <w:gridCol w:w="410"/>
      </w:tblGrid>
      <w:tr>
        <w:trPr/>
        <w:tc>
          <w:tcPr>
            <w:tcW w:w="6245" w:type="dxa"/>
            <w:tcBorders/>
            <w:shd w:fill="CCEEFF" w:val="clear"/>
            <w:vAlign w:val="center"/>
          </w:tcPr>
          <w:p>
            <w:pPr>
              <w:pStyle w:val="TableContents"/>
              <w:bidi w:val="0"/>
              <w:spacing w:before="0" w:after="283"/>
              <w:jc w:val="left"/>
              <w:rPr/>
            </w:pPr>
            <w:hyperlink w:anchor="G_001">
              <w:r>
                <w:rPr>
                  <w:rStyle w:val="InternetLink"/>
                  <w:rFonts w:ascii="Times New Roman;Times;Serif" w:hAnsi="Times New Roman;Times;Serif"/>
                  <w:b w:val="false"/>
                  <w:i w:val="false"/>
                  <w:caps/>
                  <w:sz w:val="20"/>
                </w:rPr>
                <w:t>About this Prospectus SUPPLEMENT</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245" w:type="dxa"/>
            <w:tcBorders/>
            <w:shd w:fill="FFFFFF" w:val="clear"/>
            <w:vAlign w:val="center"/>
          </w:tcPr>
          <w:p>
            <w:pPr>
              <w:pStyle w:val="TableContents"/>
              <w:bidi w:val="0"/>
              <w:spacing w:before="0" w:after="283"/>
              <w:jc w:val="left"/>
              <w:rPr/>
            </w:pPr>
            <w:hyperlink w:anchor="G_002">
              <w:r>
                <w:rPr>
                  <w:rStyle w:val="InternetLink"/>
                  <w:rFonts w:ascii="Times New Roman;Times;Serif" w:hAnsi="Times New Roman;Times;Serif"/>
                  <w:b w:val="false"/>
                  <w:i w:val="false"/>
                  <w:caps/>
                  <w:sz w:val="20"/>
                </w:rPr>
                <w:t>Prospectus Summary</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S-1</w:t>
            </w:r>
          </w:p>
        </w:tc>
      </w:tr>
      <w:tr>
        <w:trPr/>
        <w:tc>
          <w:tcPr>
            <w:tcW w:w="6245" w:type="dxa"/>
            <w:tcBorders/>
            <w:shd w:fill="CCEEFF" w:val="clear"/>
            <w:vAlign w:val="center"/>
          </w:tcPr>
          <w:p>
            <w:pPr>
              <w:pStyle w:val="TableContents"/>
              <w:bidi w:val="0"/>
              <w:spacing w:before="0" w:after="283"/>
              <w:jc w:val="left"/>
              <w:rPr/>
            </w:pPr>
            <w:hyperlink w:anchor="G_003">
              <w:r>
                <w:rPr>
                  <w:rStyle w:val="InternetLink"/>
                  <w:rFonts w:ascii="Times New Roman;Times;Serif" w:hAnsi="Times New Roman;Times;Serif"/>
                  <w:b w:val="false"/>
                  <w:i w:val="false"/>
                  <w:caps w:val="false"/>
                  <w:smallCaps w:val="false"/>
                  <w:sz w:val="20"/>
                </w:rPr>
                <w:t>THE OFFERING</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6245" w:type="dxa"/>
            <w:tcBorders/>
            <w:shd w:fill="FFFFFF" w:val="clear"/>
            <w:vAlign w:val="center"/>
          </w:tcPr>
          <w:p>
            <w:pPr>
              <w:pStyle w:val="TableContents"/>
              <w:bidi w:val="0"/>
              <w:spacing w:before="0" w:after="283"/>
              <w:jc w:val="left"/>
              <w:rPr/>
            </w:pPr>
            <w:hyperlink w:anchor="G_004">
              <w:r>
                <w:rPr>
                  <w:rStyle w:val="InternetLink"/>
                  <w:rFonts w:ascii="Times New Roman;Times;Serif" w:hAnsi="Times New Roman;Times;Serif"/>
                  <w:b w:val="false"/>
                  <w:i w:val="false"/>
                  <w:caps/>
                  <w:sz w:val="20"/>
                </w:rPr>
                <w:t>Risk Factors</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S-3</w:t>
            </w:r>
          </w:p>
        </w:tc>
      </w:tr>
      <w:tr>
        <w:trPr/>
        <w:tc>
          <w:tcPr>
            <w:tcW w:w="6245" w:type="dxa"/>
            <w:tcBorders/>
            <w:shd w:fill="CCEEFF" w:val="clear"/>
            <w:vAlign w:val="center"/>
          </w:tcPr>
          <w:p>
            <w:pPr>
              <w:pStyle w:val="TableContents"/>
              <w:bidi w:val="0"/>
              <w:spacing w:before="0" w:after="283"/>
              <w:jc w:val="left"/>
              <w:rPr/>
            </w:pPr>
            <w:hyperlink w:anchor="G_005">
              <w:r>
                <w:rPr>
                  <w:rStyle w:val="InternetLink"/>
                  <w:rFonts w:ascii="Times New Roman;Times;Serif" w:hAnsi="Times New Roman;Times;Serif"/>
                  <w:b w:val="false"/>
                  <w:i w:val="false"/>
                  <w:caps/>
                  <w:sz w:val="20"/>
                </w:rPr>
                <w:t>Use of Proceeds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S-5</w:t>
            </w:r>
          </w:p>
        </w:tc>
      </w:tr>
      <w:tr>
        <w:trPr/>
        <w:tc>
          <w:tcPr>
            <w:tcW w:w="6245" w:type="dxa"/>
            <w:tcBorders/>
            <w:shd w:fill="FFFFFF" w:val="clear"/>
            <w:vAlign w:val="center"/>
          </w:tcPr>
          <w:p>
            <w:pPr>
              <w:pStyle w:val="TableContents"/>
              <w:bidi w:val="0"/>
              <w:spacing w:before="0" w:after="283"/>
              <w:jc w:val="left"/>
              <w:rPr/>
            </w:pPr>
            <w:hyperlink w:anchor="G_006">
              <w:r>
                <w:rPr>
                  <w:rStyle w:val="InternetLink"/>
                  <w:rFonts w:ascii="Times New Roman;Times;Serif" w:hAnsi="Times New Roman;Times;Serif"/>
                  <w:b w:val="false"/>
                  <w:i w:val="false"/>
                  <w:caps/>
                  <w:sz w:val="20"/>
                </w:rPr>
                <w:t>Dividend Policy</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S-5</w:t>
            </w:r>
          </w:p>
        </w:tc>
      </w:tr>
      <w:tr>
        <w:trPr/>
        <w:tc>
          <w:tcPr>
            <w:tcW w:w="6245" w:type="dxa"/>
            <w:tcBorders/>
            <w:shd w:fill="CCEEFF" w:val="clear"/>
            <w:vAlign w:val="center"/>
          </w:tcPr>
          <w:p>
            <w:pPr>
              <w:pStyle w:val="TableContents"/>
              <w:bidi w:val="0"/>
              <w:spacing w:before="0" w:after="283"/>
              <w:jc w:val="left"/>
              <w:rPr/>
            </w:pPr>
            <w:hyperlink w:anchor="G_007">
              <w:r>
                <w:rPr>
                  <w:rStyle w:val="InternetLink"/>
                  <w:rFonts w:ascii="Times New Roman;Times;Serif" w:hAnsi="Times New Roman;Times;Serif"/>
                  <w:b w:val="false"/>
                  <w:i w:val="false"/>
                  <w:caps/>
                  <w:sz w:val="20"/>
                </w:rPr>
                <w:t>Description of Securities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S-6</w:t>
            </w:r>
          </w:p>
        </w:tc>
      </w:tr>
      <w:tr>
        <w:trPr/>
        <w:tc>
          <w:tcPr>
            <w:tcW w:w="6245" w:type="dxa"/>
            <w:tcBorders/>
            <w:shd w:fill="FFFFFF" w:val="clear"/>
            <w:vAlign w:val="center"/>
          </w:tcPr>
          <w:p>
            <w:pPr>
              <w:pStyle w:val="TableContents"/>
              <w:bidi w:val="0"/>
              <w:spacing w:before="0" w:after="283"/>
              <w:jc w:val="left"/>
              <w:rPr/>
            </w:pPr>
            <w:hyperlink w:anchor="G_008">
              <w:r>
                <w:rPr>
                  <w:rStyle w:val="InternetLink"/>
                  <w:rFonts w:ascii="Times New Roman;Times;Serif" w:hAnsi="Times New Roman;Times;Serif"/>
                  <w:b w:val="false"/>
                  <w:i w:val="false"/>
                  <w:caps/>
                  <w:sz w:val="20"/>
                </w:rPr>
                <w:t>Plan of Distribution</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S-10</w:t>
            </w:r>
          </w:p>
        </w:tc>
      </w:tr>
      <w:tr>
        <w:trPr/>
        <w:tc>
          <w:tcPr>
            <w:tcW w:w="6245" w:type="dxa"/>
            <w:tcBorders/>
            <w:shd w:fill="CCEEFF" w:val="clear"/>
            <w:vAlign w:val="center"/>
          </w:tcPr>
          <w:p>
            <w:pPr>
              <w:pStyle w:val="TableContents"/>
              <w:bidi w:val="0"/>
              <w:spacing w:before="0" w:after="283"/>
              <w:jc w:val="left"/>
              <w:rPr/>
            </w:pPr>
            <w:hyperlink w:anchor="G_009">
              <w:r>
                <w:rPr>
                  <w:rStyle w:val="InternetLink"/>
                  <w:rFonts w:ascii="Times New Roman;Times;Serif" w:hAnsi="Times New Roman;Times;Serif"/>
                  <w:b w:val="false"/>
                  <w:i w:val="false"/>
                  <w:caps/>
                  <w:sz w:val="20"/>
                </w:rPr>
                <w:t>Legal Matters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S-11</w:t>
            </w:r>
          </w:p>
        </w:tc>
      </w:tr>
      <w:tr>
        <w:trPr/>
        <w:tc>
          <w:tcPr>
            <w:tcW w:w="6245" w:type="dxa"/>
            <w:tcBorders/>
            <w:shd w:fill="FFFFFF" w:val="clear"/>
            <w:vAlign w:val="center"/>
          </w:tcPr>
          <w:p>
            <w:pPr>
              <w:pStyle w:val="TableContents"/>
              <w:bidi w:val="0"/>
              <w:spacing w:before="0" w:after="283"/>
              <w:jc w:val="left"/>
              <w:rPr/>
            </w:pPr>
            <w:hyperlink w:anchor="G_010">
              <w:r>
                <w:rPr>
                  <w:rStyle w:val="InternetLink"/>
                  <w:rFonts w:ascii="Times New Roman;Times;Serif" w:hAnsi="Times New Roman;Times;Serif"/>
                  <w:b w:val="false"/>
                  <w:i w:val="false"/>
                  <w:caps/>
                  <w:sz w:val="20"/>
                </w:rPr>
                <w:t>Experts</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S-11</w:t>
            </w:r>
          </w:p>
        </w:tc>
      </w:tr>
      <w:tr>
        <w:trPr/>
        <w:tc>
          <w:tcPr>
            <w:tcW w:w="6245" w:type="dxa"/>
            <w:tcBorders/>
            <w:shd w:fill="CCEEFF" w:val="clear"/>
            <w:vAlign w:val="center"/>
          </w:tcPr>
          <w:p>
            <w:pPr>
              <w:pStyle w:val="TableContents"/>
              <w:bidi w:val="0"/>
              <w:spacing w:before="0" w:after="283"/>
              <w:jc w:val="left"/>
              <w:rPr/>
            </w:pPr>
            <w:hyperlink w:anchor="G_011">
              <w:r>
                <w:rPr>
                  <w:rStyle w:val="InternetLink"/>
                  <w:rFonts w:ascii="Times New Roman;Times;Serif" w:hAnsi="Times New Roman;Times;Serif"/>
                  <w:b w:val="false"/>
                  <w:i w:val="false"/>
                  <w:caps/>
                  <w:sz w:val="20"/>
                </w:rPr>
                <w:t>Certain Documents Incorporated By Reference</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S-11</w:t>
            </w:r>
          </w:p>
        </w:tc>
      </w:tr>
      <w:tr>
        <w:trPr/>
        <w:tc>
          <w:tcPr>
            <w:tcW w:w="6245" w:type="dxa"/>
            <w:tcBorders/>
            <w:shd w:fill="FFFFFF" w:val="clear"/>
            <w:vAlign w:val="center"/>
          </w:tcPr>
          <w:p>
            <w:pPr>
              <w:pStyle w:val="TableContents"/>
              <w:bidi w:val="0"/>
              <w:spacing w:before="0" w:after="283"/>
              <w:jc w:val="left"/>
              <w:rPr/>
            </w:pPr>
            <w:hyperlink w:anchor="G_012">
              <w:r>
                <w:rPr>
                  <w:rStyle w:val="InternetLink"/>
                  <w:rFonts w:ascii="Times New Roman;Times;Serif" w:hAnsi="Times New Roman;Times;Serif"/>
                  <w:b w:val="false"/>
                  <w:i w:val="false"/>
                  <w:caps/>
                  <w:sz w:val="20"/>
                </w:rPr>
                <w:t>Where You Can Find More Information</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S-12</w:t>
            </w:r>
          </w:p>
        </w:tc>
      </w:tr>
      <w:tr>
        <w:trPr/>
        <w:tc>
          <w:tcPr>
            <w:tcW w:w="6245" w:type="dxa"/>
            <w:tcBorders/>
            <w:shd w:fill="CCEEFF" w:val="clear"/>
            <w:vAlign w:val="center"/>
          </w:tcPr>
          <w:p>
            <w:pPr>
              <w:pStyle w:val="TableContents"/>
              <w:bidi w:val="0"/>
              <w:spacing w:before="0" w:after="283"/>
              <w:jc w:val="left"/>
              <w:rPr/>
            </w:pPr>
            <w:hyperlink w:anchor="G_013">
              <w:r>
                <w:rPr>
                  <w:rStyle w:val="InternetLink"/>
                  <w:rFonts w:ascii="Times New Roman;Times;Serif" w:hAnsi="Times New Roman;Times;Serif"/>
                  <w:b w:val="false"/>
                  <w:i w:val="false"/>
                  <w:caps/>
                  <w:sz w:val="20"/>
                </w:rPr>
                <w:t>Cautionary Note Regarding Forward-Looking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S-12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290"/>
        <w:gridCol w:w="455"/>
      </w:tblGrid>
      <w:tr>
        <w:trPr/>
        <w:tc>
          <w:tcPr>
            <w:tcW w:w="629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9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both"/>
              <w:rPr/>
            </w:pPr>
            <w:hyperlink w:anchor="s_001">
              <w:r>
                <w:rPr>
                  <w:rStyle w:val="InternetLink"/>
                  <w:rFonts w:ascii="Times New Roman;Times;Serif" w:hAnsi="Times New Roman;Times;Serif"/>
                  <w:b w:val="false"/>
                  <w:i w:val="false"/>
                  <w:caps w:val="false"/>
                  <w:smallCaps w:val="false"/>
                  <w:sz w:val="20"/>
                </w:rPr>
                <w:t xml:space="preserve">ABOUT THIS PROSPECTUS </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290" w:type="dxa"/>
            <w:tcBorders/>
            <w:shd w:fill="FFFFFF" w:val="clear"/>
            <w:vAlign w:val="center"/>
          </w:tcPr>
          <w:p>
            <w:pPr>
              <w:pStyle w:val="TableContents"/>
              <w:bidi w:val="0"/>
              <w:spacing w:before="0" w:after="283"/>
              <w:jc w:val="both"/>
              <w:rPr/>
            </w:pPr>
            <w:hyperlink w:anchor="s_002">
              <w:r>
                <w:rPr>
                  <w:rStyle w:val="InternetLink"/>
                  <w:rFonts w:ascii="Times New Roman;Times;Serif" w:hAnsi="Times New Roman;Times;Serif"/>
                  <w:b w:val="false"/>
                  <w:i w:val="false"/>
                  <w:caps w:val="false"/>
                  <w:smallCaps w:val="false"/>
                  <w:sz w:val="20"/>
                </w:rPr>
                <w:t>OCEAN POWER TECHNOLOGIES, INC.</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290" w:type="dxa"/>
            <w:tcBorders/>
            <w:shd w:fill="CCEEFF" w:val="clear"/>
            <w:vAlign w:val="center"/>
          </w:tcPr>
          <w:p>
            <w:pPr>
              <w:pStyle w:val="TableContents"/>
              <w:bidi w:val="0"/>
              <w:spacing w:before="0" w:after="283"/>
              <w:jc w:val="both"/>
              <w:rPr/>
            </w:pPr>
            <w:hyperlink w:anchor="s_003">
              <w:r>
                <w:rPr>
                  <w:rStyle w:val="InternetLink"/>
                  <w:rFonts w:ascii="Times New Roman;Times;Serif" w:hAnsi="Times New Roman;Times;Serif"/>
                  <w:b w:val="false"/>
                  <w:i w:val="false"/>
                  <w:caps w:val="false"/>
                  <w:smallCaps w:val="false"/>
                  <w:sz w:val="20"/>
                </w:rPr>
                <w:t xml:space="preserve">CAUTIONARY NOTE REGARDING FORWARD-LOOKING STATEMENTS </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290" w:type="dxa"/>
            <w:tcBorders/>
            <w:shd w:fill="FFFFFF" w:val="clear"/>
            <w:vAlign w:val="center"/>
          </w:tcPr>
          <w:p>
            <w:pPr>
              <w:pStyle w:val="TableContents"/>
              <w:bidi w:val="0"/>
              <w:spacing w:before="0" w:after="283"/>
              <w:jc w:val="both"/>
              <w:rPr/>
            </w:pPr>
            <w:hyperlink w:anchor="s_004">
              <w:r>
                <w:rPr>
                  <w:rStyle w:val="InternetLink"/>
                  <w:rFonts w:ascii="Times New Roman;Times;Serif" w:hAnsi="Times New Roman;Times;Serif"/>
                  <w:b w:val="false"/>
                  <w:i w:val="false"/>
                  <w:caps w:val="false"/>
                  <w:smallCaps w:val="false"/>
                  <w:sz w:val="20"/>
                </w:rPr>
                <w:t xml:space="preserve">WHERE YOU CAN FIND MORE INFORMATION </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290" w:type="dxa"/>
            <w:tcBorders/>
            <w:shd w:fill="CCEEFF" w:val="clear"/>
            <w:vAlign w:val="center"/>
          </w:tcPr>
          <w:p>
            <w:pPr>
              <w:pStyle w:val="TableContents"/>
              <w:bidi w:val="0"/>
              <w:spacing w:before="0" w:after="283"/>
              <w:jc w:val="both"/>
              <w:rPr/>
            </w:pPr>
            <w:hyperlink w:anchor="s_005">
              <w:r>
                <w:rPr>
                  <w:rStyle w:val="InternetLink"/>
                  <w:rFonts w:ascii="Times New Roman;Times;Serif" w:hAnsi="Times New Roman;Times;Serif"/>
                  <w:b w:val="false"/>
                  <w:i w:val="false"/>
                  <w:caps w:val="false"/>
                  <w:smallCaps w:val="false"/>
                  <w:sz w:val="20"/>
                </w:rPr>
                <w:t xml:space="preserve">INCORPORATION OF CERTAIN DOCUMENTS BY REFERENCE </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290" w:type="dxa"/>
            <w:tcBorders/>
            <w:shd w:fill="FFFFFF" w:val="clear"/>
            <w:vAlign w:val="center"/>
          </w:tcPr>
          <w:p>
            <w:pPr>
              <w:pStyle w:val="TableContents"/>
              <w:bidi w:val="0"/>
              <w:spacing w:before="0" w:after="283"/>
              <w:jc w:val="both"/>
              <w:rPr/>
            </w:pPr>
            <w:hyperlink w:anchor="s_006">
              <w:r>
                <w:rPr>
                  <w:rStyle w:val="InternetLink"/>
                  <w:rFonts w:ascii="Times New Roman;Times;Serif" w:hAnsi="Times New Roman;Times;Serif"/>
                  <w:b w:val="false"/>
                  <w:i w:val="false"/>
                  <w:caps w:val="false"/>
                  <w:smallCaps w:val="false"/>
                  <w:sz w:val="20"/>
                </w:rPr>
                <w:t xml:space="preserve">RISK FACTORS </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290" w:type="dxa"/>
            <w:tcBorders/>
            <w:shd w:fill="CCEEFF" w:val="clear"/>
            <w:vAlign w:val="center"/>
          </w:tcPr>
          <w:p>
            <w:pPr>
              <w:pStyle w:val="TableContents"/>
              <w:bidi w:val="0"/>
              <w:spacing w:before="0" w:after="283"/>
              <w:jc w:val="both"/>
              <w:rPr/>
            </w:pPr>
            <w:hyperlink w:anchor="s_007">
              <w:r>
                <w:rPr>
                  <w:rStyle w:val="InternetLink"/>
                  <w:rFonts w:ascii="Times New Roman;Times;Serif" w:hAnsi="Times New Roman;Times;Serif"/>
                  <w:b w:val="false"/>
                  <w:i w:val="false"/>
                  <w:caps w:val="false"/>
                  <w:smallCaps w:val="false"/>
                  <w:sz w:val="20"/>
                </w:rPr>
                <w:t xml:space="preserve">USE OF PROCEEDS </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290" w:type="dxa"/>
            <w:tcBorders/>
            <w:shd w:fill="FFFFFF" w:val="clear"/>
            <w:vAlign w:val="center"/>
          </w:tcPr>
          <w:p>
            <w:pPr>
              <w:pStyle w:val="TableContents"/>
              <w:bidi w:val="0"/>
              <w:spacing w:before="0" w:after="283"/>
              <w:jc w:val="both"/>
              <w:rPr/>
            </w:pPr>
            <w:hyperlink w:anchor="s_008">
              <w:r>
                <w:rPr>
                  <w:rStyle w:val="InternetLink"/>
                  <w:rFonts w:ascii="Times New Roman;Times;Serif" w:hAnsi="Times New Roman;Times;Serif"/>
                  <w:b w:val="false"/>
                  <w:i w:val="false"/>
                  <w:caps w:val="false"/>
                  <w:smallCaps w:val="false"/>
                  <w:sz w:val="20"/>
                </w:rPr>
                <w:t xml:space="preserve">DILUTION </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290" w:type="dxa"/>
            <w:tcBorders/>
            <w:shd w:fill="CCEEFF" w:val="clear"/>
            <w:vAlign w:val="center"/>
          </w:tcPr>
          <w:p>
            <w:pPr>
              <w:pStyle w:val="TableContents"/>
              <w:bidi w:val="0"/>
              <w:spacing w:before="0" w:after="283"/>
              <w:jc w:val="both"/>
              <w:rPr/>
            </w:pPr>
            <w:hyperlink w:anchor="s_009">
              <w:r>
                <w:rPr>
                  <w:rStyle w:val="InternetLink"/>
                  <w:rFonts w:ascii="Times New Roman;Times;Serif" w:hAnsi="Times New Roman;Times;Serif"/>
                  <w:b w:val="false"/>
                  <w:i w:val="false"/>
                  <w:caps w:val="false"/>
                  <w:smallCaps w:val="false"/>
                  <w:sz w:val="20"/>
                </w:rPr>
                <w:t>DESCRIPTION OF DEBT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90" w:type="dxa"/>
            <w:tcBorders/>
            <w:shd w:fill="FFFFFF" w:val="clear"/>
            <w:vAlign w:val="center"/>
          </w:tcPr>
          <w:p>
            <w:pPr>
              <w:pStyle w:val="TableContents"/>
              <w:bidi w:val="0"/>
              <w:spacing w:before="0" w:after="283"/>
              <w:jc w:val="both"/>
              <w:rPr/>
            </w:pPr>
            <w:hyperlink w:anchor="s_010">
              <w:r>
                <w:rPr>
                  <w:rStyle w:val="InternetLink"/>
                  <w:rFonts w:ascii="Times New Roman;Times;Serif" w:hAnsi="Times New Roman;Times;Serif"/>
                  <w:b w:val="false"/>
                  <w:i w:val="false"/>
                  <w:caps w:val="false"/>
                  <w:smallCaps w:val="false"/>
                  <w:sz w:val="20"/>
                </w:rPr>
                <w:t xml:space="preserve">DESCRIPTION OF CAPITAL STOCK </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290" w:type="dxa"/>
            <w:tcBorders/>
            <w:shd w:fill="CCEEFF" w:val="clear"/>
            <w:vAlign w:val="center"/>
          </w:tcPr>
          <w:p>
            <w:pPr>
              <w:pStyle w:val="TableContents"/>
              <w:bidi w:val="0"/>
              <w:spacing w:before="0" w:after="283"/>
              <w:jc w:val="both"/>
              <w:rPr/>
            </w:pPr>
            <w:hyperlink w:anchor="s_011">
              <w:r>
                <w:rPr>
                  <w:rStyle w:val="InternetLink"/>
                  <w:rFonts w:ascii="Times New Roman;Times;Serif" w:hAnsi="Times New Roman;Times;Serif"/>
                  <w:b w:val="false"/>
                  <w:i w:val="false"/>
                  <w:caps w:val="false"/>
                  <w:smallCaps w:val="false"/>
                  <w:sz w:val="20"/>
                </w:rPr>
                <w:t xml:space="preserve">DESCRIPTION OF DEPOSITARY SHARES </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290" w:type="dxa"/>
            <w:tcBorders/>
            <w:shd w:fill="FFFFFF" w:val="clear"/>
            <w:vAlign w:val="center"/>
          </w:tcPr>
          <w:p>
            <w:pPr>
              <w:pStyle w:val="TableContents"/>
              <w:bidi w:val="0"/>
              <w:spacing w:before="0" w:after="283"/>
              <w:jc w:val="both"/>
              <w:rPr/>
            </w:pPr>
            <w:hyperlink w:anchor="vk_001">
              <w:r>
                <w:rPr>
                  <w:rStyle w:val="InternetLink"/>
                  <w:rFonts w:ascii="Times New Roman;Times;Serif" w:hAnsi="Times New Roman;Times;Serif"/>
                  <w:b w:val="false"/>
                  <w:i w:val="false"/>
                  <w:caps w:val="false"/>
                  <w:smallCaps w:val="false"/>
                  <w:sz w:val="20"/>
                </w:rPr>
                <w:t>DESCRIPTION OF WARRANTS</w:t>
              </w:r>
            </w:hyperlink>
            <w:r>
              <w:rPr>
                <w:rFonts w:ascii="Times New Roman;Times;Serif" w:hAnsi="Times New Roman;Times;Serif"/>
                <w:b w:val="false"/>
                <w:i w:val="false"/>
                <w:caps w:val="false"/>
                <w:smallCaps w:val="false"/>
                <w:sz w:val="20"/>
              </w:rPr>
              <w:t xml:space="preserve">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290" w:type="dxa"/>
            <w:tcBorders/>
            <w:shd w:fill="CCEEFF" w:val="clear"/>
            <w:vAlign w:val="center"/>
          </w:tcPr>
          <w:p>
            <w:pPr>
              <w:pStyle w:val="TableContents"/>
              <w:bidi w:val="0"/>
              <w:spacing w:before="0" w:after="283"/>
              <w:jc w:val="both"/>
              <w:rPr/>
            </w:pPr>
            <w:hyperlink w:anchor="vk_002">
              <w:r>
                <w:rPr>
                  <w:rStyle w:val="InternetLink"/>
                  <w:rFonts w:ascii="Times New Roman;Times;Serif" w:hAnsi="Times New Roman;Times;Serif"/>
                  <w:b w:val="false"/>
                  <w:i w:val="false"/>
                  <w:caps w:val="false"/>
                  <w:smallCaps w:val="false"/>
                  <w:sz w:val="20"/>
                </w:rPr>
                <w:t>DESCRIPTION OF SUBSCRIPTION RIGHTS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290" w:type="dxa"/>
            <w:tcBorders/>
            <w:shd w:fill="FFFFFF" w:val="clear"/>
            <w:vAlign w:val="center"/>
          </w:tcPr>
          <w:p>
            <w:pPr>
              <w:pStyle w:val="TableContents"/>
              <w:bidi w:val="0"/>
              <w:spacing w:before="0" w:after="283"/>
              <w:jc w:val="both"/>
              <w:rPr/>
            </w:pPr>
            <w:hyperlink w:anchor="vk_003">
              <w:r>
                <w:rPr>
                  <w:rStyle w:val="InternetLink"/>
                  <w:rFonts w:ascii="Times New Roman;Times;Serif" w:hAnsi="Times New Roman;Times;Serif"/>
                  <w:b w:val="false"/>
                  <w:i w:val="false"/>
                  <w:caps w:val="false"/>
                  <w:smallCaps w:val="false"/>
                  <w:sz w:val="20"/>
                </w:rPr>
                <w:t>DESCRIPTION OF PURCHASE CONTRACTS</w:t>
              </w:r>
            </w:hyperlink>
            <w:r>
              <w:rPr>
                <w:rFonts w:ascii="Times New Roman;Times;Serif" w:hAnsi="Times New Roman;Times;Serif"/>
                <w:b w:val="false"/>
                <w:i w:val="false"/>
                <w:caps w:val="false"/>
                <w:smallCaps w:val="false"/>
                <w:sz w:val="20"/>
              </w:rPr>
              <w:t xml:space="preserve">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290" w:type="dxa"/>
            <w:tcBorders/>
            <w:shd w:fill="CCEEFF" w:val="clear"/>
            <w:vAlign w:val="center"/>
          </w:tcPr>
          <w:p>
            <w:pPr>
              <w:pStyle w:val="TableContents"/>
              <w:bidi w:val="0"/>
              <w:spacing w:before="0" w:after="283"/>
              <w:jc w:val="both"/>
              <w:rPr/>
            </w:pPr>
            <w:hyperlink w:anchor="vk_004">
              <w:r>
                <w:rPr>
                  <w:rStyle w:val="InternetLink"/>
                  <w:rFonts w:ascii="Times New Roman;Times;Serif" w:hAnsi="Times New Roman;Times;Serif"/>
                  <w:b w:val="false"/>
                  <w:i w:val="false"/>
                  <w:caps w:val="false"/>
                  <w:smallCaps w:val="false"/>
                  <w:sz w:val="20"/>
                </w:rPr>
                <w:t>DESCRIPTION OF UNITS</w:t>
              </w:r>
            </w:hyperlink>
            <w:r>
              <w:rPr>
                <w:rFonts w:ascii="Times New Roman;Times;Serif" w:hAnsi="Times New Roman;Times;Serif"/>
                <w:b w:val="false"/>
                <w:i w:val="false"/>
                <w:caps w:val="false"/>
                <w:smallCaps w:val="false"/>
                <w:sz w:val="20"/>
              </w:rPr>
              <w:t xml:space="preserve">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290" w:type="dxa"/>
            <w:tcBorders/>
            <w:shd w:fill="FFFFFF" w:val="clear"/>
            <w:vAlign w:val="center"/>
          </w:tcPr>
          <w:p>
            <w:pPr>
              <w:pStyle w:val="TableContents"/>
              <w:bidi w:val="0"/>
              <w:spacing w:before="0" w:after="283"/>
              <w:jc w:val="both"/>
              <w:rPr/>
            </w:pPr>
            <w:hyperlink w:anchor="vk_005">
              <w:r>
                <w:rPr>
                  <w:rStyle w:val="InternetLink"/>
                  <w:rFonts w:ascii="Times New Roman;Times;Serif" w:hAnsi="Times New Roman;Times;Serif"/>
                  <w:b w:val="false"/>
                  <w:i w:val="false"/>
                  <w:caps w:val="false"/>
                  <w:smallCaps w:val="false"/>
                  <w:sz w:val="20"/>
                </w:rPr>
                <w:t>FORMS OF SECURITIES</w:t>
              </w:r>
            </w:hyperlink>
            <w:r>
              <w:rPr>
                <w:rFonts w:ascii="Times New Roman;Times;Serif" w:hAnsi="Times New Roman;Times;Serif"/>
                <w:b w:val="false"/>
                <w:i w:val="false"/>
                <w:caps w:val="false"/>
                <w:smallCaps w:val="false"/>
                <w:sz w:val="20"/>
              </w:rPr>
              <w:t xml:space="preserve">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6290" w:type="dxa"/>
            <w:tcBorders/>
            <w:shd w:fill="CCEEFF" w:val="clear"/>
            <w:vAlign w:val="center"/>
          </w:tcPr>
          <w:p>
            <w:pPr>
              <w:pStyle w:val="TableContents"/>
              <w:bidi w:val="0"/>
              <w:spacing w:before="0" w:after="283"/>
              <w:jc w:val="both"/>
              <w:rPr/>
            </w:pPr>
            <w:hyperlink w:anchor="vk_006">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6290" w:type="dxa"/>
            <w:tcBorders/>
            <w:shd w:fill="FFFFFF" w:val="clear"/>
            <w:vAlign w:val="center"/>
          </w:tcPr>
          <w:p>
            <w:pPr>
              <w:pStyle w:val="TableContents"/>
              <w:bidi w:val="0"/>
              <w:spacing w:before="0" w:after="283"/>
              <w:jc w:val="both"/>
              <w:rPr/>
            </w:pPr>
            <w:hyperlink w:anchor="vk_007">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6290" w:type="dxa"/>
            <w:tcBorders/>
            <w:shd w:fill="CCEEFF" w:val="clear"/>
            <w:vAlign w:val="center"/>
          </w:tcPr>
          <w:p>
            <w:pPr>
              <w:pStyle w:val="TableContents"/>
              <w:bidi w:val="0"/>
              <w:spacing w:before="0" w:after="283"/>
              <w:jc w:val="both"/>
              <w:rPr/>
            </w:pPr>
            <w:hyperlink w:anchor="vk_008">
              <w:r>
                <w:rPr>
                  <w:rStyle w:val="InternetLink"/>
                  <w:rFonts w:ascii="Times New Roman;Times;Serif" w:hAnsi="Times New Roman;Times;Serif"/>
                  <w:b w:val="false"/>
                  <w:i w:val="false"/>
                  <w:caps w:val="false"/>
                  <w:smallCaps w:val="false"/>
                  <w:sz w:val="20"/>
                </w:rPr>
                <w:t>EXPERTS</w:t>
              </w:r>
            </w:hyperlink>
            <w:r>
              <w:rPr>
                <w:rFonts w:ascii="Times New Roman;Times;Serif" w:hAnsi="Times New Roman;Times;Serif"/>
                <w:b w:val="false"/>
                <w:i w:val="false"/>
                <w:caps w:val="false"/>
                <w:smallCaps w:val="false"/>
                <w:sz w:val="20"/>
              </w:rPr>
              <w:t xml:space="preserve">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G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assume that the information contained in this prospectus supplement and the accompanying prospectus is accurate only as of the date on the front of the applicable document and that any information we have incorporated by reference into this prospectus supplement and the accompanying prospectus is accurate only as of the date of the document incorporated by reference, regardless of the time of delivery of this prospectus supplement or the accompanying prospectus, or any sale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the prospectus supplement, which describes the specific terms of this offering. The second part, the accompanying prospectus, provides more general information about securities we may offer from time to time, some of which may not apply to the securities we are offering under this prospectus supplement. In addition, we incorporate important information into this prospectus supplement and the accompanying prospectus by reference. You may obtain the information incorporated by reference into this prospectus supplement and the accompanying prospectus without charge by following the instructions under “Where You Can Find More Information” in this prospectus supplement. Generally, when we refer to this prospectus, we are referring to both parts of this document combined. We urge you to carefully read this prospectus supplement, the information incorporated by reference and the accompanying prospectus before buying any of the securities being offered under this prospectus supplement. This prospectus supplement may add, update or change information contained in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statement that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herein by reference, in this prospectus supplement and contained, or incorporated herein by reference, in the accompanying prospectus. We have not authorized anyone to provide you with different information. No dealer, salesperson or other person is authorized to give any information or to represent anything not contained in this prospectus supplement and the accompanying prospectus. You should not rely on any unauthorized information or representation. This prospectus supplement is an offer to sell only the securities offered hereby, and only under circumstances and in jurisdictions where it is lawful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are part of a registration statement on Form S-3 (File No. 333-275843) we filed with the Securities and Exchange Commission, or SEC, using a “shelf” registration process. Under this “shelf” process, we may sell from time to time in one or more offerings up to $100,000,000 of our common stock, preferred stock, debt securities, warrants, depositary shares, subscription rights, purchase contracts and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stated otherwise, all references in this prospectus supplement and the accompanying base prospectus to “we,” “us,” “our” or similar references mean Ocean Power Technologies, Inc. and its subsidiaries on a consolidated basis.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caps/>
          <w:bdr w:val="single" w:sz="8" w:space="7" w:color="000000"/>
        </w:rPr>
      </w:pPr>
      <w:r>
        <w:rPr>
          <w:caps/>
          <w:bdr w:val="single" w:sz="8" w:space="7"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7" w:color="000000"/>
        </w:rPr>
      </w:pPr>
      <w:bookmarkStart w:id="3" w:name="G_002"/>
      <w:bookmarkEnd w:id="3"/>
      <w:r>
        <w:rPr>
          <w:rFonts w:ascii="Times New Roman;Times;Serif" w:hAnsi="Times New Roman;Times;Serif"/>
          <w:b/>
          <w:i w:val="false"/>
          <w:caps/>
          <w:sz w:val="20"/>
          <w:bdr w:val="single" w:sz="8" w:space="7" w:color="000000"/>
        </w:rPr>
        <w:t>Prospectus Summary</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8" w:space="7" w:color="000000"/>
        </w:rPr>
      </w:pPr>
      <w:r>
        <w:rPr>
          <w:rFonts w:ascii="Times New Roman;Times;Serif" w:hAnsi="Times New Roman;Times;Serif"/>
          <w:b w:val="false"/>
          <w:i/>
          <w:caps w:val="false"/>
          <w:smallCaps w:val="false"/>
          <w:sz w:val="20"/>
          <w:bdr w:val="single" w:sz="8" w:space="7" w:color="000000"/>
        </w:rPr>
        <w:t>This summary highlights certain information about us, this offering and information appearing elsewhere in this prospectus supplement, in the accompanying prospectus and in the documents we incorporate by reference. This summary is not complete and does not contain all of the information that you should consider before investing in our securities. To fully understand this offering and its consequences to you, you should read this entire prospectus supplement and the accompanying prospectus carefully, including the information referred to under the heading “Risk Factors” in this prospectus supplement on page S-3, and the financial statements and other information incorporated by reference in this prospectus supplement and the accompanying prospectus when making an investment decision. In this prospectus supplement, the terms “we,” “us,” and the “company” refer to Ocean Power Technologies, Inc. and its subsidiaries.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 xml:space="preserve">Our Company </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are a Maritime Domain Awareness company specializing in innovative intelligent maritime solutions. These solutions include a variety of “as a service” systems, including Data as a Service, Robotics as a Service, and Power as a Service.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hold numerous patents and leverages decades of research including control systems, energy storage, and marine integration. Our headquarters and assembly operations are located in New Jersey, and we maintain an additional manufacturing and our robotics development facility in Richmond, CA.</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We are committed to enabling a smarter, safer ocean economy through innovation in ocean intelligence and power. As we look forward, our strategic priorities include expanding our customer base, accelerating technology adoption, enhancing recurring revenue, and driving margin growth through platform scalability and supply chain efficiencies.</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Corporate Information</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Our principal executive offices are located at 28 Engelhard Drive, Monroe Township, New Jersey 08831. Our telephone number is (609) 730-0400. We were incorporated in New Jersey in 1984 and reincorporated in the State of Delaware in 2007. We maintain a website at www.oceanpowertechnologies.com where general information about us is available. We are not incorporating the contents of the website into this prospectus.</w:t>
      </w:r>
    </w:p>
    <w:p>
      <w:pPr>
        <w:pStyle w:val="TextBody"/>
        <w:bidi w:val="0"/>
        <w:spacing w:before="0" w:after="0"/>
        <w:ind w:left="0" w:right="0" w:hanging="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7" w:color="000000"/>
        </w:rPr>
      </w:pPr>
      <w:bookmarkStart w:id="4" w:name="G_003"/>
      <w:bookmarkEnd w:id="4"/>
      <w:r>
        <w:rPr>
          <w:rFonts w:ascii="Times New Roman;Times;Serif" w:hAnsi="Times New Roman;Times;Serif"/>
          <w:b/>
          <w:i w:val="false"/>
          <w:caps w:val="false"/>
          <w:smallCaps w:val="false"/>
          <w:sz w:val="20"/>
          <w:bdr w:val="single" w:sz="8" w:space="7" w:color="000000"/>
        </w:rPr>
        <w:t>The Offering</w:t>
      </w:r>
    </w:p>
    <w:p>
      <w:pPr>
        <w:pStyle w:val="TextBody"/>
        <w:bidi w:val="0"/>
        <w:spacing w:before="0" w:after="0"/>
        <w:ind w:left="0" w:right="0" w:hanging="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1571"/>
        <w:gridCol w:w="60"/>
        <w:gridCol w:w="8574"/>
      </w:tblGrid>
      <w:tr>
        <w:trPr/>
        <w:tc>
          <w:tcPr>
            <w:tcW w:w="157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having an aggregate offering price of up to $40,000,000. The actual number of shares issued will vary depending on the sales price under this offering.</w:t>
            </w:r>
          </w:p>
          <w:p>
            <w:pPr>
              <w:pStyle w:val="TableContents"/>
              <w:bidi w:val="0"/>
              <w:spacing w:before="0" w:after="0"/>
              <w:ind w:left="0" w:right="0" w:hanging="0"/>
              <w:jc w:val="both"/>
              <w:rPr>
                <w:caps w:val="false"/>
                <w:smallCaps w:val="false"/>
              </w:rPr>
            </w:pPr>
            <w:r>
              <w:rPr>
                <w:caps w:val="false"/>
                <w:smallCaps w:val="false"/>
              </w:rPr>
              <w:t> </w:t>
            </w:r>
          </w:p>
        </w:tc>
      </w:tr>
      <w:tr>
        <w:trPr/>
        <w:tc>
          <w:tcPr>
            <w:tcW w:w="157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to be outstanding after the offering(1)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257,569,278 shares of our common stock, assuming the sale of 76,923,076 shares (calculated as $40,000,000 of shares of our common stock at a sale price of $0.52 per share, which was the last reported sale price of our common stock on the NYSE American on August 5, 2025). The actual number of shares issued and outstanding will vary depending on the sales price under this offering.</w:t>
            </w:r>
          </w:p>
          <w:p>
            <w:pPr>
              <w:pStyle w:val="TableContents"/>
              <w:bidi w:val="0"/>
              <w:spacing w:before="0" w:after="0"/>
              <w:ind w:left="0" w:right="0" w:hanging="0"/>
              <w:jc w:val="both"/>
              <w:rPr>
                <w:caps w:val="false"/>
                <w:smallCaps w:val="false"/>
              </w:rPr>
            </w:pPr>
            <w:r>
              <w:rPr>
                <w:caps w:val="false"/>
                <w:smallCaps w:val="false"/>
              </w:rPr>
              <w:t> </w:t>
            </w:r>
          </w:p>
        </w:tc>
      </w:tr>
      <w:tr>
        <w:trPr/>
        <w:tc>
          <w:tcPr>
            <w:tcW w:w="1571"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4"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offering” that may be made from time to time to or through our sales agent, Ladenburg. See “Plan of Distribution” on page S-9.</w:t>
            </w:r>
          </w:p>
          <w:p>
            <w:pPr>
              <w:pStyle w:val="TableContents"/>
              <w:bidi w:val="0"/>
              <w:spacing w:before="0" w:after="0"/>
              <w:ind w:left="0" w:right="0" w:hanging="0"/>
              <w:jc w:val="both"/>
              <w:rPr>
                <w:caps w:val="false"/>
                <w:smallCaps w:val="false"/>
              </w:rPr>
            </w:pPr>
            <w:r>
              <w:rPr>
                <w:caps w:val="false"/>
                <w:smallCaps w:val="false"/>
              </w:rPr>
              <w:t> </w:t>
            </w:r>
          </w:p>
        </w:tc>
      </w:tr>
      <w:tr>
        <w:trPr/>
        <w:tc>
          <w:tcPr>
            <w:tcW w:w="157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to advance the sales and marketing of its existing products, including additional PowerBuoys and WAM-Vs to meet market demand, to further advance the development of new products and solutions, to engage in corporate development and potential merger and acquisition activities, to meet working capital needs, capital expenditures, to repay or refinance indebtedness, to repurchases and redeem securities, and for other general corporate purposes. However, we will retain broad discretion over how the net proceeds are used. See “Use of Proceeds” on page S-5.</w:t>
            </w:r>
          </w:p>
          <w:p>
            <w:pPr>
              <w:pStyle w:val="TableContents"/>
              <w:bidi w:val="0"/>
              <w:spacing w:before="0" w:after="0"/>
              <w:ind w:left="0" w:right="0" w:hanging="0"/>
              <w:jc w:val="both"/>
              <w:rPr>
                <w:caps w:val="false"/>
                <w:smallCaps w:val="false"/>
              </w:rPr>
            </w:pPr>
            <w:r>
              <w:rPr>
                <w:caps w:val="false"/>
                <w:smallCaps w:val="false"/>
              </w:rPr>
              <w:t> </w:t>
            </w:r>
          </w:p>
        </w:tc>
      </w:tr>
      <w:tr>
        <w:trPr/>
        <w:tc>
          <w:tcPr>
            <w:tcW w:w="157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You should carefully consider all of the information in this prospectus supplement, the accompanying prospectus and the documents incorporated by reference in this prospectus supplement and the accompanying prospectus. In particular, see “Risk Factors” beginning on page S-3 of this prospectus supplement.</w:t>
            </w:r>
          </w:p>
        </w:tc>
      </w:tr>
      <w:tr>
        <w:trPr/>
        <w:tc>
          <w:tcPr>
            <w:tcW w:w="15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NYSE American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OPTT”</w:t>
            </w:r>
          </w:p>
        </w:tc>
      </w:tr>
    </w:tbl>
    <w:p>
      <w:pPr>
        <w:pStyle w:val="TextBody"/>
        <w:bidi w:val="0"/>
        <w:spacing w:before="0" w:after="0"/>
        <w:ind w:left="0" w:right="0" w:hanging="0"/>
        <w:jc w:val="center"/>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outstanding after this offering is based on 180,646,202 shares of our common stock outstanding as of August 5, 2025, and excludes, as of such date, (i) options representing the right to purchase a total of 483,342 shares of common stock at a weighted average exercise price of approximately $2.59 per share, and (ii) unvested restricted stock units representing the right to acquire a total of 21,651,787 shares of common stock.</w:t>
            </w:r>
          </w:p>
        </w:tc>
      </w:tr>
    </w:tbl>
    <w:p>
      <w:pPr>
        <w:pStyle w:val="TextBody"/>
        <w:bidi w:val="0"/>
        <w:spacing w:before="0" w:after="0"/>
        <w:ind w:left="0" w:right="0" w:hanging="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G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common stock involves substantial risk. You should carefully consider the risk factors disclosed below as well as those contained in our most recent Annual Report on Form 10-K, which is incorporated by reference herein, as updated by our subsequent filings under the Securities Exchange Act of 1934, as amended (the “Exchange Act”), and the other information contained in this prospectus supplement and the accompanying prospectus before acquiring any of our common stock. These risks could have a material adverse effect on our business, results of operations or financial condition and cause the value of our common stock to decline. You could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supplement and the accompanying prospectus also contain or incorporate by reference forward-looking statements that involve risks and uncertainties. Our actual results could differ materially from those anticipated in the forward-looking statements as a result of certain factors, including the risks faced by us described or incorporated by reference in this prospectus supplement and the accompanying prospectus. See “Cautionary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 and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Historically, our stock price has been volatile, and this is likely to continue; purchasers of our common stock could incur substantial losses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market price of our common stock has fluctuated significantly, and we expect that this will continue. Purchasers of our common stock could incur substantial losses relating to their investment in our stock as a result.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pStyle w:val="TextBody"/>
        <w:bidi w:val="0"/>
        <w:spacing w:before="0" w:after="0"/>
        <w:ind w:left="0" w:right="0" w:firstLine="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our business or with respect to our projects;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products or technologies;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foreign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patents or other proprietary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or annual variations in our financial results or those of companies that are perceived to be similar to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 conditions in the conventional and renewable energy industries and issuance of new or changed securities analysts’ reports or recommendations;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securities analysts to cover our common stock or changes in financial estimates by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meet the financial estimates of analysts who follow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 perception of our company and of our targeted markets;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w:t>
            </w:r>
          </w:p>
        </w:tc>
      </w:tr>
    </w:tbl>
    <w:p>
      <w:pPr>
        <w:pStyle w:val="TextBody"/>
        <w:bidi w:val="0"/>
        <w:spacing w:before="0" w:after="0"/>
        <w:ind w:left="7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valuation of our business may fluctuate due to factors beyond our control and the value of the investment of our stockholders may fluctuate correspondingly.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valuation of energy companies, such as us, frequently fluctuate due to factors unrelated to the past or present operating performance of such companies. Our market valuation may fluctuate significantly in response to a number of factors, many of which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securities analysts’ estimates of our financial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stock market prices and volumes, particularly among securities of energy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contracts, new technologies, acquisitions, commercial relationships, joint ventures or capital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coal, oil, natural gas, methanol and ammonia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 major customer of failure to complete significant commercial contracts;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 relationship with a partner;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value of your investment may fluctuate.</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proceeds from this offering and may not use the proceeds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as to the application of the net proceeds from this offering and could spend the proceeds in a variety of ways that may ultimately fail to improve our operating results or enhance the value of our common stock. Our failure to apply these funds effectively could have a negative effect on our business and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convertible notes have certain limitations on sales in this offering and our use of proceeds, which may limit our ability to use this offering to raise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that we issued in May 2025 include certain limitation on the total dollars we can raise in this offering and also may require us to use the proceeds of this offering to pay down the principal and interest on those convertible notes. In addition, the investors in our December 2024 convertible note financing have certain rights of participation in our future financings. Any limitations which are imposed on our ability to utilize this “at the market offering” or require us to use the proceeds of the offering to pay down the notes rather than on our business could have an adverse effect on our results of operation. We could also be required to raise capital through other means and there is no assurance will be available on terms that are acceptable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large number of shares may be sold in the market following this offering, which may depress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shares of common stock sold in the offering will be freely tradable without restriction or further registration under the Securities Act. As a result, a substantial number of our shares of common stock may be sold in the public market following this offering, which may cause the market price of our common stock to decline. If there are more shares of common stock offered for sale than buyers are willing to purchase, then the market price of our common stock may decline to a market price at which buyers are willing to purchase the offered shares of common stock and sellers remain willing to sell the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shares we will issue under the sales agreement, at any one time or in total,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placement notice to Ladenburg at any time and from time to time during the term of the sales agreement, as discussed in the “Plan of Distribution” below. The actual number of shares common stock that are sold to or through Ladenburg on our behalf pursuant to any placement notice we deliver to Ladenburg will depend on the market price of the common stock during the periods in which sales are made and any restrictions or limitations applicable to such sales, such as a minimum price below which sales may not be made, that we may include in such placement notice or that otherwise apply under the sales agreement. Because the price per share of each share of common stock sold will fluctuate based on the market price of our common stock during the sales period, it is not possible at this stage to predict the number of shares that will ultimately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shares of our common stock offered pursuant to this prospectus supplement and the accompanying base prospectus may be made in sales deemed to be an “at the market offering,” and 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of our common stock under this prospectus supplement and the accompanying base prospectus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declines in the value of their shares as a result of share sales made at prices lower than the prices they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You may experience immediate dilution in the book value per share of the common stock you purchase.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price per share of our common stock being offered from time to time may be substantially higher than the book value per share of our common stock at the time of the sale, you may suffer substantial dilution in the net tangible book value of the common stock you purchase in this offering. Assuming that an aggregate of 76,923,076 shares of our common stock are sold at a price of $0.52 per share, the last reported sale price of our common stock on the NYSE American on August 5, 2025, new investors in this offering will incur immediate dilution of $0.28 per share, representing the difference between our pro forma as adjusted net tangible book value per share as of April 30, 2025 after giving effect to this offering. For a more detailed discussion of the foregoing, see the section entitled “Dilution” elsewhere in this prospectus supplement. To the extent that our outstanding stock options or warrants are exercised, there will be further dilution to new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will not declare cash dividends on our common stock in the foreseeable future, stockholders must rely on appreciation of the value of our common stock for any return on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common stock. We currently anticipate that we will retain future earnings for the development, operation and expansion of our business and will not declare or pay any cash dividends in the foreseeable future. As a result, only appreciation of the price of our common stock, if any, will provide a return to investors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will not declare cash dividends on our common stock in the foreseeable future, stockholders must rely on appreciation of the value of our common stock for any return on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common stock. We currently anticipate that we will retain future earnings for the development, operation and expansion of our business and will not declare or pay any cash dividends in the foreseeable future. As a result, only appreciation of the price of our common stock, if any, will provide a return to investors in this offering.</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G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shares of our common stock having aggregate sales proceeds of up to $40,000,000 from time to time, before deducting sales agent commissions and expenses. The amount of proceeds from this offering will depend upon the number of shares of our common stock sold to or through Ladenburg under the sales agreement and the prices at which they are sold. There can be no assurance that we will be able to sell any shares of common stock under the sales agreement with Ladenburg or to what extent we will be able to utilize the sales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if any, to advance the sales and marketing of its existing products, including additional PowerBuoys and WAM-Vs to meet market demand, to further advance the development of new products and solutions, to engage in corporate development and potential merger and acquisition activities, to meet working capital needs, capital expenditures, to repay or refinance indebtedness  , to repurchases and redeem securities, and for other general corporate purposes. The amounts and timing of these expenditures will depend on a number of factors, such as the timing, scope, progress and results of our research and development efforts, the timing and progress of any partnering efforts, and the regulatory and competitive environment. As of the date of this prospectus, we have not determined the amount of net proceeds to be used specifically for any particular purpose or the timing of any expenditures. Accordingly, management will retain broad discretion and flexibility in applying the net proceeds from the sale of the securities, if any. We are implementing this “at the market offering” program to add flexibility to our ability to raise equity capital. Pending any use of the net proceeds from this offering, if any, we intend to deposit the proceeds in checking or money market accounts, or invest in short term highly rated investments, at financial institutions.</w:t>
      </w:r>
    </w:p>
    <w:p>
      <w:pPr>
        <w:pStyle w:val="TextBody"/>
        <w:bidi w:val="0"/>
        <w:spacing w:before="0" w:after="0"/>
        <w:ind w:left="0" w:right="0" w:firstLine="46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G_006"/>
      <w:bookmarkEnd w:id="7"/>
      <w:r>
        <w:rPr>
          <w:rFonts w:ascii="Times New Roman;Times;Serif" w:hAnsi="Times New Roman;Times;Serif"/>
          <w:b/>
          <w:i w:val="false"/>
          <w:caps/>
          <w:sz w:val="20"/>
        </w:rPr>
        <w:t>Dividend Policy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DILUTION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securities in this offering, your interest may be diluted immediately to the extent of the difference between the public offering price per share paid by the purchasers of the shares of common stock in this offering and the as adjusted net tangible book value per shares of common stock after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2025, our as reported net tangible book value was $12.6 million, or $0.08 per share of common stock. Net tangible book value per share represents our total tangible assets, less our total liabilities, divided by the number of outstanding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 forma net tangible book value as of April 30, 2025 was $22.8 million, or $0.12 per share of common stock. Pro forma net tangible book value per share gives effect to the receipt of net proceeds of $9.7 million in connection with the sale of $10 million of convertible notes on May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represents the difference between the amount per share paid by purchasers in this offering and the pro forma as adjusted net tangible book value per share of common stock after the offering. After giving effect to the sale of our common stock in the aggregate amount of $40 million in this offering at an assumed offering price of $0.52, the last reported sale price of our common stock on the NYSE American on August 5, 2025, our pro forma as adjusted net tangible book value as of April 30, 2025 would have been $0.24 per share. This represents an immediate increase in net tangible book value of $0.12 per share to existing stockholders on a pro forma as adjusted basis and immediate decrease in net tangible book value of $0.28 per share to new investors purchasing our common stock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dilution in net tangible book value per share to new investors as of April 30, 2025. The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 We will not offer and sell shares in excess of any amount that would cause the number of our outstanding shares to exceed the number of shares then authorized to be issued under our certificate of incorporation, which is 300,000,000 shares as of the date of this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90"/>
        <w:gridCol w:w="60"/>
        <w:gridCol w:w="140"/>
        <w:gridCol w:w="440"/>
        <w:gridCol w:w="60"/>
        <w:gridCol w:w="60"/>
        <w:gridCol w:w="140"/>
        <w:gridCol w:w="440"/>
        <w:gridCol w:w="75"/>
      </w:tblGrid>
      <w:tr>
        <w:trPr/>
        <w:tc>
          <w:tcPr>
            <w:tcW w:w="8790" w:type="dxa"/>
            <w:tcBorders/>
            <w:shd w:fill="CCEEFF" w:val="clear"/>
            <w:vAlign w:val="center"/>
          </w:tcPr>
          <w:p>
            <w:pPr>
              <w:pStyle w:val="TableContents"/>
              <w:bidi w:val="0"/>
              <w:spacing w:before="0" w:after="283"/>
              <w:jc w:val="left"/>
              <w:rPr/>
            </w:pPr>
            <w:r>
              <w:rPr/>
              <w:t>Assumed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0.52</w:t>
            </w:r>
          </w:p>
        </w:tc>
        <w:tc>
          <w:tcPr>
            <w:tcW w:w="75" w:type="dxa"/>
            <w:tcBorders/>
            <w:shd w:fill="CCEEFF" w:val="clear"/>
            <w:vAlign w:val="center"/>
          </w:tcPr>
          <w:p>
            <w:pPr>
              <w:pStyle w:val="TableContents"/>
              <w:bidi w:val="0"/>
              <w:spacing w:before="0" w:after="283"/>
              <w:jc w:val="left"/>
              <w:rPr/>
            </w:pPr>
            <w:r>
              <w:rPr/>
              <w:t> </w:t>
            </w:r>
          </w:p>
        </w:tc>
      </w:tr>
      <w:tr>
        <w:trPr/>
        <w:tc>
          <w:tcPr>
            <w:tcW w:w="8790" w:type="dxa"/>
            <w:tcBorders/>
            <w:shd w:fill="FFFFFF" w:val="clear"/>
            <w:vAlign w:val="center"/>
          </w:tcPr>
          <w:p>
            <w:pPr>
              <w:pStyle w:val="TableContents"/>
              <w:bidi w:val="0"/>
              <w:spacing w:before="0" w:after="283"/>
              <w:jc w:val="left"/>
              <w:rPr/>
            </w:pPr>
            <w:r>
              <w:rPr/>
              <w:t>Historical net tangible book value per share at April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8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8790" w:type="dxa"/>
            <w:tcBorders/>
            <w:shd w:fill="FFFFFF" w:val="clear"/>
            <w:vAlign w:val="center"/>
          </w:tcPr>
          <w:p>
            <w:pPr>
              <w:pStyle w:val="TableContents"/>
              <w:bidi w:val="0"/>
              <w:spacing w:before="0" w:after="283"/>
              <w:jc w:val="left"/>
              <w:rPr/>
            </w:pPr>
            <w:r>
              <w:rPr/>
              <w:t>Pro forma net tangible book value per share at April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8790" w:type="dxa"/>
            <w:tcBorders/>
            <w:shd w:fill="CCEEFF" w:val="clear"/>
            <w:vAlign w:val="center"/>
          </w:tcPr>
          <w:p>
            <w:pPr>
              <w:pStyle w:val="TableContents"/>
              <w:bidi w:val="0"/>
              <w:spacing w:before="0" w:after="283"/>
              <w:jc w:val="left"/>
              <w:rPr/>
            </w:pPr>
            <w:r>
              <w:rPr/>
              <w:t>Increase in net tangible book value per share to existing stockholders attributable to this offering on a pro forma basis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pPr>
            <w:r>
              <w:rPr/>
              <w:t>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8790" w:type="dxa"/>
            <w:tcBorders/>
            <w:shd w:fill="FFFFFF" w:val="clear"/>
            <w:vAlign w:val="center"/>
          </w:tcPr>
          <w:p>
            <w:pPr>
              <w:pStyle w:val="TableContents"/>
              <w:bidi w:val="0"/>
              <w:spacing w:before="0" w:after="283"/>
              <w:jc w:val="left"/>
              <w:rPr/>
            </w:pPr>
            <w:r>
              <w:rPr/>
              <w:t>Pro forma as adjusted net tangible book value per share after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0.24</w:t>
            </w:r>
          </w:p>
        </w:tc>
        <w:tc>
          <w:tcPr>
            <w:tcW w:w="75" w:type="dxa"/>
            <w:tcBorders/>
            <w:shd w:fill="FFFFFF" w:val="clear"/>
            <w:vAlign w:val="center"/>
          </w:tcPr>
          <w:p>
            <w:pPr>
              <w:pStyle w:val="TableContents"/>
              <w:bidi w:val="0"/>
              <w:spacing w:before="0" w:after="283"/>
              <w:jc w:val="left"/>
              <w:rPr/>
            </w:pPr>
            <w:r>
              <w:rPr/>
              <w:t> </w:t>
            </w:r>
          </w:p>
        </w:tc>
      </w:tr>
      <w:tr>
        <w:trPr/>
        <w:tc>
          <w:tcPr>
            <w:tcW w:w="8790" w:type="dxa"/>
            <w:tcBorders/>
            <w:shd w:fill="CCEEFF" w:val="clear"/>
            <w:vAlign w:val="center"/>
          </w:tcPr>
          <w:p>
            <w:pPr>
              <w:pStyle w:val="TableContents"/>
              <w:bidi w:val="0"/>
              <w:spacing w:before="0" w:after="283"/>
              <w:jc w:val="left"/>
              <w:rPr/>
            </w:pPr>
            <w:r>
              <w:rPr/>
              <w:t>Decrease in net tangible book value per share to new investors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 adjusted number of shares of common stock to be outstanding immediately following this offering is based on 171,263,086 shares of our common stock outstanding as of April 30, 2025, plus up to an assumed 76,923,076 shares issuable in this offering, and excludes, as of such date, (i) options representing the right to purchase a total of 483,382 shares of common stock at a weighted average exercise price of approximately $2.59 per share, and (ii) unvested restricted stock units representing the right to acquire a total of 24,446,522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and table above assume no exercise of outstanding options or warrants. To the extent that options or warrants are exercised, you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pStyle w:val="TextBody"/>
        <w:bidi w:val="0"/>
        <w:spacing w:before="0" w:after="0"/>
        <w:ind w:left="0" w:right="0" w:hanging="0"/>
        <w:jc w:val="left"/>
        <w:rPr>
          <w:caps/>
        </w:rPr>
      </w:pPr>
      <w:r>
        <w:rPr>
          <w:caps/>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G_007"/>
      <w:bookmarkEnd w:id="8"/>
      <w:r>
        <w:rPr>
          <w:rFonts w:ascii="Times New Roman;Times;Serif" w:hAnsi="Times New Roman;Times;Serif"/>
          <w:b/>
          <w:i w:val="false"/>
          <w:caps/>
          <w:sz w:val="20"/>
        </w:rPr>
        <w:t>Description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offering, we are offering shares of our common stock having an aggregate gross sales price of up to $40,000,000. In the discussion that follows, we have summarized selected provisions of our certificate of incorporation and bylaws. You should read our certificate of incorporation and bylaws as currently in effect for more details regarding the provisions we describe below and for other provisions that may be important to you. We have filed copies of those documents with the SEC, and they are incorporated by reference herein. Please read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common stock and provisions of our certificate of incorporation and bylaws are summaries and are qualified by reference to our certificate of incorporation and bylaws, which have been incorporated by reference as exhibits to the registration statement of which this prospectus supplement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300,000,000 shares of common stock, par value $0.001 per share, and 5,000,000 shares of preferred stock, par value $0.001 per share, all of which are undesignated. On July 11, 2023, we issued preferred stock purchase rights which are attached to our common stock in connection with our adoption of a Section 382 Tax Benefits Preservation Plan as described below under “-Section 382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5, 2025, there were 180,646,202 shares of common stock outstanding, and no shares of preferred stock were issued or outstanding. As of August 5, 2025, there also were outstanding (i) options representing the right to purchase a total of 483,342 shares of common stock at a weighted average exercise price of approximately $2.59 per share, and (ii) unvested restricted stock units representing the right to acquire a total of 21,651,787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common stock are entitled to receive proportionately any dividends that may be declared by our board of directors (“Board”), subject to any preferential dividend rights of outstanding preferred stock.</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and Distribution</w:t>
      </w:r>
      <w:r>
        <w:rPr>
          <w:rFonts w:ascii="Times New Roman;Times;Serif" w:hAnsi="Times New Roman;Times;Serif"/>
          <w:b w:val="false"/>
          <w:i w:val="false"/>
          <w:caps w:val="false"/>
          <w:smallCaps w:val="false"/>
          <w:sz w:val="20"/>
        </w:rPr>
        <w:t>.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Our Certificate of Incorporation and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currently provides that directors may be removed only for cause and only by the affirmative vote of the holders of 75% of our shares of capital stock present in person or by proxy and entitled to vote. However, our Board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pStyle w:val="TextBody"/>
        <w:bidi w:val="0"/>
        <w:spacing w:before="0" w:after="0"/>
        <w:ind w:left="40" w:right="0" w:firstLine="68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p>
      <w:pPr>
        <w:pStyle w:val="TextBody"/>
        <w:bidi w:val="0"/>
        <w:spacing w:before="0" w:after="0"/>
        <w:ind w:left="0" w:right="0" w:hanging="0"/>
        <w:jc w:val="left"/>
        <w:rPr/>
      </w:pPr>
      <w:r>
        <w:rPr/>
        <w:t> </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our Board, including a vacancy resulting from an enlargement of our Board, may be filled only by vote of a majority of our directors then in office.</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on the ability of our stockholders to remove directors and fill vacancies could make it more difficult for a third party to acquire, or discourage a third party from seeking to acquire, control of us.</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Action by Written Consent;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our Board, our chief executive officer, our president or our Board.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Requirements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Business Combination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382 Tax Benefits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the adoption of a tax benefits preservation plan in the form of a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OPT’s common stock. Accordingly, there can be no assurance that the tax benefits preservation plan will prevent an “ownership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tax benefits preservation plan, we distributed to our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our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purchase rights and the tax benefits preservation plan will expire no later than June 29, 2026.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or the affirmative vote of the holders of at least 75% of the voting power of our capital stock issued and outstanding and entitled to vote on the matter.</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pStyle w:val="TextBody"/>
        <w:bidi w:val="0"/>
        <w:spacing w:before="0" w:after="0"/>
        <w:ind w:left="0" w:right="0" w:hanging="0"/>
        <w:jc w:val="center"/>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their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acts or omissions not in good faith or that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voting or assenting to unlawful payments of dividends or other distributions;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derived an improper personal benefit.</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Share Ownership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Its address is 250 Royall Street, Canton, MA 02021-1011, and its telephone number is 1-800-662-7232.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G_008"/>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Sales Agreement with Ladenburg, under which we may offer and sell up to $40,000,000 of shares of our common stock from time to time through Ladenburg acting as agent and/or principal. Sales of shares of our common stock, if any, under this prospectus will be made by any method that is deemed to be an “at the market offering” as defined in Rule 415(a)(4) under the Securities Act or in privately negotiated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wish to issue and sell shares of common stock under the Sales Agreement, we will notify Ladenburg of the number of shares to be issued, the dates on which such sales may be made, any limitation on the number of shares to be sold in any one day and any minimum price below which sales may not be made. Once we have so instructed Ladenburg, unless Ladenburg declines to accept the terms of such notice, Ladenburg has agreed to use its commercially reasonable efforts consistent with its normal trading and sales practices to sell such shares up to the amount specified on such terms. The obligations of Ladenburg under the Sales Agreement to sell shares of our common stock are subject to a number of conditions that we must meet.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Sales Agreement, we may also sell shares of our common stock to Ladenburg as principal for its own account at prices agreed upon at the time of sale. If we sell shares of our common stock to Ladenburg as principal, we will enter into a separate terms agreement with Ladenburg.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sales of shares between us and Ladenburg is generally anticipated to occur on the first trading day following the date on which the sale was made, or on some other date that is agreed upon by and between us and Ladenburg in connection with a particular transaction, in return for payment of the net proceeds to us. Sales of shares of our common stock as contemplated in this prospectus supplement will be settled through the facilities of The Depository Trust Company or by such other means as we and Ladenburg may agree upon. There is no arrangement for funds to be received in an escrow, trust or similar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Ladenburg a commission in cash of 3.0% of the aggregate gross proceeds we receive from each sale of shares of our common stock through Ladenburg as our agent. Because there is no minimum offering amount required as a condition to close this offering, the actual total public offering amount, commissions and proceeds to us, if any, are not determinable at this time. In addition, we have agreed to reimburse Ladenburg for the fees and disbursements of its counsel, payable upon execution of the sales agreement, in an amount not to exceed $50,000, in addition to certain ongoing disbursements of Ladenburg’s legal counsel (as further described in the Sales Agreement) in connection with the filing of a new registration statement, prospectus or prospectus supplement relating to the “at the market offering” and/or an amendment of the Sales Agreement as well as diligence bring downs. In addition to such fees, at the end of each quarter in which the offering is open we have agreed to pay Ladenburg’s legal counsel up to an additional $3,500. We estimate that the total expenses for the offering, excluding any commissions or expense reimbursement payable to Ladenburg under the terms of the Sales Agreement, will be approximately $100,000. The remaining sale proceeds, after deducting any other transaction fees, will equal our net proceeds from the sale of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will provide written confirmation to us following the close of trading on the NYSE American on each day on which shares of common stock are sold under the Sales Agreement. Each confirmation will include the number of shares sold on that day, the aggregate gross proceeds of such sales and the proceeds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shares of common stock on our behalf, Ladenburg will be deemed to be an “underwriter” within the meaning of the Securities Act, and the compensation of Ladenburg will be deemed to be underwriting commissions or discounts. We have agreed to indemnify Ladenburg against certain civil liabilities, including liabilities under the Securities Act. We have also agreed to contribute to payments Ladenburg may be required to make in respect of such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will not engage in any market making activities involving shares of our common stock while the offering is ongoing under this prospectus if such activity would be prohibited under Regulation M or other anti-manipulation rules under the Securities Act. As our sales agent, Ladenburg will not engage in any transaction that stabilizes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shares of our common stock pursuant to the Sales Agreement will terminate as permitted therein. We may terminate the Sales Agreement at any time upon two (2) business days’ prior notice and Ladenburg may terminate the Sales Agreement at any time upon two (2) business days’ prior notice at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 A copy of the Sales Agreement will be incorporated by reference into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and its affiliates may in the future provide, various investment banking, commercial banking, financial advisory and other financial services for us and our affiliates, for which services they have received, and may in the future receive customary fees. In the course of its business, Ladenburg may actively trade our securities for its own account or for the accounts of customers, and, accordingly, Ladenburg may at any time hold long or short positions in such securities.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G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being offered by this prospectus and other legal matters concerning this offering will be passed on for us by Porter Hedges LLP, Houston, Texas. Ladenburg is being represented in connection with this offering by Blank Rome LLP, New York,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G_010"/>
      <w:bookmarkEnd w:id="11"/>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of Ocean Power Technologies, Inc. and subsidiaries as of April 30, 2024 and the related consolidated statement of operations, comprehensive loss, stockholders’ equity, and cash flows for the year then ended, has been audited by EisnerAmper LLP, independent registered public accounting firm, as stated in their report, which is incorporated herein by reference. Such consolidated financial statements have been incorporated herein by reference in reliance on the report of such firm given upon their authority as experts in accounting and auditing.</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Ocean Power Technologies, Inc. and subsidiaries (the “Company”) as of April 30, 2025 and the related consolidated statement of operations, shareholders’ equity, and cash flows for the year then ended incorporated in this prospectus by reference from the Annual Report on Form 10-K of the Company for the year ended April 30, 2025, have been audited by Baker Tilly US, LLP, an independent registered public accounting firm, as stated in their report which is incorporated herein by reference. Such consolidated financial statements have been so incorporated in reliance upon the report of such firm given their authority as experts in accounting and auditing.</w:t>
      </w:r>
    </w:p>
    <w:p>
      <w:pPr>
        <w:pStyle w:val="TextBody"/>
        <w:bidi w:val="0"/>
        <w:spacing w:before="0" w:after="0"/>
        <w:ind w:left="0" w:right="0" w:firstLine="72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G_011"/>
      <w:bookmarkEnd w:id="12"/>
      <w:r>
        <w:rPr>
          <w:rFonts w:ascii="Times New Roman;Times;Serif" w:hAnsi="Times New Roman;Times;Serif"/>
          <w:b/>
          <w:i w:val="false"/>
          <w:caps/>
          <w:sz w:val="20"/>
        </w:rPr>
        <w:t>Certain Documents Incorporated By Reference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previously been filed by us with the SEC under the Exchange Act, are incorporated herein by reference:</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April 30, 2025, filed with the SEC on July 24, 2025 (File No. 001-33417);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and Form 8-K/A, filed with the SEC on </w:t>
            </w:r>
            <w:hyperlink r:id="rId4">
              <w:r>
                <w:rPr>
                  <w:rStyle w:val="InternetLink"/>
                  <w:rFonts w:ascii="Times New Roman;Times;Serif" w:hAnsi="Times New Roman;Times;Serif"/>
                  <w:b w:val="false"/>
                  <w:i w:val="false"/>
                  <w:caps w:val="false"/>
                  <w:smallCaps w:val="false"/>
                  <w:sz w:val="20"/>
                </w:rPr>
                <w:t>May 1, 2025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May 5,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May 15,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27,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June 4,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June 6,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June 30,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July 14,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July 25, 2025</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August 5, 2025</w:t>
              </w:r>
            </w:hyperlink>
            <w:r>
              <w:rPr>
                <w:rFonts w:ascii="Times New Roman;Times;Serif" w:hAnsi="Times New Roman;Times;Serif"/>
                <w:b w:val="false"/>
                <w:i w:val="false"/>
                <w:caps w:val="false"/>
                <w:smallCaps w:val="false"/>
                <w:sz w:val="20"/>
              </w:rPr>
              <w:t xml:space="preserve"> (File No. 001-33417) (excluding any information furnished pursuant to Item 2.02 or Item 7.01 of any such Current Report on Form 8-K);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set forth in our registration statement on </w:t>
            </w:r>
            <w:hyperlink r:id="rId14">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on April 18, 2007 (File No. 001-33417) and in any and all subsequent amendments and reports filed for the purpose of updating that description.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(excluding any information furnished pursuant to Item 2.02 or Item 7.01 on any current report on Form 8-K) after the date of the initial registration statement and prior to the effectiveness of the registration statement and after the date of this prospectus supplement and prior to the termination of this offering shall be deemed to be incorporated in this prospectus supplement and the accompanying prospectus by reference and to be a part hereof from the date of filing of such documents. Any statement contained herein, or in a document incorporated or deemed to be incorporated by reference herein, shall be deemed to be modified or superseded for purposes of this prospectus supplement and the accompanying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or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these filings, other than any exhibits, unless the exhibits are specifically incorporated by reference into this prospectus, by writing or telephoning us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Engelhard Drive, Suite 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NJ 08831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 730-0400</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access the reports and documents incorporated by reference into this prospectus through the following website maintained by the SEC: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rPr>
      </w:pPr>
      <w:r>
        <w:rPr>
          <w:caps/>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G_012"/>
      <w:bookmarkEnd w:id="13"/>
      <w:r>
        <w:rPr>
          <w:rFonts w:ascii="Times New Roman;Times;Serif" w:hAnsi="Times New Roman;Times;Serif"/>
          <w:b/>
          <w:i w:val="false"/>
          <w:caps/>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and in accordance therewith, file reports, proxy statements and other information with the SEC. These reports, proxy statements and other information can be inspected and copied at the SEC’s Public Reference room at 100 F Street, N.E., Washington, D.C. 20549. The public may obtain information on the operation of the Public Reference Room by calling the SEC at 1-800-SEC-0330. In addition, the SEC maintains an Internet site at www.sec.gov that contains reports, proxy and information statements, and other information regarding issuers that file electronically with the SEC. We maintain a website at www.oceanpowertechnologies.com. Information on our website or any other website is not incorporated by reference into this prospectus and does not constitute part of this prospectus. Please note that information contained in our website, whether currently posted or posted in the future, is not a part of this prospectus or the documents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G_013"/>
      <w:bookmarkEnd w:id="14"/>
      <w:r>
        <w:rPr>
          <w:rFonts w:ascii="Times New Roman;Times;Serif" w:hAnsi="Times New Roman;Times;Serif"/>
          <w:b/>
          <w:i w:val="false"/>
          <w:caps/>
          <w:sz w:val="20"/>
        </w:rPr>
        <w:t>Cautionary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discussed in this prospectus, our filings with the SEC and our public releases include “forward-looking statements” within the meaning of Section 27A of the Securities Act, and Section 21E of the Exchange Act. Forward-looking statements are subject to certain risks, trends and uncertainties that could cause actual results to differ materially from those projected. Among those risks, trends and uncertainties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improve, market and commercialize our products, and achieve and sustain profitability;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continued improvement of our proprietary technologies, and expected continued use of cash from operating activities unless or until we achieve positive cash flow from the commercialization of our products and services;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current legislation, regulations and economic conditions regarding Federal governmental tariffs, the implementation on the new US Department of Governmental Efficiency (“DOGE”) and related DOGE federal governmental budget cuts and the potential that this affects the demand for, or restrict the use of, our products and services;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obtain additional funding, as and if needed, which will be subject to several factors, including market conditions, our financial condition and our operating performance;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comply with the covenants and other obligations under our convertible notes;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substantial doubt about our ability to continue as a going concern;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history of operating losses, which we expect to continue for at least the short-term and possibly longer;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challenges and expenses associated with communications and disputes with activist shareholders, including litigation;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and mitigate risks associated with our internal cyber security protocols and protection of the data we collect and distribute;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protect our intellectual property portfolio;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inflation related to the U.S. dollar on our business, operations, customers, suppliers, manufacturers, and personnel;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forecasts and estimates regarding future expenses, revenue, gross margin, cash flow and capital requirements;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identify and penetrate markets for our products, services, and solutions;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effectively respond to competition in our targeted markets;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establish relationships with our existing and future strategic partners which may not be successful;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maintain the listing of our common stock on the NYSE American;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reliability and continuous improvement of our technology, products and solutions;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increase or more efficiently utilize the synergies available from our product lines: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markets across geographic boundaries;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be successful with Federal government work which is complex due to various statutes and regulations applicable to doing business with the Federal government;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be successful doing business internationally which requires strict compliance with applicable statutes and regulations;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current geopolitical world uncertainty, including tariffs, Russia’s invasion of Ukraine, the Israel/Palestine conflict and previous attacks on merchant ships in the Red Sea;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impact that new foreign country tariffs may have on our ability (i) to source and procure necessary raw materials for the manufacture and provision of our products and services; and (ii) to deliver our products to such foreign countries;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hire and retain key personnel, including senior management, to achieve our business objectives;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establish and maintain consistent commercial profit margins.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identified by their use of terms and phrases such as “expect,” “estimate,” “project,” “plan,” “believe,” “achievable,” “anticipate” and similar terms and phrases. Although we believe that the expectations reflected in these forward-looking statements are reasonable, they do involve certain assumptions, risks and uncertainties. Our actual results could differ materially from those anticipated in these forward-looking statements as a result of certain factors, including but not limited to the risks and uncertainties discussed in the section entitled “Risk Factors” included elsewhere in this prospectus supplement and the accompanying prospectus and in the documents that we include in or incorporate by reference into this prospectus supplement and the accompanying prospectus, including our Annual Report on Form 10-K for the fiscal year ended April 30, 2025 and our subsequent SEC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attributable to us or persons acting on our behalf are expressly qualified in their entirety by the cautionary statements in this section and elsewhere in this prospectus and in the documents incorporated by reference. Other than as required under the securities laws, we do not assume a duty to update these forward-looking statements, whether as a result of new information, subsequent events or circumstances, changes in expectations or otherwise.</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1390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857500" cy="1390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OCEAN POWER TECHNOLOGIES,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br/>
        <w:t>Common Stock</w:t>
        <w:br/>
        <w:t>Preferred Stock</w:t>
        <w:br/>
        <w:t>Depositary Shares</w:t>
        <w:br/>
        <w:t>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br/>
        <w:t>Purchase Contracts</w:t>
        <w:b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debt securities, shares of our common stock, shares of our preferred stock, depositary shares, warrants, subscription rights, purchase contracts and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initial offering price of the securities that we offer will not exceed $100,000,000. We will offer the securities in amounts, at prices and on terms to be determined at the time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the NYSE American under the symbol “OPTT.” The last reported sale price of our common stock on November 27, 2023 was $0.30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our outstanding common stock held by non-affiliates was $17,487,005 based on 58,788,718 shares of outstanding common stock as of November 27, 2023, of which approximately 58,290,016 shares were held by non-affiliates, and based on the last reported sale price of our common stock as noted above. Pursuant to General Instruction I.B.6 of Form S-3, in no event will we sell securities pursuant to this prospectus with a value of more than one-third of the aggregate market value of our common stock held by non-affiliates in any 12-month period, so long as the aggregate market value of our common stock held by non-affiliates is less than $75,000,000. In the event that subsequent to the date of this prospectus, the aggregate market value of our outstanding common stock held by non-affiliates equals or exceeds $75,000,000, then the one-third limitation on sales shall not apply to additional sales made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the specific terms of the offering in supplements to this prospectus. You should read this prospectus and any supplement carefully before you invest. This prospectus may not be used to offer and sell our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significant risks that are described in the “Risk Factors” section beginning on page 5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December 12, 2023.</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6290"/>
        <w:gridCol w:w="60"/>
        <w:gridCol w:w="455"/>
      </w:tblGrid>
      <w:tr>
        <w:trPr/>
        <w:tc>
          <w:tcPr>
            <w:tcW w:w="62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both"/>
              <w:rPr/>
            </w:pPr>
            <w:hyperlink w:anchor="s_001">
              <w:r>
                <w:rPr>
                  <w:rStyle w:val="InternetLink"/>
                  <w:rFonts w:ascii="Times New Roman;Times;Serif" w:hAnsi="Times New Roman;Times;Serif"/>
                  <w:b w:val="false"/>
                  <w:i w:val="false"/>
                  <w:caps w:val="false"/>
                  <w:smallCaps w:val="false"/>
                  <w:sz w:val="20"/>
                </w:rPr>
                <w:t xml:space="preserve">ABOUT THIS PROSPECTUS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290" w:type="dxa"/>
            <w:tcBorders/>
            <w:shd w:fill="FFFFFF" w:val="clear"/>
            <w:vAlign w:val="center"/>
          </w:tcPr>
          <w:p>
            <w:pPr>
              <w:pStyle w:val="TableContents"/>
              <w:bidi w:val="0"/>
              <w:spacing w:before="0" w:after="283"/>
              <w:jc w:val="both"/>
              <w:rPr/>
            </w:pPr>
            <w:hyperlink w:anchor="s_002">
              <w:r>
                <w:rPr>
                  <w:rStyle w:val="InternetLink"/>
                  <w:rFonts w:ascii="Times New Roman;Times;Serif" w:hAnsi="Times New Roman;Times;Serif"/>
                  <w:b w:val="false"/>
                  <w:i w:val="false"/>
                  <w:caps w:val="false"/>
                  <w:smallCaps w:val="false"/>
                  <w:sz w:val="20"/>
                </w:rPr>
                <w:t>OCEAN POWER TECHNOLOGIES, INC.</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290" w:type="dxa"/>
            <w:tcBorders/>
            <w:shd w:fill="CCEEFF" w:val="clear"/>
            <w:vAlign w:val="center"/>
          </w:tcPr>
          <w:p>
            <w:pPr>
              <w:pStyle w:val="TableContents"/>
              <w:bidi w:val="0"/>
              <w:spacing w:before="0" w:after="283"/>
              <w:jc w:val="both"/>
              <w:rPr/>
            </w:pPr>
            <w:hyperlink w:anchor="s_003">
              <w:r>
                <w:rPr>
                  <w:rStyle w:val="InternetLink"/>
                  <w:rFonts w:ascii="Times New Roman;Times;Serif" w:hAnsi="Times New Roman;Times;Serif"/>
                  <w:b w:val="false"/>
                  <w:i w:val="false"/>
                  <w:caps w:val="false"/>
                  <w:smallCaps w:val="false"/>
                  <w:sz w:val="20"/>
                </w:rPr>
                <w:t xml:space="preserve">CAUTIONARY NOTE REGARDING FORWARD-LOOKING STATEMENTS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290" w:type="dxa"/>
            <w:tcBorders/>
            <w:shd w:fill="FFFFFF" w:val="clear"/>
            <w:vAlign w:val="center"/>
          </w:tcPr>
          <w:p>
            <w:pPr>
              <w:pStyle w:val="TableContents"/>
              <w:bidi w:val="0"/>
              <w:spacing w:before="0" w:after="283"/>
              <w:jc w:val="both"/>
              <w:rPr/>
            </w:pPr>
            <w:hyperlink w:anchor="s_004">
              <w:r>
                <w:rPr>
                  <w:rStyle w:val="InternetLink"/>
                  <w:rFonts w:ascii="Times New Roman;Times;Serif" w:hAnsi="Times New Roman;Times;Serif"/>
                  <w:b w:val="false"/>
                  <w:i w:val="false"/>
                  <w:caps w:val="false"/>
                  <w:smallCaps w:val="false"/>
                  <w:sz w:val="20"/>
                </w:rPr>
                <w:t xml:space="preserve">WHERE YOU CAN FIND MORE INFORMATION </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290" w:type="dxa"/>
            <w:tcBorders/>
            <w:shd w:fill="CCEEFF" w:val="clear"/>
            <w:vAlign w:val="center"/>
          </w:tcPr>
          <w:p>
            <w:pPr>
              <w:pStyle w:val="TableContents"/>
              <w:bidi w:val="0"/>
              <w:spacing w:before="0" w:after="283"/>
              <w:jc w:val="both"/>
              <w:rPr/>
            </w:pPr>
            <w:hyperlink w:anchor="s_005">
              <w:r>
                <w:rPr>
                  <w:rStyle w:val="InternetLink"/>
                  <w:rFonts w:ascii="Times New Roman;Times;Serif" w:hAnsi="Times New Roman;Times;Serif"/>
                  <w:b w:val="false"/>
                  <w:i w:val="false"/>
                  <w:caps w:val="false"/>
                  <w:smallCaps w:val="false"/>
                  <w:sz w:val="20"/>
                </w:rPr>
                <w:t xml:space="preserve">INCORPORATION OF CERTAIN DOCUMENTS BY REFERENCE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290" w:type="dxa"/>
            <w:tcBorders/>
            <w:shd w:fill="FFFFFF" w:val="clear"/>
            <w:vAlign w:val="center"/>
          </w:tcPr>
          <w:p>
            <w:pPr>
              <w:pStyle w:val="TableContents"/>
              <w:bidi w:val="0"/>
              <w:spacing w:before="0" w:after="283"/>
              <w:jc w:val="both"/>
              <w:rPr/>
            </w:pPr>
            <w:hyperlink w:anchor="s_006">
              <w:r>
                <w:rPr>
                  <w:rStyle w:val="InternetLink"/>
                  <w:rFonts w:ascii="Times New Roman;Times;Serif" w:hAnsi="Times New Roman;Times;Serif"/>
                  <w:b w:val="false"/>
                  <w:i w:val="false"/>
                  <w:caps w:val="false"/>
                  <w:smallCaps w:val="false"/>
                  <w:sz w:val="20"/>
                </w:rPr>
                <w:t xml:space="preserve">RISK FACTORS </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290" w:type="dxa"/>
            <w:tcBorders/>
            <w:shd w:fill="CCEEFF" w:val="clear"/>
            <w:vAlign w:val="center"/>
          </w:tcPr>
          <w:p>
            <w:pPr>
              <w:pStyle w:val="TableContents"/>
              <w:bidi w:val="0"/>
              <w:spacing w:before="0" w:after="283"/>
              <w:jc w:val="both"/>
              <w:rPr/>
            </w:pPr>
            <w:hyperlink w:anchor="s_007">
              <w:r>
                <w:rPr>
                  <w:rStyle w:val="InternetLink"/>
                  <w:rFonts w:ascii="Times New Roman;Times;Serif" w:hAnsi="Times New Roman;Times;Serif"/>
                  <w:b w:val="false"/>
                  <w:i w:val="false"/>
                  <w:caps w:val="false"/>
                  <w:smallCaps w:val="false"/>
                  <w:sz w:val="20"/>
                </w:rPr>
                <w:t xml:space="preserve">USE OF PROCEEDS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290" w:type="dxa"/>
            <w:tcBorders/>
            <w:shd w:fill="FFFFFF" w:val="clear"/>
            <w:vAlign w:val="center"/>
          </w:tcPr>
          <w:p>
            <w:pPr>
              <w:pStyle w:val="TableContents"/>
              <w:bidi w:val="0"/>
              <w:spacing w:before="0" w:after="283"/>
              <w:jc w:val="both"/>
              <w:rPr/>
            </w:pPr>
            <w:hyperlink w:anchor="s_008">
              <w:r>
                <w:rPr>
                  <w:rStyle w:val="InternetLink"/>
                  <w:rFonts w:ascii="Times New Roman;Times;Serif" w:hAnsi="Times New Roman;Times;Serif"/>
                  <w:b w:val="false"/>
                  <w:i w:val="false"/>
                  <w:caps w:val="false"/>
                  <w:smallCaps w:val="false"/>
                  <w:sz w:val="20"/>
                </w:rPr>
                <w:t xml:space="preserve">DILUTION </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290" w:type="dxa"/>
            <w:tcBorders/>
            <w:shd w:fill="CCEEFF" w:val="clear"/>
            <w:vAlign w:val="center"/>
          </w:tcPr>
          <w:p>
            <w:pPr>
              <w:pStyle w:val="TableContents"/>
              <w:bidi w:val="0"/>
              <w:spacing w:before="0" w:after="283"/>
              <w:jc w:val="both"/>
              <w:rPr/>
            </w:pPr>
            <w:hyperlink w:anchor="s_009">
              <w:r>
                <w:rPr>
                  <w:rStyle w:val="InternetLink"/>
                  <w:rFonts w:ascii="Times New Roman;Times;Serif" w:hAnsi="Times New Roman;Times;Serif"/>
                  <w:b w:val="false"/>
                  <w:i w:val="false"/>
                  <w:caps w:val="false"/>
                  <w:smallCaps w:val="false"/>
                  <w:sz w:val="20"/>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90" w:type="dxa"/>
            <w:tcBorders/>
            <w:shd w:fill="FFFFFF" w:val="clear"/>
            <w:vAlign w:val="center"/>
          </w:tcPr>
          <w:p>
            <w:pPr>
              <w:pStyle w:val="TableContents"/>
              <w:bidi w:val="0"/>
              <w:spacing w:before="0" w:after="283"/>
              <w:jc w:val="both"/>
              <w:rPr/>
            </w:pPr>
            <w:hyperlink w:anchor="s_010">
              <w:r>
                <w:rPr>
                  <w:rStyle w:val="InternetLink"/>
                  <w:rFonts w:ascii="Times New Roman;Times;Serif" w:hAnsi="Times New Roman;Times;Serif"/>
                  <w:b w:val="false"/>
                  <w:i w:val="false"/>
                  <w:caps w:val="false"/>
                  <w:smallCaps w:val="false"/>
                  <w:sz w:val="20"/>
                </w:rPr>
                <w:t xml:space="preserve">DESCRIPTION OF CAPITAL STOCK </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290" w:type="dxa"/>
            <w:tcBorders/>
            <w:shd w:fill="CCEEFF" w:val="clear"/>
            <w:vAlign w:val="center"/>
          </w:tcPr>
          <w:p>
            <w:pPr>
              <w:pStyle w:val="TableContents"/>
              <w:bidi w:val="0"/>
              <w:spacing w:before="0" w:after="283"/>
              <w:jc w:val="both"/>
              <w:rPr/>
            </w:pPr>
            <w:hyperlink w:anchor="s_011">
              <w:r>
                <w:rPr>
                  <w:rStyle w:val="InternetLink"/>
                  <w:rFonts w:ascii="Times New Roman;Times;Serif" w:hAnsi="Times New Roman;Times;Serif"/>
                  <w:b w:val="false"/>
                  <w:i w:val="false"/>
                  <w:caps w:val="false"/>
                  <w:smallCaps w:val="false"/>
                  <w:sz w:val="20"/>
                </w:rPr>
                <w:t xml:space="preserve">DESCRIPTION OF DEPOSITARY SHARES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290" w:type="dxa"/>
            <w:tcBorders/>
            <w:shd w:fill="FFFFFF" w:val="clear"/>
            <w:vAlign w:val="center"/>
          </w:tcPr>
          <w:p>
            <w:pPr>
              <w:pStyle w:val="TableContents"/>
              <w:bidi w:val="0"/>
              <w:spacing w:before="0" w:after="283"/>
              <w:jc w:val="both"/>
              <w:rPr/>
            </w:pPr>
            <w:hyperlink w:anchor="vk_001">
              <w:r>
                <w:rPr>
                  <w:rStyle w:val="InternetLink"/>
                  <w:rFonts w:ascii="Times New Roman;Times;Serif" w:hAnsi="Times New Roman;Times;Serif"/>
                  <w:b w:val="false"/>
                  <w:i w:val="false"/>
                  <w:caps w:val="false"/>
                  <w:smallCaps w:val="false"/>
                  <w:sz w:val="20"/>
                </w:rPr>
                <w:t>DESCRIPTION OF WARRANTS</w:t>
              </w:r>
            </w:hyperlink>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290" w:type="dxa"/>
            <w:tcBorders/>
            <w:shd w:fill="CCEEFF" w:val="clear"/>
            <w:vAlign w:val="center"/>
          </w:tcPr>
          <w:p>
            <w:pPr>
              <w:pStyle w:val="TableContents"/>
              <w:bidi w:val="0"/>
              <w:spacing w:before="0" w:after="283"/>
              <w:jc w:val="both"/>
              <w:rPr/>
            </w:pPr>
            <w:hyperlink w:anchor="vk_002">
              <w:r>
                <w:rPr>
                  <w:rStyle w:val="InternetLink"/>
                  <w:rFonts w:ascii="Times New Roman;Times;Serif" w:hAnsi="Times New Roman;Times;Serif"/>
                  <w:b w:val="false"/>
                  <w:i w:val="false"/>
                  <w:caps w:val="false"/>
                  <w:smallCaps w:val="false"/>
                  <w:sz w:val="20"/>
                </w:rPr>
                <w:t>DESCRIPTION OF SUBSCRIPTION RIGHTS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290" w:type="dxa"/>
            <w:tcBorders/>
            <w:shd w:fill="FFFFFF" w:val="clear"/>
            <w:vAlign w:val="center"/>
          </w:tcPr>
          <w:p>
            <w:pPr>
              <w:pStyle w:val="TableContents"/>
              <w:bidi w:val="0"/>
              <w:spacing w:before="0" w:after="283"/>
              <w:jc w:val="both"/>
              <w:rPr/>
            </w:pPr>
            <w:hyperlink w:anchor="vk_003">
              <w:r>
                <w:rPr>
                  <w:rStyle w:val="InternetLink"/>
                  <w:rFonts w:ascii="Times New Roman;Times;Serif" w:hAnsi="Times New Roman;Times;Serif"/>
                  <w:b w:val="false"/>
                  <w:i w:val="false"/>
                  <w:caps w:val="false"/>
                  <w:smallCaps w:val="false"/>
                  <w:sz w:val="20"/>
                </w:rPr>
                <w:t>DESCRIPTION OF PURCHASE CONTRACTS</w:t>
              </w:r>
            </w:hyperlink>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290" w:type="dxa"/>
            <w:tcBorders/>
            <w:shd w:fill="CCEEFF" w:val="clear"/>
            <w:vAlign w:val="center"/>
          </w:tcPr>
          <w:p>
            <w:pPr>
              <w:pStyle w:val="TableContents"/>
              <w:bidi w:val="0"/>
              <w:spacing w:before="0" w:after="283"/>
              <w:jc w:val="both"/>
              <w:rPr/>
            </w:pPr>
            <w:hyperlink w:anchor="vk_004">
              <w:r>
                <w:rPr>
                  <w:rStyle w:val="InternetLink"/>
                  <w:rFonts w:ascii="Times New Roman;Times;Serif" w:hAnsi="Times New Roman;Times;Serif"/>
                  <w:b w:val="false"/>
                  <w:i w:val="false"/>
                  <w:caps w:val="false"/>
                  <w:smallCaps w:val="false"/>
                  <w:sz w:val="20"/>
                </w:rPr>
                <w:t>DESCRIPTION OF UNITS</w:t>
              </w:r>
            </w:hyperlink>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290" w:type="dxa"/>
            <w:tcBorders/>
            <w:shd w:fill="FFFFFF" w:val="clear"/>
            <w:vAlign w:val="center"/>
          </w:tcPr>
          <w:p>
            <w:pPr>
              <w:pStyle w:val="TableContents"/>
              <w:bidi w:val="0"/>
              <w:spacing w:before="0" w:after="283"/>
              <w:jc w:val="both"/>
              <w:rPr/>
            </w:pPr>
            <w:hyperlink w:anchor="vk_005">
              <w:r>
                <w:rPr>
                  <w:rStyle w:val="InternetLink"/>
                  <w:rFonts w:ascii="Times New Roman;Times;Serif" w:hAnsi="Times New Roman;Times;Serif"/>
                  <w:b w:val="false"/>
                  <w:i w:val="false"/>
                  <w:caps w:val="false"/>
                  <w:smallCaps w:val="false"/>
                  <w:sz w:val="20"/>
                </w:rPr>
                <w:t>FORMS OF SECURITIES</w:t>
              </w:r>
            </w:hyperlink>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6290" w:type="dxa"/>
            <w:tcBorders/>
            <w:shd w:fill="CCEEFF" w:val="clear"/>
            <w:vAlign w:val="center"/>
          </w:tcPr>
          <w:p>
            <w:pPr>
              <w:pStyle w:val="TableContents"/>
              <w:bidi w:val="0"/>
              <w:spacing w:before="0" w:after="283"/>
              <w:jc w:val="both"/>
              <w:rPr/>
            </w:pPr>
            <w:hyperlink w:anchor="vk_006">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6290" w:type="dxa"/>
            <w:tcBorders/>
            <w:shd w:fill="FFFFFF" w:val="clear"/>
            <w:vAlign w:val="center"/>
          </w:tcPr>
          <w:p>
            <w:pPr>
              <w:pStyle w:val="TableContents"/>
              <w:bidi w:val="0"/>
              <w:spacing w:before="0" w:after="283"/>
              <w:jc w:val="both"/>
              <w:rPr/>
            </w:pPr>
            <w:hyperlink w:anchor="vk_007">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6290" w:type="dxa"/>
            <w:tcBorders/>
            <w:shd w:fill="CCEEFF" w:val="clear"/>
            <w:vAlign w:val="center"/>
          </w:tcPr>
          <w:p>
            <w:pPr>
              <w:pStyle w:val="TableContents"/>
              <w:bidi w:val="0"/>
              <w:spacing w:before="0" w:after="283"/>
              <w:jc w:val="both"/>
              <w:rPr/>
            </w:pPr>
            <w:hyperlink w:anchor="vk_008">
              <w:r>
                <w:rPr>
                  <w:rStyle w:val="InternetLink"/>
                  <w:rFonts w:ascii="Times New Roman;Times;Serif" w:hAnsi="Times New Roman;Times;Serif"/>
                  <w:b w:val="false"/>
                  <w:i w:val="false"/>
                  <w:caps w:val="false"/>
                  <w:smallCaps w:val="false"/>
                  <w:sz w:val="20"/>
                </w:rPr>
                <w:t>EXPERTS</w:t>
              </w:r>
            </w:hyperlink>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15" w:name="s_001"/>
      <w:bookmarkEnd w:id="15"/>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the Commission or the SEC, utilizing a “shelf” registration process. Under this shelf registration process, we may sell any combination of the securities described in this prospectus in one or more offerings up to a total dollar amount of $100,000,000. This prospectus provides you with a general description of the securities we may offer. Each time we sell securities, we will provide a prospectus supplement that will contain specific information about the terms of the offering and the offered securities. This prospectus, together with applicable prospectus supplements, any information incorporated by reference, and any related free writing prospectuses we file with the Commission, includes all material information relating to these offerings and securities. We may also add, update or change in the prospectus supplement any of the information contained in this prospectus or in the documents that we have incorporated by reference into this prospectus, including without limitation, a discussion of any risk factors or other special considerations that apply to these offerings or securities or the specific plan of distribution. If there is any inconsistency between the information in this prospectus and a prospectus supplement or information incorporated by reference having a later date, you should rely on the information in that prospectus supplement or incorporated information having a later date. We urge you to read carefully this prospectus, any applicable prospectus supplement and any related free writing prospectus, together with the information incorporated herein by reference as described under the heading “Incorporation of Certain Documents By Reference” and the additional information described under the heading “Where You Can Find More Information,” before buying any of the securities being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we have provided or incorporated by reference in this prospectus, any applicable prospectus supplement and any related free writing prospectus.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delivery of this prospectus nor any sale made under it implies that there has been no change in our affairs or that the information in this prospectus is correct as of any date after the date of this prospectus.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containing this prospectus, including exhibits to the registration statement, provides additional information about us and the securities offered under this prospectus and any prospectus supplement. We have filed and plan to continue to file other documents with the Commission that contain information about us and our business. Also, we will file legal documents that control the terms of the securities offered by this prospectus as exhibits to the reports that we file with the Commission. The registration statement and other reports can be read at the Commission website or at the Commission offices mentioned under the heading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6" w:name="s_002"/>
      <w:bookmarkEnd w:id="16"/>
      <w:r>
        <w:rPr>
          <w:rFonts w:ascii="Times New Roman;Times;Serif" w:hAnsi="Times New Roman;Times;Serif"/>
          <w:b/>
          <w:i w:val="false"/>
          <w:caps/>
          <w:sz w:val="20"/>
        </w:rPr>
        <w:t>ocean power technologies, Inc.</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otherwise indicated, “we,” “our,” “us,” “Company” or similar terms refer collectively to Ocean Power Technologies, Inc., and not the subsidiaries of Ocean Power Technologies,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ocean data collection and reporting, marine power, offshore communications and Domain Awareness Systems products, integrated solutions, and consulting services. Our solutions focus on four major service areas: Data as a Service, which includes data collected by our Wave Adaptive Modular Vessel (WAM-V®) autonomous vehicles or our PowerBuoy® product lines; Robotics as a Service, which provides a lower cost subscription model for our customers to access use of our WAM-V’s®; Power as a Service, which includes our PowerBuoy® products; and our Strategic Consulting Services.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our products and services to a wide-range of customers, including those in government and offshore energy, oil and gas, construction, wind power and other industries. We are involved in the entire life cycle of product development, from product design through manufacturing, testing, deployment, maintenance and upgrades, while working closely with partners across our supply chain. Our solutions are based on technologies that enable autonomous, zero or low carbon emitting, and cost effective data collection, analysis, transportation and communication. Our solutions are primarily suited to ocean and other offshore environments, and support generation of actionable intelligence on a standalone basis or working with other data sources. We then channel the information we collect, and other communications, through control equipment linked to edge computing and cloud hosting environments.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generate most of our revenues from the sale or lease of our products and solutions,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products, solutions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were incorporated under the laws of the State of New Jersey in April 1984 and began commercial operations in 1994. On April 23, 2007, we reincorporated in the State of Delaware. Our principal executive offices are located at 28 Engelhard Drive, Suite B, Monroe Township, New Jersey. Our telephone number is (609) 730-0400. We maintain a website at </w:t>
      </w:r>
      <w:r>
        <w:rPr>
          <w:rFonts w:ascii="Times New Roman;Times;Serif" w:hAnsi="Times New Roman;Times;Serif"/>
          <w:b w:val="false"/>
          <w:i/>
          <w:caps w:val="false"/>
          <w:smallCaps w:val="false"/>
          <w:sz w:val="20"/>
        </w:rPr>
        <w:t>www.oceanpowertechnologies.com</w:t>
      </w:r>
      <w:r>
        <w:rPr>
          <w:rFonts w:ascii="Times New Roman;Times;Serif" w:hAnsi="Times New Roman;Times;Serif"/>
          <w:b w:val="false"/>
          <w:i w:val="false"/>
          <w:caps w:val="false"/>
          <w:smallCaps w:val="false"/>
          <w:sz w:val="20"/>
        </w:rPr>
        <w:t xml:space="preserve"> where general information about us is available. We are not incorporating the contents of the website into this prospectus.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s_003"/>
      <w:bookmarkEnd w:id="17"/>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discussed in this prospectus, our filings with the SEC and our public releases include “forward-looking statements” within the meaning of Section 27A of the Securities Act of 1933, as amended (the “Securities Act”), and Section 21E of the Securities Exchange Act of 1934, as amended (the “Exchange Act”), the Private Securities Litigation Reform Act of 1995 (the “PSLRA”), or in releases made by the SEC. Such forward-looking statements involve known and unknown risks, uncertainties and other important factors that could cause the actual results, performance or achievements of us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“will,”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or incorporated by reference into this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market and commercialize our products, and achieve and sustain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development of our proprietary technologies, and expected continued use of cash from operating activities unless or until we achieve positive cash flow from the commercialization of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and our operating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 term and possibly longer;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inflation related to the U.S. dollar on our business, operations, customers, suppliers and manufacturers and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development, manufacturing and customer delivery deadlines may be impacted by disruptions to our supply chain, primarily related to labor shortages and manufacturing and transportation delays both here in the U.S. and abroad;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acquisitions and our ability to integrate them into our operations which may be unsuccessful or expose us to unforeseen liabilities, and may use significant resources;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future expenses, revenues, and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of our technology, products and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power available from our PowerBuoy® product line;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that affect the demand for, or restrict the use of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related to the actions of Paragon Technologies, Inc. in connection with its threatened proxy contest against us and the related litigation brought against us, including the amount of related costs incurred by us and the disruption caused to our business activities by these 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commercial profit margins.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our ability to control or predict. These factors are not intended to represent a complete list of the general or specific factors that may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management’s assumptions about future events may prove to be inaccurate. All readers are cautioned that the forward-looking statements contained in this prospectus and in the documents incorporated by reference into this prospectus are not guarantees of future performance, and we cannot assure any reader that such statements will be realized or that the forward-looking events and circumstances will occur. Actual results may differ materially from those anticipated or implied in the forward-looking statements due to factors described in “Risk Factors” included elsewhere in this prospectus and in the documents that we include in or incorporate by reference into this prospectus, including our Annual Report on Form 10-K for the fiscal year ended April 30, 2023 and our subsequent SEC filings. All forward-looking statements speak only as of the date they are made. We do not intend to update or revise any forward-looking statements as a result of new information, future events or otherwise, except as required by law. These cautionary statements qualify all forward-looking statements attributable to us or persons acting on our behalf.</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8" w:name="s_004"/>
      <w:bookmarkEnd w:id="18"/>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forms a part of a registration statement on Form S-3 we filed with the SEC. This prospectus does not contain all of the information found in the registration statement. For further information regarding us and our securities, you may desire to review the full registration statement, including its exhibits and schedules, filed under the Securities Act, as well as </w:t>
      </w:r>
      <w:r>
        <w:rPr>
          <w:rFonts w:ascii="Times New Roman;Times;Serif" w:hAnsi="Times New Roman;Times;Serif"/>
          <w:b w:val="false"/>
          <w:i w:val="false"/>
          <w:caps w:val="false"/>
          <w:smallCaps w:val="false"/>
          <w:sz w:val="20"/>
          <w:shd w:fill="FFFFFF" w:val="clear"/>
        </w:rPr>
        <w:t>our proxy statement, annual, quarterly and other reports and other information we file with the SEC</w:t>
      </w:r>
      <w:r>
        <w:rPr>
          <w:rFonts w:ascii="Times New Roman;Times;Serif" w:hAnsi="Times New Roman;Times;Serif"/>
          <w:b w:val="false"/>
          <w:i w:val="false"/>
          <w:caps w:val="false"/>
          <w:smallCaps w:val="false"/>
          <w:sz w:val="20"/>
        </w:rPr>
        <w:t xml:space="preserve">. You may read and copy any document we file with the SEC at the SEC’s public reference room at 100 F Street, N.E., Washington, D.C. 20549. You may obtain information on the operation of the public reference room by calling the SEC at 1-800-SEC-0330. The SEC maintains a website on the Internet at </w:t>
      </w:r>
      <w:r>
        <w:rPr>
          <w:rFonts w:ascii="Times New Roman;Times;Serif" w:hAnsi="Times New Roman;Times;Serif"/>
          <w:b w:val="false"/>
          <w:i/>
          <w:caps w:val="false"/>
          <w:smallCaps w:val="false"/>
          <w:sz w:val="20"/>
        </w:rPr>
        <w:t xml:space="preserve">www.sec.gov </w:t>
      </w:r>
      <w:r>
        <w:rPr>
          <w:rFonts w:ascii="Times New Roman;Times;Serif" w:hAnsi="Times New Roman;Times;Serif"/>
          <w:b w:val="false"/>
          <w:i w:val="false"/>
          <w:caps w:val="false"/>
          <w:smallCaps w:val="false"/>
          <w:sz w:val="20"/>
        </w:rPr>
        <w:t xml:space="preserve">that contains reports, proxy and information statements, and other information regarding companies that file electronically with the SEC. We maintain a website on the Internet at </w:t>
      </w:r>
      <w:r>
        <w:rPr>
          <w:rFonts w:ascii="Times New Roman;Times;Serif" w:hAnsi="Times New Roman;Times;Serif"/>
          <w:b w:val="false"/>
          <w:i/>
          <w:caps w:val="false"/>
          <w:smallCaps w:val="false"/>
          <w:sz w:val="20"/>
        </w:rPr>
        <w:t>www.oceanpowertechnologies.com.</w:t>
      </w:r>
      <w:r>
        <w:rPr>
          <w:rFonts w:ascii="Times New Roman;Times;Serif" w:hAnsi="Times New Roman;Times;Serif"/>
          <w:b w:val="false"/>
          <w:i w:val="false"/>
          <w:caps w:val="false"/>
          <w:smallCaps w:val="false"/>
          <w:sz w:val="20"/>
        </w:rPr>
        <w:t xml:space="preserve"> Our registration statement, of which this prospectus constitutes a part, can be downloaded from the SEC’s website or from our website at </w:t>
      </w:r>
      <w:r>
        <w:rPr>
          <w:rFonts w:ascii="Times New Roman;Times;Serif" w:hAnsi="Times New Roman;Times;Serif"/>
          <w:b w:val="false"/>
          <w:i/>
          <w:caps w:val="false"/>
          <w:smallCaps w:val="false"/>
          <w:sz w:val="20"/>
        </w:rPr>
        <w:t>www.oceanpowertechnologies.com</w:t>
      </w:r>
      <w:r>
        <w:rPr>
          <w:rFonts w:ascii="Times New Roman;Times;Serif" w:hAnsi="Times New Roman;Times;Serif"/>
          <w:b w:val="false"/>
          <w:i w:val="false"/>
          <w:caps w:val="false"/>
          <w:smallCaps w:val="false"/>
          <w:sz w:val="20"/>
        </w:rPr>
        <w:t>. Information on the SEC website, our website or any other website is not incorporated by reference in this prospectus and does not constitute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9" w:name="s_005"/>
      <w:bookmarkEnd w:id="19"/>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previously been filed by us with the SEC under the Exchange Act, are incorporated herein by reference:</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Annual Report on Form 10-K for the fiscal year ended April 30, 2023, filed with the SEC on </w:t>
      </w:r>
      <w:hyperlink r:id="rId16">
        <w:r>
          <w:rPr>
            <w:rStyle w:val="InternetLink"/>
            <w:rFonts w:ascii="Times New Roman;Times;Serif" w:hAnsi="Times New Roman;Times;Serif"/>
            <w:b w:val="false"/>
            <w:i w:val="false"/>
            <w:caps w:val="false"/>
            <w:smallCaps w:val="false"/>
            <w:sz w:val="20"/>
          </w:rPr>
          <w:t>July 28, 2023</w:t>
        </w:r>
      </w:hyperlink>
      <w:r>
        <w:rPr>
          <w:rFonts w:ascii="Times New Roman;Times;Serif" w:hAnsi="Times New Roman;Times;Serif"/>
          <w:b w:val="false"/>
          <w:i w:val="false"/>
          <w:caps w:val="false"/>
          <w:smallCaps w:val="false"/>
          <w:sz w:val="20"/>
        </w:rPr>
        <w:t xml:space="preserve">, as amended on </w:t>
      </w:r>
      <w:hyperlink r:id="rId17">
        <w:r>
          <w:rPr>
            <w:rStyle w:val="InternetLink"/>
            <w:rFonts w:ascii="Times New Roman;Times;Serif" w:hAnsi="Times New Roman;Times;Serif"/>
            <w:b w:val="false"/>
            <w:i w:val="false"/>
            <w:caps w:val="false"/>
            <w:smallCaps w:val="false"/>
            <w:sz w:val="20"/>
          </w:rPr>
          <w:t>August 28, 2023</w:t>
        </w:r>
      </w:hyperlink>
      <w:r>
        <w:rPr>
          <w:rFonts w:ascii="Times New Roman;Times;Serif" w:hAnsi="Times New Roman;Times;Serif"/>
          <w:b w:val="false"/>
          <w:i w:val="false"/>
          <w:caps w:val="false"/>
          <w:smallCaps w:val="false"/>
          <w:sz w:val="20"/>
        </w:rPr>
        <w:t xml:space="preserve"> (File No. 001-33417);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Quarterly Report on </w:t>
      </w:r>
      <w:hyperlink r:id="rId18">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July 31, 2023, filed with the SEC on September 13, 2023 (File No. 001-33417);</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Current Reports on Form 8-K, filed with the SEC on </w:t>
      </w:r>
      <w:hyperlink r:id="rId19">
        <w:r>
          <w:rPr>
            <w:rStyle w:val="InternetLink"/>
            <w:rFonts w:ascii="Times New Roman;Times;Serif" w:hAnsi="Times New Roman;Times;Serif"/>
            <w:b w:val="false"/>
            <w:i w:val="false"/>
            <w:caps w:val="false"/>
            <w:smallCaps w:val="false"/>
            <w:sz w:val="20"/>
          </w:rPr>
          <w:t>June 8, 2023</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June 9, 2023</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June 30, 2023</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August 7, 2023</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September 8, 2023</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September 13, 2023</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October 12, 2023,</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October 24, 2023</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October 25, 2023</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November 7, 2023</w:t>
        </w:r>
      </w:hyperlink>
      <w:r>
        <w:rPr>
          <w:rFonts w:ascii="Times New Roman;Times;Serif" w:hAnsi="Times New Roman;Times;Serif"/>
          <w:b w:val="false"/>
          <w:i w:val="false"/>
          <w:caps w:val="false"/>
          <w:smallCaps w:val="false"/>
          <w:sz w:val="20"/>
        </w:rPr>
        <w:t xml:space="preserve"> and </w:t>
      </w:r>
      <w:hyperlink r:id="rId29">
        <w:r>
          <w:rPr>
            <w:rStyle w:val="InternetLink"/>
            <w:rFonts w:ascii="Times New Roman;Times;Serif" w:hAnsi="Times New Roman;Times;Serif"/>
            <w:b w:val="false"/>
            <w:i w:val="false"/>
            <w:caps w:val="false"/>
            <w:smallCaps w:val="false"/>
            <w:sz w:val="20"/>
          </w:rPr>
          <w:t>November 16, 2023</w:t>
        </w:r>
      </w:hyperlink>
      <w:r>
        <w:rPr>
          <w:rFonts w:ascii="Times New Roman;Times;Serif" w:hAnsi="Times New Roman;Times;Serif"/>
          <w:b w:val="false"/>
          <w:i w:val="false"/>
          <w:caps w:val="false"/>
          <w:smallCaps w:val="false"/>
          <w:sz w:val="20"/>
        </w:rPr>
        <w:t xml:space="preserve"> (File No. 001-33417) and our Current Report on Form 8-K/A on </w:t>
      </w:r>
      <w:hyperlink r:id="rId30">
        <w:r>
          <w:rPr>
            <w:rStyle w:val="InternetLink"/>
            <w:rFonts w:ascii="Times New Roman;Times;Serif" w:hAnsi="Times New Roman;Times;Serif"/>
            <w:b w:val="false"/>
            <w:i w:val="false"/>
            <w:caps w:val="false"/>
            <w:smallCaps w:val="false"/>
            <w:sz w:val="20"/>
          </w:rPr>
          <w:t>June 30, 2023</w:t>
        </w:r>
      </w:hyperlink>
      <w:r>
        <w:rPr>
          <w:rFonts w:ascii="Times New Roman;Times;Serif" w:hAnsi="Times New Roman;Times;Serif"/>
          <w:b w:val="false"/>
          <w:i w:val="false"/>
          <w:caps w:val="false"/>
          <w:smallCaps w:val="false"/>
          <w:sz w:val="20"/>
        </w:rPr>
        <w:t xml:space="preserve"> (excluding any information furnished pursuant to Item 2.02 or Item 7.01 of any such Current Report on Form 8-K); and</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the description of our common stock set forth in our registration statement on </w:t>
      </w:r>
      <w:hyperlink r:id="rId31">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on April 18, 2007 (File No. 001-33417) and in any and all subsequent amendments and reports filed for the purpose of updating that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(excluding any information furnished pursuant to Item 2.02 or Item 7.01 on any current report on Form 8-K and any corresponding information furnished under Item 9.01 or included as an exhibit) after the date of the initial registration statement of which this prospectus forms a part and until the termination of the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these filings, other than any exhibits, unless the exhibits are specifically incorporated by reference into this prospectus, by writing or telephoning us at the following address: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br/>
        <w:t>28 Engelhard Drive, Suite B</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New Jersey 08831</w:t>
        <w:br/>
        <w:t>Attention: Chief Financial Officer</w:t>
        <w:br/>
        <w:t>(609) 730-0400</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0" w:name="s_006"/>
      <w:bookmarkEnd w:id="20"/>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You should carefully consider the risk factors and all of the other information included in, or incorporated by reference into, this prospectus, including those risk factors included in our most recent Annual Report on Form 10-K, any subsequent Quarterly Reports on Form 10-Q, Current Reports on Form 8-K or any amendment or update thereto reflected in our subsequent Commission filings, in evaluating an investment in our securities. If any of these risks were to occur, our business, financial condition or results of operations could be adversely affected. In that case, the trading price of our securities could decline and you could lose all or part of your investment. When we offer and sell any securities pursuant to a prospectus supplement, we may include additional risk factors relevant to such securities in the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21" w:name="s_007"/>
      <w:bookmarkEnd w:id="21"/>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inform you otherwise in the prospectus supplement or any pricing supplement, we will use the net proceeds from the sale of the securities offered by us to build additional products and solutions to meet market demand, further advance the development of new products and solutions, engage in corporate development and merger and acquisition activities, for working capital needs, capital expenditures, repayment or refinancing of indebtedness, repurchases and redemptions of securities, and for other general corporate purposes. The amounts and timing of these expenditures will depend on a number of factors, such as the timing, scope, progress and results of our sales, research and development efforts, the timing and progress of any partnering efforts, and the regulatory and competitive environment. Pending any specific application, we may initially invest funds in short-term marketable securities or apply them to the reduction of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2" w:name="s_008"/>
      <w:bookmarkEnd w:id="22"/>
      <w:r>
        <w:rPr>
          <w:rFonts w:ascii="Times New Roman;Times;Serif" w:hAnsi="Times New Roman;Times;Serif"/>
          <w:b/>
          <w:i w:val="false"/>
          <w:caps/>
          <w:sz w:val="20"/>
        </w:rPr>
        <w:t>DILUTION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at July 31, 2023, was approximately $26.1 million, or approximately $0.44 per share of common stock. Net tangible book value per share of common stock is determined by dividing our tangible net worth, which is tangible assets less liabilities, by the total number of shares of our common stock outstanding. If we offer shares of our common stock, purchasers of our common stock in that offering may experience immediate dilution in net tangible book value per share. The prospectus supplement relating to an offering of shares of our common stock will set forth the information regarding any dilutive effect of that offering.</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3" w:name="s_009"/>
      <w:bookmarkEnd w:id="23"/>
      <w:r>
        <w:rPr>
          <w:rFonts w:ascii="Times New Roman;Times;Serif" w:hAnsi="Times New Roman;Times;Serif"/>
          <w:b/>
          <w:i w:val="false"/>
          <w:caps/>
          <w:sz w:val="20"/>
        </w:rPr>
        <w:t>DESCRIPTION OF DEBT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description of the debt securities that we may issue from time to time. The particular terms relating to each debt security, which may be different from or in addition to the terms described below, will be set forth in a prospectus supplement relating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our direct obligations. The senior debt securities will rank equally with all of our other senior and unsubordinated debt. The senior subordinated debt securities will have a junior position to all of our senior debt, which is generally defined in both the subordinated debt indenture and senior subordinated debt indenture to include all debt other than debt that is expressly subordinated to or pari passu with the subordinated debt securities or senior subordinated debt securities, as the case may be. The subordinated debt securities will have a junior position to all of our senior debt and all of our senior subordinated debt. The senior debt securities will be issued under a senior debt indenture, the senior subordinated debt securities will be issued under a senior subordinated debt indenture, and the subordinated debt securities will be issued under a subordinated debt indenture. The indentures will be qualified under the Trust Indenture Act of 1939, as amended (the “Trust Indenture Act”). The type and terms of the debt securities we offer under this prospectus may be limited by the other debt instruments to which we are a party at the time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we issue will be structurally subordinated to the indebtedness and other liabilities, if any, of our subsidiaries, including claims of our subsidiaries’ creditors, and any taxing authorities. Any claims we have as an unsecured creditor of one of our subsidiaries would be subordinate to any security interest in the assets of that subsidiary and any indebtedness of that subsidiary senior to the indebtedness held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summarized below the material provisions of the three indentures. The summary is not complete and is subject in all respects to the provisions of and is qualified in its entirety by reference to the forms of indentures, which are filed as exhibits and incorporated by reference into the registration statement of which this prospectus forms a part. The prospectus supplement relating to the applicable issuance of debt securities will describe any significant differences between the indentures and the summary below. The forms of senior indenture, senior subordinated indenture and subordinated indenture are substantially the same, except for certain covenants of ours and provisions relating to subordination. You should read the indentures for provisions that may be important to you. The forms of indentures may be supplemented or revised in connection with the filing of a prospectus supplement with respect to a particular series of debt securities and such later version will govern any debt securities issued in conjunction with that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Applicable to All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Limit on Debt Amounts</w:t>
      </w:r>
      <w:r>
        <w:rPr>
          <w:rFonts w:ascii="Times New Roman;Times;Serif" w:hAnsi="Times New Roman;Times;Serif"/>
          <w:b w:val="false"/>
          <w:i w:val="false"/>
          <w:caps w:val="false"/>
          <w:smallCaps w:val="false"/>
          <w:sz w:val="20"/>
        </w:rPr>
        <w:t>. The indentures do not limit the amount of debt that can be issued under the indentures. These amounts will be set from time to time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Prospectus Supplements</w:t>
      </w:r>
      <w:r>
        <w:rPr>
          <w:rFonts w:ascii="Times New Roman;Times;Serif" w:hAnsi="Times New Roman;Times;Serif"/>
          <w:b w:val="false"/>
          <w:i w:val="false"/>
          <w:caps w:val="false"/>
          <w:smallCaps w:val="false"/>
          <w:sz w:val="20"/>
        </w:rPr>
        <w:t>. The prospectus supplement relating to a series of debt securities will summarize the specific terms of such debt securities and the related offering including, with respect to each series of debt securities, some or all of the following, as well as any other material terms of the debt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securities of the series (which title will distinguish the securities of the series from all other series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 upon the aggregate principal amount of the securities of the series which may be authenticated and delivered (which limit will not pertain to securities authenticated and delivered upon registration of transfer of, or in exchange for, or in lieu of, other securities of the series or any securities that are deemed never to have been authenticated and delivered);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the principal of and premium, if any, on the securities of the series is payable or the method or methods of determination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at which the securities of the series will bear interest, if any, or the method or methods of calculating such rate or rates of interest, the date or dates from which such interest will accrue or the method or methods by which such date or dates will be determined, the dates on which any such interest will be payable, our right, if any, to defer or extend an interest payment date, the record date, if any, for the interest payable on any such security on any interest payment date, and the basis upon which interest will be calculated if other than that of a 360-day year of twelve 30-day months;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the principal of, premium, if any, and interest, if any, on securities of the series will be payable, any securities of the series may be surrendered for registration of transfer, securities of the series may be surrendered for exchange and notices and demands to or upon us in respect of the securities of the series and the indenture may be served and notices to holders will be published;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or periods within which, the price or prices at which, the currency or currencies (including currency unit or units) in which, and the other terms and conditions upon which, securities of the series may be redeemed, in whole or in part, at our option and, the manner in which the particular securities of such series (if less than all securities of such series are to be redeemed) are to be selected for redemption;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or obligation, if any, to redeem or purchase securities of the series pursuant to any sinking fund or analogous provisions or upon the happening of a specified event or at the option of a holder thereof, and the period or periods within which, the price or prices at which, the currency or currencies (including currency unit or units) in which, and the other terms and conditions upon which, securities of the series will be redeemed or purchased, in whole or in part, pursuant to such obligation;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denominations of $1,000 and any integral multiple thereof, the denominations in which securities of the series will be issuable;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U.S. dollars, the currency or currencies (including currency unit or units) in which the principal of, premium, if any, and interest, if any, on the securities of the series will be payable, or in which the securities of the series will be denominated, and the particular provisions applicable thereto;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payments of principal of, premium, if any, or interest, if any, on the securities of the series are to be made, at our election or the election of a holder, in a currency or currencies (including currency unit or units) other than that in which the securities of such series are denominated or designated to be payable, the currency or currencies (including currency unit or units) in which such payments are to be made, the terms and conditions of such payments and the manner in which the exchange rate with respect to such payments will be determined, and the particular provisions applicable thereto;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payments of principal of, premium, if any, and interest, if any, on the securities of the series will be determined with reference to an 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such amounts will be determined and any special voting or defeasance provisions in connection therewith;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the principal amount thereof, the portion of the principal amount of such securities of the series which will be payable upon declaration of acceleration thereof or the method by which such portion will be determined;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to whom any interest on any securities of the series will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if any, granting special rights to the holders of securities of the series upon the occurrence of such events as may be specified;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deletions from, modifications of or additions to the events of default or covenants pertaining to the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what circumstances, if any, and with what procedures and documentation we will pay additional amounts on the securities of the series held by a person who is not a U.S. person (including any definition of such term) in respect of taxes, assessments or similar charges withheld or deducted and, if so, whether we have the option to redeem such securities rather than pay such additional amounts (and the terms of any such option);</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forms of the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applicability, if any, of any means of defeasance or covenant defeasance as may be specified for the securities of such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the trustee, the identity of the registrar, conversion agent (if any) and any paying agent;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of the series will be issued in whole or in part in global form, (A) the depositary for such global securities, (B) whether beneficial owners of interests in any securities of the series in global form may exchange such interests for certificated securities of such series, to be registered in the names of or to be held by such beneficial owners or their nominees and to be of like tenor of any authorized form and denomination, and (C) the circumstances under which any such exchange may occur;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depositary with respect to the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restrictions on the registration, transfer or exchange of the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of the series may be issued or delivered (whether upon original issuance or upon exchange of a temporary security of such series or otherwise), or any installment of principal or interest is payable, only upon receipt of certain certificates or other documents or satisfaction of other conditions, the form and terms of such certificates, documents or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of the series will be convertible into or for other of our securities or property, and any deletions from, modifications of or additions to the terms and conditions of any right to convert, exercise or exchange securities of the series into or for other of our securities or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securities of the series are secured or unsecured, and if secured, the security and related terms in connection therewith (which will be provided for in a separate security agreement and/or other appropriate documentation);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securities of the series, including any terms which may be required by or advisable under United States laws or regulations or advisable (as we may determine) in connection with the marketing of securities of the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an applicable indenture relating to debt securities, the debt securities will be issued in the form of one or more fully registered global securities that will be deposited with and registered in the name of a depositary or its nominee. Upon issuance of a registered global security, the depositary will credit, on its book-entry registration and transfer system, participants’ accounts with the principal amount of the debt security beneficially owned by such participants. Each person owning a beneficial interest in a registered global security will have to rely on the procedures of the depositary for such registered global security to exercise any rights of a holder under the applicable indenture. No service charge will be made for any transfer or exchange of the debt securities, but we may require payment of a sum sufficient to cover any tax or other governmental charge payable in connection with a transfer or exchange and any expenses payable in connection with any registration of transfer or exchange of debt securities, other than exchanges not involving any transfer, such as the issuance of definitive securities in replacement of temporary securities or the issuance of new securities upon surrender of a security that is transferred or redeemed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series of debt securities may be issued under the relevant indenture as original issue discount securities, which are securities that are offered and sold at a discount from their stated principal amount. In addition, debt securities offered and sold at their stated principal amount may under some circumstances, pursuant to applicable Treasury Regulations, be treated as issued at an original issue discount for federal income tax purposes. Federal income tax consequences and other special considerations applicable to any such original issue discount securities (or other debt securities treated as issued at an original issue discount) will be described in the prospectus supplement relating to those securities.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Covenants</w:t>
      </w:r>
      <w:r>
        <w:rPr>
          <w:rFonts w:ascii="Times New Roman;Times;Serif" w:hAnsi="Times New Roman;Times;Serif"/>
          <w:b w:val="false"/>
          <w:i w:val="false"/>
          <w:caps w:val="false"/>
          <w:smallCaps w:val="false"/>
          <w:sz w:val="20"/>
        </w:rPr>
        <w:t>. We will agree in the indentures with respect to any series of debt securities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the principal, interest and any premium on the securities of the series when due;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 office or agency where the securities of the series may be surrendered for registration of transfer, exchange, payment or conversion (if the debt securities are convertible) and where notices and demands to or upon us in respect of the securities of the series and the relevant indenture may be served;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and file or deliver certain reports, as more fully specified in the relevant indenture, with the SEC, the trustee under the relevant indenture, and/or registered holders of the securities of the series, as the case may be;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to the trustee under the relevant indenture, as more fully specified in that indenture, officers’ certificates relating to our compliance under the relevant indenture and the occurrence of any default or event of default under that indenture;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our board of directors determines that it is no longer desirable in the conduct of our business and that there will be no adverse impact in any material respect to the holders of the securities of the series, subject to those exceptions as more fully specified in the relevant indenture, do or cause to be done all things necessary to preserve and keep in full force and effect our existence as a corporation and our rights (charter and statutory rights) and franchises.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Consolidation, Merger and Sale of Assets</w:t>
      </w:r>
      <w:r>
        <w:rPr>
          <w:rFonts w:ascii="Times New Roman;Times;Serif" w:hAnsi="Times New Roman;Times;Serif"/>
          <w:b w:val="false"/>
          <w:i w:val="false"/>
          <w:caps w:val="false"/>
          <w:smallCaps w:val="false"/>
          <w:sz w:val="20"/>
        </w:rPr>
        <w:t>. We will agree in the indentures with respect to any series of debt securities that we will not consolidate with or merge into any other entity or transfer all or substantially all of our assets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 surviving entity;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successor or surviving entity assumes all of our obligations under the securities of such series and the indentures pursuant to supplemental indentures in forms reasonably satisfactory to the trustee(s) under the relevant indentures and is organized or existing under the laws of the United States of America and any state thereof or the District of Columbia; and, in either case,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giving effect to such transaction, no event of default under the relevant indenture will have happened and be continuing.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consolidation, merger or transfer of all or substantially all of our assets, the successor will be substituted for us under the indenture and we will be relieved of all obligations and covenants under the indenture with respect to such series of debt securities, except in the case of a lease of all or substantially all of our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Satisfaction and Discharge</w:t>
      </w:r>
      <w:r>
        <w:rPr>
          <w:rFonts w:ascii="Times New Roman;Times;Serif" w:hAnsi="Times New Roman;Times;Serif"/>
          <w:b w:val="false"/>
          <w:i w:val="false"/>
          <w:caps w:val="false"/>
          <w:smallCaps w:val="false"/>
          <w:sz w:val="20"/>
        </w:rPr>
        <w:t>. Upon our request, the relevant indenture will no longer be effective with respect to any series of debt securities for all but certain specified purposes if either: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securities of that series have been delivered to the trustee for cancellation, we have paid all sums payable in respect of that series and we have delivered to the trustee a certificate and opinion of legal counsel that all conditions precedent to satisfaction and discharge have been fulfilled;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only securities that remain outstanding have, or within one year will, become due and payable or are to be called for redemption, we have deposited with the trustee funds that are sufficient to make all future payments, no default or event of default will have occurred and be continuing on the date of that deposit, we have paid all other sums payable in respect of that series, and we have delivered to the trustee a certificate and opinion of counsel that all conditions precedent to satisfaction and discharge have been fulfilled.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Legal Defeasance and Covenant Defeasance</w:t>
      </w:r>
      <w:r>
        <w:rPr>
          <w:rFonts w:ascii="Times New Roman;Times;Serif" w:hAnsi="Times New Roman;Times;Serif"/>
          <w:b w:val="false"/>
          <w:i w:val="false"/>
          <w:caps w:val="false"/>
          <w:smallCaps w:val="false"/>
          <w:sz w:val="20"/>
        </w:rPr>
        <w:t>. Under each indenture, we may elect with respect to a series of debt securities, at our option and subject to the satisfaction of the conditions described below, either: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deemed to have paid and discharged the entire indebtedness represented by the outstanding securities of the applicable series and to have satisfied all of our other obligations under the securities of the applicable series and under the provisions of the relevant indenture, which we refer to as legal defeasance;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released from some of our obligations under the relevant indenture, which we refer to as covenant defeasance.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exercise legal or covenant defeasance with respect to any series of debt securities if the following conditions are met: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irrevocably deposit with the applicable indenture trustee (or another trustee meeting certain eligibility requirements and agreeing to be bound by the applicable provisions of the relevant indenture), in trust, for the benefit of the holders of the applicable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80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142875" cy="180975"/>
                          </a:xfrm>
                          <a:prstGeom prst="rect">
                            <a:avLst/>
                          </a:prstGeom>
                        </pic:spPr>
                      </pic:pic>
                    </a:graphicData>
                  </a:graphic>
                </wp:inline>
              </w:drawing>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 United States dollars;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80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142875" cy="180975"/>
                          </a:xfrm>
                          <a:prstGeom prst="rect">
                            <a:avLst/>
                          </a:prstGeom>
                        </pic:spPr>
                      </pic:pic>
                    </a:graphicData>
                  </a:graphic>
                </wp:inline>
              </w:drawing>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non-callable and non-redeemable direct obligations of the United States of America or of an agency or instrumentality controlled or supervised by the United States of America, in each instance, the payment of which is unconditionally guaranteed as a full faith and credit obligation of the United States of America;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 cy="180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4"/>
                          <a:stretch>
                            <a:fillRect/>
                          </a:stretch>
                        </pic:blipFill>
                        <pic:spPr bwMode="auto">
                          <a:xfrm>
                            <a:off x="0" y="0"/>
                            <a:ext cx="142875" cy="180975"/>
                          </a:xfrm>
                          <a:prstGeom prst="rect">
                            <a:avLst/>
                          </a:prstGeom>
                        </pic:spPr>
                      </pic:pic>
                    </a:graphicData>
                  </a:graphic>
                </wp:inline>
              </w:drawing>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the foregoing that, in each case, is sufficient, in the opinion of a nationally recognized firm of independent public accountants, to pay the principal of, interest and premium, if any, on the outstanding debt securities of the applicable series on their stated maturity or applicable redemption date, as the case may be, and any mandatory sinking fund payments applicable to that particular series of debt securities on the day on which the payments are due;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to the trustee an opinion of counsel confirming that the holders of the outstanding securities of the applicable series will not recognize income, gain or loss for federal income tax purposes as a result of the defeasance;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shall have occurred and be continuing on the date of the deposit of the amounts to be held in trust for the benefit of the holders (other than a default or event of default resulting from the borrowing of funds to be applied to the deposit) or in the case of any insolvency-related defaults, at any time in the period ending on the 91st day after the date of the deposit (or greater period of time in which any such deposit of trust funds may remain subject to bankruptcy or insolvency laws that apply to the deposit by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to the trustee an officers’ certificate and an opinion of counsel, each stating that all conditions precedent provided for or relating to legal defeasance or covenant defeasance, as the case may be, have been complied 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satisfying the conditions for legal defeasance, the debt securities of the applicable series will be deemed outstanding only for limited purposes as more fully set forth in the relevant indenture. After legal defeasance, the holders of outstanding debt securities of the applicable series will have to rely solely on the deposits we make to the trust for repayment of such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satisfying the conditions for covenant defeasance, the debt securities of the applicable series will be deemed not outstanding for the purposes of the covenants from which we have been released but will continue to be deemed outstanding for all other purposes under the relevant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 series of debt securities may describe additional provisions, if any, permitting legal defeasance or covenant defeasance, and any modifications to the provisions described above, with respect to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Information Concerning the Trustee</w:t>
      </w:r>
      <w:r>
        <w:rPr>
          <w:rFonts w:ascii="Times New Roman;Times;Serif" w:hAnsi="Times New Roman;Times;Serif"/>
          <w:b w:val="false"/>
          <w:i w:val="false"/>
          <w:caps w:val="false"/>
          <w:smallCaps w:val="false"/>
          <w:sz w:val="20"/>
        </w:rPr>
        <w:t>. The prospectus supplement relating to a series of debt securities will include information concerning the trustee under the applicable indenture and our relationship with the trustee at the time any debt securities are offered. We may also maintain bank accounts, borrow money and have other banking or investment banking relationships with the trustee, or its affiliates,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Global Securities</w:t>
      </w:r>
      <w:r>
        <w:rPr>
          <w:rFonts w:ascii="Times New Roman;Times;Serif" w:hAnsi="Times New Roman;Times;Serif"/>
          <w:b w:val="false"/>
          <w:i w:val="false"/>
          <w:caps w:val="false"/>
          <w:smallCaps w:val="false"/>
          <w:sz w:val="20"/>
        </w:rPr>
        <w:t>. The registered debt securities may be issued in the form of one or more fully registered global securities that will be deposited with and registered in the name of a depositary or in the name of a nominee for a depositary identified in the prospectus supplement relating to such debt securities. The specific terms of the depositary arrangement with respect to any debt securities to be represented by a registered global security will be described in the prospectus supplement relating to such debt securities. We anticipate that the description below will apply to all depositary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that have accounts with the depositary for such registered global security (“participants”) or persons that may hold interests through participants. Upon the issuance of a registered global security, the depositary will credit, on its book-entry registration and transfer system, the participants’ accounts with the principal amounts of the debt securities represented by the registered global security beneficially owned by such participants. Ownership of beneficial interests in such registered global security will be shown on, and the transfer of such ownership interests will be effected only through, records maintained by the depositary for such registered global security or on the records of participants for interests of persons holding through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for a registered global security, or its nominee, is the registered owner of a registered global security, the depositary or the nominee will be considered the sole owner or holder of the debt securities represented by the registered global security for all purposes. Except as set forth below, owners of beneficial interests in a registered global security will not:</w:t>
      </w:r>
    </w:p>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entitled to have the debt securities represented by such registered global security registered in their names;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or be entitled to receive physical delivery of such debt securities in definitive forms;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considered the owners of record or holders of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owning a beneficial interest in a registered global security will have to rely on the procedures of the depositary for such registered global security and, if such person is not a participant, on the procedures of the participant through which such person owns its interest, to exercise any rights of a holder under the applicable indenture. We understand that under existing industry practices, if we were to request any action of holders, or if an owner of a beneficial interest in a registered global security desired to take any action that a holder is entitled to take under the applicable indenture, the depositary would authorize the participants holding the relevant beneficial interests to take such action, and such participants would authorize beneficial owners owning through such participants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of, interest and premium, if any, on debt securities represented by a registered global security registered in the name of a depositary or its nominee will be made to such depositary or its nominee, as the case may be, as the registered owner of such registered global security. Neither we nor the trustee will have any responsibility or liability for any aspect of the records relating to or payments made on account of beneficial ownership interests in such registered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debt securities represented by a registered global security, upon receipt of any payment of principal, interest or premium, if any, will immediately credit participants’ accounts with such payments in amounts proportionate to their respective beneficial interests in such registered global security as shown on the records of such depositary. We also expect that payments by participants to owners of beneficial interests in such a registered global security held by the participants will be governed by standing customer instructions and customary practices, as is now the case with securities held for the accounts of customers in bearer form or registered in “street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notifies us that it is unwilling or unable to continue as depositary for the global security or if at any time the depositary ceases to be a clearing agency registered under the Securities Exchange Act of 1934, and such registration as a clearing agency is required by applicable law or regulation to serve as a depositary, and, in either situation, we do not appoint a successor depositary within 90 days, we will issue debt securities in certificated form in exchange for the global security. In addition, we may at any time in our sole discretion decide not to have any debt securities represented by a global security. In such event we will issue debt securities in certificated form in exchange for the global security. The debt securities in certificated form will be in the same minimal denominations and be of the same aggregate outstanding principal amount and tenor as the portion of each global security to be exchanged.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debt securities issued in certificated form in exchange for a global security will be registered in such name or names as the depositary shall instruct the relevant trustee. We expect that such instructions will be based upon directions received by the depositary from participants with respect to ownership of beneficial interests in such registered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provided in a prospectus supplement relating to a series of debt securities, the debt securities of that series also may be issued in the form of one or more global securities that will be deposited with a common depositary identified in the prospectus supplement. The specific terms and procedures, including the specific terms of the depositary arrangement, with respect to any portion of a series of debt securities to be represented by a global security will be described in the prospectus supplement relating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Form, Exchange, Transfer</w:t>
      </w:r>
      <w:r>
        <w:rPr>
          <w:rFonts w:ascii="Times New Roman;Times;Serif" w:hAnsi="Times New Roman;Times;Serif"/>
          <w:b w:val="false"/>
          <w:i w:val="false"/>
          <w:caps w:val="false"/>
          <w:smallCaps w:val="false"/>
          <w:sz w:val="20"/>
        </w:rPr>
        <w:t>. Unless otherwise specified in a prospectus supplement relating to a series of debt securities, debt securities will be issued in global form with accompanying book-entry procedures as outlined above. They also may be issued in registered form without coupons.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debt securities of any series may exchange the debt securities for other debt securities of the same series, in any authorized denomination and with the same terms and aggregate principal amount. The securities are transferable at the corporate trust office or corporate trust agency office of the trustee or at any transfer agent designated by us for that purpose. No service charge will be made for any transfer or exchange of the debt securities, but we may require payment of a sum sufficient to cover any tax or other governmental charge payable in connection with a transfer or exchange and any expenses payable in connection with any registration of transfer or exchange of debt securities, other than exchanges not involving any transfer, such as the issuance of definitive securities in replacement of temporary securities or the issuance of new securities upon surrender of a security that is redeemed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 Terms of the Senior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 of Senior Debt Securities</w:t>
      </w:r>
      <w:r>
        <w:rPr>
          <w:rFonts w:ascii="Times New Roman;Times;Serif" w:hAnsi="Times New Roman;Times;Serif"/>
          <w:b w:val="false"/>
          <w:i w:val="false"/>
          <w:caps w:val="false"/>
          <w:smallCaps w:val="false"/>
          <w:sz w:val="20"/>
        </w:rPr>
        <w:t>. Unless otherwise specified in a prospectus supplement relating to a series of senior debt securities, the senior debt securities will constitute part of our senior debt and rank equally with all our other senior debt that is unsecured (and will effectively rank junior to any secured debt). In addition to senior debt securities offered under this prospectus, senior debt includes obligations under any credit facilities with banks or other institutional lenders. The senior debt securities will be senior to our senior subordinated debt and subordinated debt. Our obligations under the senior debt securities will be structurally subordinated to certain obligations of our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The following, among others, are events of default under a series of senior debt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pay the principal, premium, if any, or any sinking fund payment on any securities of that series when due;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pay interest on any securities of that series when due and that failure continues for a period of 30 days;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exercise of a holder’s conversion right, we fail to deliver conversion consideration in accordance with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comply with our obligations in the event of a consolidation, merger or sale of assets, as set forth in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observe or perform any other covenant or agreement in the senior indenture for the benefit of that series (other than a covenant or agreement with respect to which a failure to observe or perform is dealt with otherwise in the senior indenture or is expressly included in the senior indenture solely for the benefit of a series of debt securities other than such series of debt securities) and that failure continues for 90 days after we receive notice to comply from the trustee or holders of at least 25% in aggregate principal amount of the outstanding senior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pay our indebtedness or to pay or discharge certain final judgments against us, as set forth in the indenture;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of bankruptcy or insolvency occur, whether voluntary or not.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prospectus supplement relating to a series of senior debt securities may describe additional or different events of default that apply to that series. An event of default with respect to one series of senior debt securities will not necessarily constitute an event of default with respect to any other series of senior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an event of default occurs and is continuing, the trustee will mail to the holders of senior debt securities of the affected series a notice to that effect within 90 days after the default occurs, if a responsible officer of the trustee under the indenture has actual knowledge of the default or event of default. Except in the case of a default in the payment of principal or interest, the trustee under the senior indenture may withhold notice if, and so long as, a committee of the trustee’s responsible officers in good faith determines that withholding the notice is in the interests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one or more series of senior debt securities occurs and is continuing, the trustee or the holders of at least 25% in aggregate principal amount of the then outstanding senior debt securities of all series with respect to which the event of default occurs and is continuing, treating all those series as a single class, may declare all the principal of, accrued and unpaid interest or premium (or a lesser amount as may be provided for in the senior debt securities of the series), if any, of all the senior debt securities of those series to be immediately due and payable. The holders of a majority in aggregate principal amount of the then outstanding senior debt securities of all series covered by such declaration may annul or rescind the declaration and any related payment default that resulted from the declaration but not any other payment default. Certain events of bankruptcy and insolvency will result in all outstanding series of senior debt securities becoming due and payable immediately without any further action on the part of the trustee or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indenture entitles the trustee to be indemnified by the holders before proceeding to exercise any right or power at the request of any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senior debt securities of all series with respect to which an event of default occurs and is continuing, treating all those series as a single class, may direct the time, method and place of conducting any proceeding for any remedy available to the trustee or exercising any trust power conferred on it, except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direction cannot conflict with any law or regulation or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take any other action deemed proper by the trustee that is not inconsistent with the direction;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need not take any action that might subject it to personal liability or be unduly prejudicial to the holders of the senior debt securities not joining in the 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pursue a remedy directly under the senior indenture or a particular series of senior debt securities but, before doing so, the following must occur: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must give to the trustee written notice that an event of default has occurred and is continuing;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principal amount of the then outstanding senior debt securities of all affected series, treating all those series as a single class, must make a written request to the trustee to pursue the remedy;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or holders, must offer and, if requested, provide to the trustee an indemnity satisfactory to the trustee against any loss, liability or expense from the taking of the 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does not comply with the request within 60 days after receipt of the request and offer and, if requested, the provision of indemnity;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60-day period, the holders of a majority in principal amount of the then outstanding senior debt securities of all those series, treating all those series as a single class, do not give the trustee a direction inconsistent with the written request.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holders have an absolute right to receipt of principal, interest or premium, if any, on or after the respective due dates and to institute suit for the enforcement of those payments. The right of a holder of senior debt securities to bring suit for the enforcement of any payments of principal, interest or premium, if any, on senior debt securities on or after the respective due dates may not be impaired or affected without the consent of that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senior debt securities then outstanding of all affected series, treating all such series as a single class, may, by notice to the trustee on behalf of all holders of the senior debt securities of all those series, waive any past defaults, except: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continuing default in payment of the principal of, interest or premium, if any, on, or any sinking fund payment on, senior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continuing default in respect of a covenant or provision of the indenture that cannot be amended or modified without the consent of each holder of senior debt securities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arising from a failure to pay or deliver to converting holders consideration due upon conversion;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covenant or provision that under the senior indenture cannot be modified or amended without the consent of the holder of each outstanding note affected.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will file statements with the trustees regarding our compliance with covenants in the senior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Modifications and Amendments</w:t>
      </w:r>
      <w:r>
        <w:rPr>
          <w:rFonts w:ascii="Times New Roman;Times;Serif" w:hAnsi="Times New Roman;Times;Serif"/>
          <w:b w:val="false"/>
          <w:i w:val="false"/>
          <w:caps w:val="false"/>
          <w:smallCaps w:val="false"/>
          <w:sz w:val="20"/>
        </w:rPr>
        <w:t>. Except as provided below, or more fully specified in the senior indenture and described in the applicable prospectus supplement, the senior indenture may be amended or supplemented by us and the trustee with the consent of holders of a majority in principal amount of all series of senior debt securities affected by the amendment or supplement, treating all such series as a single class. In addition, the record holders of a majority in principal amount of the outstanding senior debt securities of all series affected by the waiver, treating all such series as a single class, may, with respect to those series, waive defaults under, or compliance with, the provisions of the senior indenture. Some amendments or waivers, however, require the consent of each holder of any senior debt security affected. Without the consent of each affected holder, an amendment or waiver regarding a series of senior debt securities may not: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maturity date, or the payment date of any installment interest on, any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principal amount of, or interest on, any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manner or currency of payment of principal of, or interest on, any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the right to institute a suit for the enforcement of any payment on, or with respect to, or of the conversion of, any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ranking of the securities in a manner adverse to the holders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the right of holders of securities to convert their securities in accordance with the indenture, or reduce the amount of consideration due upon conversion;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in aggregate principal amount of outstanding securities whose holders must consent to a modification or amendment of the indenture or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in aggregate principal amount of outstanding securities whose holders must consent to a waiver of compliance with any provision in the indenture, or the securities or a waiver of any default or event of default;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the applicable provisions of the indenture, except to increase the percentage required for modification or waiver or to provide for the consent of each affected holder.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under the senior indenture may amend or supplement the senior indenture or the senior debt securities issued thereunder without notice to or the consent of any holder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assumption by a successor company of the Company’s obligations under the securities and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guarantees with respect to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to the covenants for the benefit of the holders or surrender any right or power conferred upon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including to cure any omission, ambiguity, manifest error or defect or to correct any inconsistency in the indenture that does not adversely affect the rights of any holder in any material respect;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any requirement of the SEC in connection with the qualification of the indenture under the Trust Indenture Act or with the rules of any applicable securities depositary;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issuance of and establish the form and terms and conditions of the securities of any series, to establish the form of any certifications required to be furnished, or to add to the rights of the holders of any series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additional events of default;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the acceptance or appointment of a successor trustee or to add an additional trustee or agent in accordance with the indenture;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conform the provisions of the indenture and the securities to the “Description of Notes” section as set forth in a preliminary prospectus supplement related to the offering and sale of the securities, as supplemented by the related pricing term sheet.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 Terms of the Senior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 of Senior Subordinated Debt Securities</w:t>
      </w:r>
      <w:r>
        <w:rPr>
          <w:rFonts w:ascii="Times New Roman;Times;Serif" w:hAnsi="Times New Roman;Times;Serif"/>
          <w:b w:val="false"/>
          <w:i w:val="false"/>
          <w:caps w:val="false"/>
          <w:smallCaps w:val="false"/>
          <w:sz w:val="20"/>
        </w:rPr>
        <w:t>. As described below, the senior subordinated debt securities will rank senior to any subordinated debt securities and will be subordinated and junior in right of payment to any senior debt securities issued by us, as well as certain other indebtedness incurred by us to the extent set forth in the applicable indenture and described in the prospectus supplement relating to a series of senior subordinated debt securities. Unless the prospectus supplement relating to a series of senior subordinated debt securities indicates otherwise, the following description will apply to our senior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Subordination</w:t>
      </w:r>
      <w:r>
        <w:rPr>
          <w:rFonts w:ascii="Times New Roman;Times;Serif" w:hAnsi="Times New Roman;Times;Serif"/>
          <w:b w:val="false"/>
          <w:i w:val="false"/>
          <w:caps w:val="false"/>
          <w:smallCaps w:val="false"/>
          <w:sz w:val="20"/>
        </w:rPr>
        <w:t>. Our obligations under the senior subordinated debt securities will be subordinated in right of payment to our obligations under our senior debt and will be structurally subordinated to certain obligations of our subsidiaries, including claims payable. In the indenture relating to the senior subordinated securities, we will agree not to create, incur or otherwise be liable for any other indebtedness that ranks junior to the senior debt in right of payment, but senior to the senior subordinated securities. For this purpose, “senior debt” generally includes any indebtedness that does not expressly provide that it is on a parity with or subordinated in right of payment to the senior subordinated debt securities. Specifically, senior debt includes obligations under any credit facility with banks or other institutional lenders and obligations under the senior debt securities described in this prospectus. Senior debt will not include:</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170"/>
        <w:gridCol w:w="7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liability for federal, state, local or other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indebtedness to any of our subsidiaries or other affiliates;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trade payables;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indebtedness that we may incur in violation of the senior subordinated indenture;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under any subordinated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distribute our assets to creditors upon any dissolution, winding-up, liquidation or reorganization or in bankruptcy, insolvency, receivership or similar proceedings, we must first pay all amounts due or to become due on all senior debt before we pay the principal of, or make any other payment on, the senior subordinated debt securities. The provisions of the senior subordinated debt indenture providing these payment restrictions will not limit the right, if any, of a holder of senior subordinated debt securities to convert the debt securities into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make any payment on the senior subordinated debt securities if a default in the payment of the principal, interest or premium, if any, including a default under any repurchase or redemption obligation in respect of designated senior debt, occurs and continues beyond any applicable grace period. We may not make any payment on the senior subordinated debt securities if any other default occurs and continues with respect to designated senior debt that permits holders of the designated senior debt to accelerate its maturity and the trustee receives a notice of default from any person permitted to give notice. We may not resume payments on the senior subordinated debt securities until the defaults are cured or specified time periods pass, unless the senior debt is paid in full. The provisions of the senior subordinated debt indenture providing these payment restrictions will not limit the right, if any, of a holder of senior subordinated debt securities to convert the debt securities into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“designated senior debt” means our obligations under our principal bank or other institutional credit facility, if any, and any other debt expressly designated as senior debt with respect to the applicable senior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terms of some of our senior debt will provide that an event of default under the senior subordinated debt securities or an acceleration of their maturity will constitute an event of default under the senior debt. In that case, if the maturity of the senior subordinated debt securities is accelerated because of an event of default, we may not make any payment on the senior subordinated debt securities until we have paid all senior debt or the acceleration has been rescinded. If the payment of the senior subordinated debt securities is accelerated because of an event of default, we must promptly notify the holders of senior debt of the acceleration.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a bankruptcy, dissolution or reorganization, holders of senior debt may receive more, ratably, and holders of the senior subordinated debt securities may receive less, ratably, than our other creditors.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for senior subordinated debt securities may not limit our ability to incur additional senior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The following, among others, are events of default under a series of senior subordinated debt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pay the principal, premium, if any, or any sinking fund payment on any securities of that series when due;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pay interest on any securities of that series when due and that failure continues for a period of 30 days;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exercise of a holder’s conversion right, we fail to deliver conversion consideration in accordance with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comply with our obligations in the event of a consolidation, merger or sale of assets, as set forth in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observe or perform any other covenant or agreement in the senior subordinated indenture for the benefit of that series (other than a covenant or agreement with respect to which a failure to observe or perform is dealt with otherwise in the senior subordinated indenture or is expressly included in the senior subordinated indenture solely for the benefit of a series of debt securities other than such series of debt securities) and that failure continues for 90 days after we receive notice to comply from the trustee or holders of at least 25% in aggregate principal amount of the outstanding senior subordinated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pay our indebtedness or to pay or discharge certain final judgments against us, as set forth in the indenture;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of bankruptcy or insolvency occur, whether voluntary or not.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prospectus supplement relating to a series of senior subordinated debt securities may describe additional or different events of default that apply to that series. An event of default with respect to one series of senior subordinated debt securities will not necessarily constitute an event of default with respect to any other series of senior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an event of default occurs and is continuing, the trustee will mail to the holders of senior subordinated debt securities of the affected series a notice to that effect within 90 days after the default occurs, if a responsible officer of the trustee under the indenture has actual knowledge of the default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the case of a default in the payment of principal or interest, the trustee under the senior subordinated indenture may withhold notice if, and so long as, a committee of the trustee’s responsible officers in good faith determines that withholding the notice is in the interests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one or more series of senior subordinated debt securities occurs and is continuing, the trustee or the holders of at least 25% in aggregate principal amount of the then outstanding senior subordinated debt securities of all series with respect to which the event of default occurs and is continuing, treating all those series as a single class, may declare all the principal of, accrued and unpaid interest and premium (or such lesser amount as may be provided for in the senior subordinated debt securities of the series), if any (subject to applicable subordination provisions in the senior subordinated indenture) of all the senior subordinated debt securities of those series, to be immediately due and payable. The holders of a majority in aggregate principal amount of the then outstanding senior subordinated debt securities of all series covered by such declaration may annul and rescind the declaration and any related payment default that resulted from the declaration but not any other payment default. Certain events of bankruptcy and insolvency will result in all outstanding series of senior subordinated debt securities becoming due and payable immediately without any further action on the part of the trustee or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subordinated indenture entitles the trustee to be indemnified by the holders before proceeding to exercise any right or power at the request of any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senior subordinated debt securities of all series with respect to which an event of default occurs and is continuing, treating all those series as a single class, may direct the time, method and place of conducting any proceeding for any remedy available to the trustee or exercising any trust power conferred on it, except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direction cannot conflict with any law or regulation or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take any other action deemed proper by the trustee that is not inconsistent with the direction;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need not take any action that might subject it to personal liability or be unduly prejudicial to the holders of the senior subordinated debt securities not joining in the 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pursue a remedy directly under the senior subordinated indenture or a particular series of senior subordinated debt securities but, before doing so, the following must occur: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must give to the trustee written notice that an event of default has occurred and is continuing;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principal amount of the then outstanding senior subordinated debt securities of all affected series, treating all those series as a single class, must make a written request to the trustee to pursue the remedy;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or holders, must offer and, if requested, provide to the trustee an indemnity satisfactory to the trustee against any loss, liability or expense from the taking of the 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does not comply with the request within 60 days after receipt of the request and offer and, if requested, the provision of indemnity;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60-day period, the holders of a majority in principal amount of the then outstanding senior subordinated debt securities of all affected series, treating all those series as a single class, do not give the trustee a direction inconsistent with the written request.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holders have an absolute right to receipt of principal, interest or premium, if any, on or after the respective due dates and to institute suit for the enforcement of those payments. The right of a holder of senior subordinated debt securities to bring suit for the enforcement of any payments of principal, interest or premium, if any, on senior subordinated debt securities on or after the respective due dates, without regard to acceleration or default, may not be impaired or affected without the consent of that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senior subordinated debt securities then outstanding of all affected series, treating all those series as a single class, may, by notice to the trustee on behalf of all holders of the senior subordinated debt securities of those series, waive any past defaults, except: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continuing default in payment of the principal of, interest or premium, if any, on, or any sinking fund payment on, senior subordinated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continuing default in respect of a covenant or provision of the indenture that cannot be amended or modified without the consent of each holder of senior subordinated debt securities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arising from a failure to pay or deliver to converting holders consideration due upon conversion;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covenant or provision that under the senior subordinated indenture cannot be modified or amended without the consent of the holder of each outstanding note affected.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will file statements with the trustees regarding our compliance with covenants in the senior subordinated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Modifications and Amendments</w:t>
      </w:r>
      <w:r>
        <w:rPr>
          <w:rFonts w:ascii="Times New Roman;Times;Serif" w:hAnsi="Times New Roman;Times;Serif"/>
          <w:b w:val="false"/>
          <w:i w:val="false"/>
          <w:caps w:val="false"/>
          <w:smallCaps w:val="false"/>
          <w:sz w:val="20"/>
        </w:rPr>
        <w:t>. Except as provided below, or more fully specified in the senior subordinated indenture and described in the applicable prospectus supplement, the senior subordinated indenture may be amended or supplemented by us and the trustee with the consent of holders of a majority in principal amount of all series of senior subordinated debt securities affected by the amendment or supplement, treating all such series as a single class. In addition, the record holders of a majority in principal amount of the outstanding senior subordinated debt securities of all series affected by the waiver, treating all such series as a single class, may, with respect to those series, waive defaults under, or compliance with, the provisions of the senior subordinated indenture. Some amendments or waivers, however, require the consent of each holder of any senior subordinated debt security affected. Without the consent of each affected holder, an amendment or waiver regarding a series of senior subordinated debt securities may not: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maturity date, or the payment date of any installment interest on, any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principal amount of, or interest on, any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manner or currency of payment of principal of, or interest on, any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the right to institute a suit for the enforcement of any payment on, or with respect to, or of the conversion of, any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ranking of the securities in a manner adverse to the holders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the right of holders of securities to convert their securities in accordance with the indenture, or reduce the amount of consideration due upon conversion;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in aggregate principal amount of outstanding securities whose holders must consent to a modification or amendment of the indenture or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in aggregate principal amount of outstanding securities whose holders must consent to a waiver of compliance with any provision in the indenture, or the securities or a waiver of any default or event of default;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the applicable provisions of the indenture, except to increase the percentage required for modification or waiver or to provide for the consent of each affected holder.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under the senior subordinated indenture may amend or supplement the senior subordinated indenture or the senior subordinated debt securities of any series issued thereunder without the consent of any holder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assumption by a successor company of the Company’s obligations under the securities and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guarantees with respect to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to the covenants for the benefit of the holders or surrender any right or power conferred upon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including to cure any omission, ambiguity, manifest error or defect or to correct any inconsistency in the indenture that does not adversely affect the rights of any holder in any material respect;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any requirement of the SEC in connection with the qualification of the indenture under the Trust Indenture Act or with the rules of any applicable securities depositary;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issuance of and establish the form and terms and conditions of the securities of any series, to establish the form of any certifications required to be furnished, or to add to the rights of the holders of any series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additional events of default;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the acceptance or appointment of a successor trustee or to add an additional trustee or agent in accordance with the indenture;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conform the provisions of the indenture and the securities to the “Description of Notes” section as set forth in a preliminary prospectus supplement related to the offering and sale of the securities, as supplemented by the related pricing term sheet.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Particular Terms of the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 of Subordinated Debt Securities</w:t>
      </w:r>
      <w:r>
        <w:rPr>
          <w:rFonts w:ascii="Times New Roman;Times;Serif" w:hAnsi="Times New Roman;Times;Serif"/>
          <w:b w:val="false"/>
          <w:i w:val="false"/>
          <w:caps w:val="false"/>
          <w:smallCaps w:val="false"/>
          <w:sz w:val="20"/>
        </w:rPr>
        <w:t>. The subordinated debt securities will be subordinated and junior in right of payment to any senior debt securities and senior subordinated debt securities issued by us, as well as certain other indebtedness incurred by us to the extent set forth in the applicable indenture described in the prospectus supplement relating to a series of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Subordination</w:t>
      </w:r>
      <w:r>
        <w:rPr>
          <w:rFonts w:ascii="Times New Roman;Times;Serif" w:hAnsi="Times New Roman;Times;Serif"/>
          <w:b w:val="false"/>
          <w:i w:val="false"/>
          <w:caps w:val="false"/>
          <w:smallCaps w:val="false"/>
          <w:sz w:val="20"/>
        </w:rPr>
        <w:t>. Unless the prospectus supplement relating to a series of subordinated debt securities indicates otherwise, the subordination provisions of the subordinated debt securities will be the same as those of the senior subordinated debt securities just described, except that: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Senior debt” will include our obligations under the senior subordinated debt securities, as well as under the other debt specified above, including the “designated senior debt;”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series of subordinated debt securities may rank senior to other series. In that case, our obligations under the higher-ranking series will be “senior debt” in relation to the lower-ranking series, as set forth in the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indenture does not limit the amount of additional senior debt that we may incur. We expect from time to time to incur additional indebtedness constituting senior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The following, among others, are events of default under a series of subordinated debt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pay the principal, premium, if any, or any sinking fund payment on any securities of that series when due;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pay interest on any securities of that series when due and that failure continues for a period of 30 days;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exercise of a holder’s conversion right, we fail to deliver conversion consideration in accordance with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comply with our obligations in the event of a consolidation, merger or sale of assets, as set forth in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observe or perform any other covenant or agreement in the subordinated indenture for the benefit of that series (other than a covenant or agreement with respect to which a failure to observe or perform is dealt with otherwise in the subordinated indenture or is expressly included in the subordinated indenture solely for the benefit of a series of debt securities other than such series of debt securities) and that failure continues for 90 days after we receive notice to comply from the trustee or holders of at least 25% in aggregate principal amount of the outstanding subordinated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pay our indebtedness or to pay or discharge certain final judgments against us, as set forth in the indenture;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of bankruptcy or insolvency occur, whether voluntary or not.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prospectus supplement relating to a series of subordinated debt securities may describe additional or different events of default that apply to that series. An event of default with respect to one series of subordinated debt securities will not necessarily constitute an event of default with respect to any other series of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an event of default occurs and is continuing, the trustee will mail to the holders of subordinated debt securities of the affected series a notice to that effect within 90 days after the default occurs, if a responsible officer of the trustee under the indenture has actual knowledge of the default or event of default. Except in the case of a default in the payment of principal or interest, the trustee under the subordinated indenture may withhold notice if, and so long as, a committee of the trustee’s responsible officers in good faith determines that withholding the notice is in the interests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one or more series of subordinated debt securities occurs and is continuing, the trustee or the holders of at least 25% in aggregate principal amount of the then outstanding subordinated debt securities of all series with respect to which the event of default occurs and is continuing, treating all those series as a single class, may declare all the principal of, accrued and unpaid interest and premium (or a lesser amount as may be provided for in the subordinated debt securities of the series), if any, (subject to applicable subordination provisions in the relevant indenture) of all the subordinated debt securities of those series to be immediately due and payable. The holders of a majority in aggregate principal amount of the then outstanding subordinated debt securities of all series covered by such declaration may annul and rescind the declaration and any related payment default that resulted from the declaration but not any other payment default. Certain events of bankruptcy and insolvency will result in all outstanding series of subordinated debt securities becoming due and payable immediately without any further action on the part of the trustee or the holders.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indenture entitles the trustee to be indemnified by the holders before proceeding to exercise any right or power at the request of any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subordinated debt securities of all series with respect to which an event of default occurs and is continuing and that rank equal with each other, treating all those series as a single class, may direct the time, method and place of conducting any proceeding for any remedy available to the trustee or exercising any trust power conferred on it with respect to those series, except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direction cannot conflict with any law or regulation or the subordinated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take any other action deemed proper by the trustee that is not inconsistent with the direction;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need not take any action that might subject it to personal liability or be unduly prejudicial to the holders of the subordinated debt securities not joining in the 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pursue a remedy directly under the subordinated indenture or a particular series of subordinated debt securities but, before doing so, the following must occur: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must give to the trustee written notice that an event of default has occurred and is continuing;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principal amount of the then outstanding subordinated debt securities of all affected series that rank equal with each other, treating all those series as a single class, must make a written request to the trustee to pursue the remedy;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or holders, must offer and, if requested, provide to the trustee an indemnity satisfactory to the trustee against any loss, liability or expense from the taking of the 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does not comply with the request within 60 days after receipt of the request and offer and, if requested, the provision of indemnity;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60-day period, the holders of a majority in principal amount of the then outstanding subordinated debt securities of all those series, treating all those series as a single class, do not give the trustee a direction inconsistent with the written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holders have an absolute right to receipt of principal, interest and premium, if any, on or after the respective due dates and to institute suit for the enforcement of those payments. The right of a holder of subordinated debt securities to bring suit for the enforcement of any payments of principal, interest and premium, if any, on subordinated debt securities on or after the respective due dates may not be impaired or affected without the consent of that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then outstanding subordinated debt securities of all affected series that rank equal with each other treating all such series as a single class, may, by notice to the trustee on behalf of all holders of the subordinated debt securities of such series, waive any past defaults, except: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continuing default in payment of the principal of, interest or premium, if any, on, or any sinking fund payment on, subordinated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continuing default in respect of a covenant or provision of the indenture that cannot be amended or modified without the consent of each holder of subordinated debt securities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arising from a failure to pay or deliver to converting holders consideration due upon conversion;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covenant or provision that under the subordinated indenture cannot be modified or amended without the consent of the holder of each outstanding note affected.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will file statements with the trustee regarding our compliance with covenants in the subordinated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Modifications and Amendments</w:t>
      </w:r>
      <w:r>
        <w:rPr>
          <w:rFonts w:ascii="Times New Roman;Times;Serif" w:hAnsi="Times New Roman;Times;Serif"/>
          <w:b w:val="false"/>
          <w:i w:val="false"/>
          <w:caps w:val="false"/>
          <w:smallCaps w:val="false"/>
          <w:sz w:val="20"/>
        </w:rPr>
        <w:t>. Except as provided below, or more fully specified in the subordinated indenture and described in the applicable prospectus supplement, the subordinated indenture may be amended or supplemented by us and the trustee with the consent of holders of a majority in principal amount of all affected series of subordinated debt securities that rank equal with each other, treating all such series as a single class. In addition, the record holders of a majority in principal amount of the outstanding subordinated debt securities of all series affected by the waiver that rank equal with each other, treating such series as a single class, may, with respect to those series, waive defaults under, or compliance with, the provisions of the subordinated indenture. Some amendments or waivers, however, require the consent of each holder of any subordinated debt security affected. Without the consent of each affected holder, an amendment or waiver regarding a series of subordinated debt securities may not: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maturity date, or the payment date of any installment interest on, any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principal amount of, or interest on, any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manner or currency of payment of principal of, or interest on, any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the right to institute a suit for the enforcement of any payment on, or with respect to, or of the conversion of, any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ranking of the securities in a manner adverse to the holders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the right of holders of securities to convert their securities in accordance with the indenture, or reduce the amount of consideration due upon conversion;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in aggregate principal amount of outstanding securities whose holders must consent to a modification or amendment of the indenture or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in aggregate principal amount of outstanding securities whose holders must consent to a waiver of compliance with any provision in the indenture, or the securities or a waiver of any default or event of default;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the applicable provisions of the indenture, except to increase the percentage required for modification or waiver or to provide for the consent of each affected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under the subordinated indenture may amend or supplement the subordinated indenture or the subordinated debt securities issued thereunder without the consent of any holder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assumption by a successor company of the Company’s obligations under the securities and the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guarantees with respect to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the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to the covenants for the benefit of the holders or surrender any right or power conferred upon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including to cure any omission, ambiguity, manifest error or defect or to correct any inconsistency in the indenture that does not adversely affect the rights of any holder in any material respect;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any requirement of the SEC in connection with the qualification of the indenture under the Trust Indenture Act or with the rules of any applicable securities depositary;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issuance of and establish the form and terms and conditions of the securities of any series, to establish the form of any certifications required to be furnished, or to add to the rights of the holders of any series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additional events of default;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the acceptance or appointment of a successor trustee or to add an additional trustee or agent in accordance with the indenture;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conform the provisions of the indenture and the securities to the “Description of Notes” section as set forth in a preliminary prospectus supplement related to the offering and sale of the securities, as supplemented by the related pricing term sheet.</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4" w:name="s_010"/>
      <w:bookmarkEnd w:id="24"/>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discussion that follows, we have summarized selected provisions of our certificate of incorporation and bylaws. You should read our certificate of incorporation and bylaws as currently in effect for more details regarding the provisions we describe below and for other provisions that may be important to you. We have filed copies of those documents with the SEC, and they are incorporated by reference herein. Please read “Where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common stock and provisions of our certificate of incorporation and bylaws are summaries and are qualified by reference to our certificate of incorporation and bylaws, which have been incorporated by reference as exhibits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100,000,000 shares of common stock, par value $0.001 per share, and 5,000,000 shares of preferred stock, par value $0.001 per share, 100,000 of which are designated as Series A Participating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27, 2023, there were 58,788,718 shares of common stock outstanding, and no shares of preferred stock were issued or outstanding. As of November 27, 2023, there also were outstanding (i) options representing the right to purchase a total of 974, 291 shares of common stock at a weighted average exercise price of approximately $1.95 per share, (ii) unvested restricted stock units representing the right to acquire a total of 2,007,754 shares of common stock, and (ii) warrants to purchase up to 4,195,180 shares of our common stock which are exercisable at a price of $3.85.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common stock are entitled to receive proportionately any dividends that may be declared by our board of directors (“Board”), subject to any preferential dividend rights of outstanding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and Distribution</w:t>
      </w:r>
      <w:r>
        <w:rPr>
          <w:rFonts w:ascii="Times New Roman;Times;Serif" w:hAnsi="Times New Roman;Times;Serif"/>
          <w:b w:val="false"/>
          <w:i w:val="false"/>
          <w:caps w:val="false"/>
          <w:smallCaps w:val="false"/>
          <w:sz w:val="20"/>
        </w:rPr>
        <w:t>.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Our Certificate of Incorporation and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currently provides that directors may be removed only for cause and only by the affirmative vote of the holders of 75% of our shares of capital stock present in person or by proxy and entitled to vote. However, our Board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our Board, including a vacancy resulting from an enlargement of our Board, may be filled only by vote of a majority of our directors then in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on the ability of our stockholders to remove directors and fill vacancies could make it more difficult for a third party to acquire, or discourage a third party from seeking to acquire, control of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Action by Written Consent;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our Board, our chief executive officer, our president or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Requirements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Business Combination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382 Tax Benefits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the adoption of a tax benefits preservation plan in the form of a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our common stock. Accordingly, there can be no assurance that the tax benefits preservation plan will prevent an “ownership change.”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tax benefits preservation plan, we distributed to our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our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purchase rights and the tax benefits preservation plan will expire no later than June 29, 2026.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or the affirmative vote of the holders of at least 75% of the voting power of our capital stock issued and outstanding and entitled to vote on the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pStyle w:val="TextBody"/>
        <w:bidi w:val="0"/>
        <w:spacing w:before="0" w:after="0"/>
        <w:ind w:left="0" w:right="0" w:hanging="0"/>
        <w:jc w:val="center"/>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their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acts or omissions not in good faith or that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voting or assenting to unlawful payments of dividends or other distributions;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derived an improper personal benefit.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Its address is 250 Royall Street, Canton, MA 02021-1011, and its telephone number is 1-800-662-7232.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5" w:name="s_011"/>
      <w:bookmarkEnd w:id="25"/>
      <w:r>
        <w:rPr>
          <w:rFonts w:ascii="Times New Roman;Times;Serif" w:hAnsi="Times New Roman;Times;Serif"/>
          <w:b/>
          <w:i w:val="false"/>
          <w:caps/>
          <w:sz w:val="20"/>
        </w:rPr>
        <w:t>DESCRIPTION OF DEPOSITARY SHARES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this prospectus supplement, a holder of depositary shares is not entitled to receive the shares of preferred stock underlying the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pro rata or by another equitable method as may be determined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the Depositary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Charges of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at our option, the depositary, will forward to the holders of depositary shares all reports and communications from us which we are required to furnish to the holders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and Removal of Depositary; Termination of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has expired after the depositary has delivered to us written notice of its election to resign and a successor depositary has not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6" w:name="vk_001"/>
      <w:bookmarkEnd w:id="26"/>
      <w:r>
        <w:rPr>
          <w:rFonts w:ascii="Times New Roman;Times;Serif" w:hAnsi="Times New Roman;Times;Serif"/>
          <w:b/>
          <w:i w:val="false"/>
          <w:caps/>
          <w:sz w:val="20"/>
        </w:rPr>
        <w:t>DESCRIPTION OF WARRANTS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debt securities, preferred stock, common stock, depositary shares, purchase contracts or units that are registered pursuant to the registration statement to which this prospectus relates. We may issue warrants independently or together with other securities that are registered pursuant to the registration statement to which this prospectus relates. Warrants sold with other securities may be attached to or separate from the other securities. We will issue each series of warrants under a separate warrant agreement between us and a warrant agent that we will name in the prospectus supplement. We will describe additional terms of the warrants and the applicable warrant agreements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warrants are offered, the prospectus supplement relating to a series of warrants will include the specific terms of the warrants,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warrants offered;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dates or periods during which the warrants can be exercised;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warrants will be issued in individual certificates to holders or in the form of global securities held by a depositary on behalf of 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any securities with which the warrants are issued;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warrants are issued as a unit with another security, the date, if any, on and after which the warrants and the other security will be separately transferable;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exercise price is not payable in U.S. dollars, the foreign currency, currency unit or composite currency in which the exercise price is denominated;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terms, procedures and limitations relating to the transferability, exchange or exercise of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special tax implications of the warrants or their exercise;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antidilution provisions of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call provisions applicable to the warrants;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warrants.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and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will be able to exchange warrant certificates for new warrant certificates of different denominations, or to transfer warrants, at the corporate trust office of the warrant agent or any other office indicated in the prospectus supplement. Prior to exercise, holders of warrants will have none of the rights of holders of the underlying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will be able to exercise warrants up to 5:00 P.M. New York City time on the date set forth in the prospectus supplement as the expiration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this time, unless we have extended the expiration date, the unexercised warrants will be void.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restrictions and additional requirements that may be set forth in a prospectus supplement, holders of warrants may exercise them by delivering to the warrant agent at its corporate trust office the following:</w:t>
      </w:r>
    </w:p>
    <w:p>
      <w:pPr>
        <w:pStyle w:val="TextBody"/>
        <w:bidi w:val="0"/>
        <w:spacing w:before="0" w:after="0"/>
        <w:ind w:left="0" w:right="0" w:firstLine="72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170"/>
        <w:gridCol w:w="36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certificates properly completed;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36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exercise price.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practicable after the delivery, we will issue and deliver to the indicated holder the securities purchasable upon exercise. If a holder does not exercise all the warrants represented by a particular certificate, we will also issue a new certificate for the remaining number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Rights of Security Holder Prior to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will not have any of the rights of holders of the securities purchasable upon the exercise of the warrants, and will not be entitled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debt securities, payments of principal of, premium, if any, or interest, if any, on the debt securities purchasable upon exercise;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equity securities, the right to vote or to receive dividend payments or similar distributions on the securities purchasable upon exercise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relevant warrant agreement and will not assume any obligation or relationship of agency or trust for any warrant holder. A single bank or trust company may act as warrant agent for more than one issue of warrants. A warrant agent will have no duty or responsibility if we default in performing our obligations under the relevant warrant agreement or warrant, including any duty or responsibility to initiate any legal proceedings or to make any demand upon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warrant agents and any of our respective agents may treat the registered holder of any warrant certificate as the absolute owner of the warrants evidenced by that certificate for any purpose and as the person entitled to exercise the rights attaching to the warrants so requested, despite any notice to the contrary.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7" w:name="vk_002"/>
      <w:bookmarkEnd w:id="27"/>
      <w:r>
        <w:rPr>
          <w:rFonts w:ascii="Times New Roman;Times;Serif" w:hAnsi="Times New Roman;Times;Serif"/>
          <w:b/>
          <w:i w:val="false"/>
          <w:caps/>
          <w:sz w:val="20"/>
        </w:rPr>
        <w:t>DESCRIPTION OF SUBSCRIPTION RIGHTS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common stock, preferred stock, depositary shares, other securities described in this prospectus or any combination thereof. These subscription rights may be issued independently or together with any other security offered by us and may or may not be transferable by the securityholder receiving the subscription rights in such offering. In connection with any offering of subscription rights, we may enter into a standby arrangement with one or more underwriters or other investors pursuant to which the underwriters or other investors may be required to purchase any securities remaining unsubscribed for after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appropriate, the applicable prospectus supplement will describe the specific terms of the subscription rights to purchase shares of our securities offered thereby,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securityholders entitled to the subscription rights distribution;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if any, for the subscription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payable for the common stock, preferred stock, depositary shares or other securities upon the exercise of the subscription right;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subscription rights issued to each securityholder;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common stock, preferred stock, depositary shares or other securities that may be purchased per each subscription right;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adjustment of the amount of securities receivable upon exercise of the subscription rights or of the exercise price of the subscription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are transferable;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subscription rights shall commence, and the date on which the subscription rights shall expire;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may include an over-subscription privilege with respect to unsubscribed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any standby underwriting or purchase arrangement entered into by us in connection with the offering of subscription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federal income tax considerations;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subscription rights, including the terms, procedures and limitations relating to the transferability, exchange and exercise of the subscription rights.</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8" w:name="vk_003"/>
      <w:bookmarkEnd w:id="28"/>
      <w:r>
        <w:rPr>
          <w:rFonts w:ascii="Times New Roman;Times;Serif" w:hAnsi="Times New Roman;Times;Serif"/>
          <w:b/>
          <w:i w:val="false"/>
          <w:caps/>
          <w:sz w:val="20"/>
        </w:rPr>
        <w:t>DESCRIPTION OF PURCHASE CONTRACTS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purchase contracts obligating holders to purchase from us, and us to sell to the holders, a specified number, or amount, of securities at a future date or dates. The purchase contracts may be issued separately or as part of units consisting of a purchase contract and an underlying debt or preferred security covered by this prospectus, U.S. Treasury security or other U.S. government or agency obligation. The holder of the unit may be required to pledge the debt, preferred security, U.S. Treasury security or other U.S. government or agency obligation to secure its obligations under the purchase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purchase contracts are offered, the prospectus supplement will specify the material terms of the purchase contracts, the units and any applicable pledge or depository arrangements, including one or more of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amount that a holder will be obligated to pay under the purchase contract in order to purchase the underlying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date or dates on which the holder will be obligated to purchase the underlying security and whether the occurrence of any events may cause the settlement date to occur on an earlier date and the terms on which any early settlement would occur;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events, if any, that will cause our obligations and the obligations of the holder under the purchase contract to terminate;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rate, which is a number that, when multiplied by the stated amount of a purchase contract, determines the number, or amount, of securities that we will be obligated to sell and a holder will be obligated to purchase under that purchase contract upon payment of the stated amount of that purchase contract;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purchase contracts will be issued separately or as part of units consisting of a purchase contract and an underlying debt or preferred security with an aggregate principal amount or liquidation amount equal to the stated amount;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type of security, if any, that is pledged by the holder to secure its obligations under a purchase contract;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pledge arrangement relating to the security, including the terms on which distributions or payments of interest and principal on the security will be retained by a collateral agent, delivered to us or be distributed to the holder;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contract fee, if any, that may be payable by us to the holder or by the holder to us, the date or dates on which the contract fee will be payable and the extent to which we or the holder, as applicable, may defer payment of the contract fee on those payment dates.</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9" w:name="vk_004"/>
      <w:bookmarkEnd w:id="29"/>
      <w:r>
        <w:rPr>
          <w:rFonts w:ascii="Times New Roman;Times;Serif" w:hAnsi="Times New Roman;Times;Serif"/>
          <w:b/>
          <w:i w:val="false"/>
          <w:caps/>
          <w:sz w:val="20"/>
        </w:rPr>
        <w:t>DESCRIPTION OF UNITS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the applicable prospectus supplement, we may issue units consisting of one or more shares of common stock, shares of preferred stock, warrants, debt securities, subscription rights, purchase contracts or any combination of such securities. The applicable prospectus supplement will describe: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comprising the units, including whether and under what circumstances the securities comprising the units may be separately traded;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applicable to the units, including a description of the terms of any applicable unit agreement governing the units;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provisions for the payment, settlement, transfer or exchange of the units.</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0" w:name="vk_005"/>
      <w:bookmarkEnd w:id="30"/>
      <w:r>
        <w:rPr>
          <w:rFonts w:ascii="Times New Roman;Times;Serif" w:hAnsi="Times New Roman;Times;Serif"/>
          <w:b/>
          <w:i w:val="false"/>
          <w:caps/>
          <w:sz w:val="20"/>
        </w:rPr>
        <w:t>FOrmS OF SECURITIES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warrants, purchase contracts and units of any series in the form of one or more fully registered global securities that will be deposited with a depositary or with a nominee for a depositary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global security will be limited to persons that have accounts with the depositary for such global security known as “participants” or persons that may hold interests through such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 global security, the depositary for such global security will credit, on its book-entry registration and transfer system, the participants’ accounts with the respective principal or face amounts of the securities represented by the global security beneficially owned by the participants. The accounts to be credited shall be designated by any dealers, underwriters or agents participating in the distribution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the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securities represented by a global security, or its nominee,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or its nominee.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1" w:name="vk_006"/>
      <w:bookmarkEnd w:id="31"/>
      <w:r>
        <w:rPr>
          <w:rFonts w:ascii="Times New Roman;Times;Serif" w:hAnsi="Times New Roman;Times;Serif"/>
          <w:b/>
          <w:i w:val="false"/>
          <w:caps/>
          <w:sz w:val="20"/>
        </w:rPr>
        <w:t>PLAN OF DISTRIBUTION</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from time to time through underwriters, dealers or agents or directly to purchasers, in one or more transactions at a fixed price or prices, which may be changed, or at market prices prevailing at the time of sale, at prices related to such prevailing market prices or at negotiated prices. We may also sell our securities upon the exercise of subscription rights that may be distributed to security holders. We may use these methods in any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the terms of the offering of the securities in a prospectus supplement, information incorporated by reference or any related free writing prospectus, including:</w:t>
      </w:r>
    </w:p>
    <w:p>
      <w:pPr>
        <w:pStyle w:val="TextBody"/>
        <w:bidi w:val="0"/>
        <w:spacing w:before="0" w:after="0"/>
        <w:ind w:left="1080" w:right="0" w:hanging="36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170"/>
        <w:gridCol w:w="69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underwriters,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securities and the proceeds we will receive from the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and other items constituting underwriters’ compensation;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market on which the securities may be listed.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we name in the prospectus supplement, information incorporated by reference or any related free writing prospectus are underwriters of the securities offered thereby.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transactions (which may involve crosses) and transactions on the NASDAQ or any other organized market where the securities may be traded;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own account pursuant to a prospectus supplement;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a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“at the market” to or through a market maker or into an existing trading market, on an exchange or otherwise;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in other ways not involving market makers or established trading markets, including direct sales to purchasers.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an underwriter or underwriters in the offer or sale of our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an underwriter or underwriters, the offered securities will be acquired by the underwriters for their own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include the names of the specific managing underwriter or underwriters, as well as any other underwriters, and the terms of the transactions, including the compensation the underwriters and dealers will receive, in the prospectus supplement.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will use this prospectus and the prospectus supplement to sell our securities.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securities pursuant to one or more standby agreements with one or more underwriters in connection with the call, redemption or exchange of a specified class or series of any of our outstanding securities. In a standby agreement, the underwriter or underwriters would agree either: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purchase from us up to the number of shares of common stock that would be issuable upon conversion or exchange of all the shares of the class or series of our securities at an agreed price per share of common stock; or</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purchase from us up to a specified dollar amount of offered securities at an agreed price per offered security, which price may be fixed or may be established by formula or other method and which may or may not relate to market prices of our common stock or any other outstanding security.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or underwriters would also agree, if applicable, to convert or exchange any securities of the class or series held or purchased by the underwriter or underwriters into or for our common stock or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or underwriters may assist in the solicitation of conversions or exchanges by holders of the class or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a dealer to sell our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dealer, we, as principal, will sell our securities to the dealer.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dealer will then resell our securities to the public at varying prices that the dealer will determine at the time it sells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include the name of the dealer and the terms of our transactions with the dealer in the prospectus supplement.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designate agents to solicit offers to purchase our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any agent involved in offering or selling our securities and any commissions that we will pay to the agent in the prospectus supplement.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in the prospectus supplement, our agents will act on a best efforts basis for the period of their appointment.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agents may be deemed to be underwriters under the Securities Act of any of our securities that they offer or sell.</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Delayed Delivery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our agents and underwriters to solicit offers by certain institutions to purchase our securities at the public offering price under delayed delivery contracts.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delayed delivery contracts, we will disclose that we are using them in the prospectus supplement and will tell you when we will demand payment and delivery of the securities under the delayed delivery contracts.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delayed delivery contracts will be subject only to the conditions that we set forth in the prospectus supplement.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indicate in the prospectus supplement the commission that underwriters and agents soliciting purchases of our securities under delayed delivery contracts will be entitled to receive.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our securities, and we may directly sell our securities to institutional or other investors, including our affiliates. We will describe the terms of our direct sales in the prospectus supplement. We may also sell our securities upon the exercise of rights which we may issue.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that participate in the distribution of our securities may be underwriters as defined in the Securities Act, and any discounts or commissions they receive and any profit they make on the resale of the offered securities may be treated as underwriting discounts and commissions under the Securities Act. Any underwriters or agents will be identified and their compensation described in a prospectus supplement. We may indemnify agents, underwriters and dealers against certain civil liabilities, including liabilities under the Securities Act, or make contributions to payments they may be required to make relating to those liabilities. Our agents, underwriters and dealers, or their affiliates, may be customers of,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securities offered by this prospectus (other than common stock) may be a new issue of securities with no established trading market. Any underwriters to whom securities offered by this prospectus are sold by us for public offering and sale may make a market in the securities offered by this prospectus, but the underwriters will not be obligated to do so and may discontinue any market making at any time without notice. No assurance can be given as to the liquidity of the trading market for any securities offered by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the underwriters through whom our securities are sold for public offering and sale may engage in over-allotment, stabilizing transactions, syndicate short covering transactions and penalty bids in accordance with Regulation M under the Exchange Act. Over-allotment involves syndicate sales in excess of the offering size, which creates a syndicate short position. Stabilizing transactions permit bids to purchase the offered securities so long as the stabilizing bids do not exceed a specified maximum.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Syndicate covering transactions involve purchases of the offered securities in the open market after the distribution has been completed in order to cover syndicate short positions. Penalty bids permit the representative of the underwriters to reclaim a selling concession from a syndicate member when the offered securities originally sold by such syndicate member are purchased in a syndicate covering transaction to cover syndicate short positions. Such stabilizing transactions, syndicate covering transactions and penalty bids may cause the price of the offered securities to be higher than it would otherwise be in the absence of such transactions. These transactions may be effected on a national securities exchange and, if commenced, may be discontinued at any time. Underwriters, dealers and agents may be customers of, engage in transactions with or perform services for, us and our subsidiaries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any offering pursuant to this prospectus and any applicable prospectus supplement or other offering materials; however, it is anticipated that the maximum commission or discount to be received in any particular offering of securities will be less than this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2" w:name="vk_007"/>
      <w:bookmarkEnd w:id="32"/>
      <w:r>
        <w:rPr>
          <w:rFonts w:ascii="Times New Roman;Times;Serif" w:hAnsi="Times New Roman;Times;Serif"/>
          <w:b/>
          <w:i w:val="false"/>
          <w:caps/>
          <w:sz w:val="20"/>
        </w:rPr>
        <w:t>LEGAL MATTERS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the securities offered hereby will be passed on for us by Porter Hedges LLP, Houston, Texas. Any underwriters will be advised about other issues relating to any offering by their own legal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3" w:name="vk_008"/>
      <w:bookmarkEnd w:id="33"/>
      <w:r>
        <w:rPr>
          <w:rFonts w:ascii="Times New Roman;Times;Serif" w:hAnsi="Times New Roman;Times;Serif"/>
          <w:b/>
          <w:i w:val="false"/>
          <w:caps/>
          <w:sz w:val="20"/>
        </w:rPr>
        <w:t>EXPERTS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sheets of Ocean Power Technologies, Inc. and subsidiaries as of April 30, 2023 and 2022 and the related consolidated statements of operations, comprehensive loss, stockholders’ equity, and cash flows for each of the years then ended, have been audited by EisnerAmper LLP, independent registered public accounting firm, as stated in their report, which is incorporated herein by reference. Such consolidated financial statements have been incorporated herein by reference in reliance on the report of such firm given upon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71775" cy="638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5"/>
                    <a:stretch>
                      <a:fillRect/>
                    </a:stretch>
                  </pic:blipFill>
                  <pic:spPr bwMode="auto">
                    <a:xfrm>
                      <a:off x="0" y="0"/>
                      <a:ext cx="27717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$40,000,000</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Ladenburg Thalmann &amp; Co. Inc.</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1440" w:right="0" w:hanging="144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August 8, 2025</w:t>
      </w:r>
    </w:p>
    <w:p>
      <w:pPr>
        <w:pStyle w:val="TextBody"/>
        <w:bidi w:val="0"/>
        <w:spacing w:before="0" w:after="0"/>
        <w:ind w:left="0" w:right="0" w:hanging="0"/>
        <w:jc w:val="left"/>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8140/000164117225020888/form10-k.htm" TargetMode="External"/><Relationship Id="rId4" Type="http://schemas.openxmlformats.org/officeDocument/2006/relationships/hyperlink" Target="https://www.sec.gov/Archives/edgar/data/1378140/000164117225008095/form8-k.htm" TargetMode="External"/><Relationship Id="rId5" Type="http://schemas.openxmlformats.org/officeDocument/2006/relationships/hyperlink" Target="https://www.sec.gov/Archives/edgar/data/1378140/000164117225008700/form8-k.htm" TargetMode="External"/><Relationship Id="rId6" Type="http://schemas.openxmlformats.org/officeDocument/2006/relationships/hyperlink" Target="https://www.sec.gov/Archives/edgar/data/1378140/000164117225010584/form8-k.htm" TargetMode="External"/><Relationship Id="rId7" Type="http://schemas.openxmlformats.org/officeDocument/2006/relationships/hyperlink" Target="https://www.sec.gov/Archives/edgar/data/1378140/000164117225012472/form8-k.htm" TargetMode="External"/><Relationship Id="rId8" Type="http://schemas.openxmlformats.org/officeDocument/2006/relationships/hyperlink" Target="https://www.sec.gov/Archives/edgar/data/1378140/000164117225013665/form8-k.htm" TargetMode="External"/><Relationship Id="rId9" Type="http://schemas.openxmlformats.org/officeDocument/2006/relationships/hyperlink" Target="https://www.sec.gov/Archives/edgar/data/1378140/000164117225014028/form8-k.htm" TargetMode="External"/><Relationship Id="rId10" Type="http://schemas.openxmlformats.org/officeDocument/2006/relationships/hyperlink" Target="https://www.sec.gov/Archives/edgar/data/1378140/000164117225017126/form8-k.htm" TargetMode="External"/><Relationship Id="rId11" Type="http://schemas.openxmlformats.org/officeDocument/2006/relationships/hyperlink" Target="https://www.sec.gov/Archives/edgar/data/1378140/000164117225019501/form8-k.htm" TargetMode="External"/><Relationship Id="rId12" Type="http://schemas.openxmlformats.org/officeDocument/2006/relationships/hyperlink" Target="https://www.sec.gov/Archives/edgar/data/1378140/000164117225021008/form8-k.htm" TargetMode="External"/><Relationship Id="rId13" Type="http://schemas.openxmlformats.org/officeDocument/2006/relationships/hyperlink" Target="https://www.sec.gov/Archives/edgar/data/1378140/000164117225022274/form8-k.htm" TargetMode="External"/><Relationship Id="rId14" Type="http://schemas.openxmlformats.org/officeDocument/2006/relationships/hyperlink" Target="https://www.sec.gov/Archives/edgar/data/1378140/000095012307005612/y257908ae8va12b.htm" TargetMode="External"/><Relationship Id="rId15" Type="http://schemas.openxmlformats.org/officeDocument/2006/relationships/image" Target="media/image2.jpeg"/><Relationship Id="rId16" Type="http://schemas.openxmlformats.org/officeDocument/2006/relationships/hyperlink" Target="https://www.sec.gov/Archives/edgar/data/1378140/000149315223025878/form10-k.htm" TargetMode="External"/><Relationship Id="rId17" Type="http://schemas.openxmlformats.org/officeDocument/2006/relationships/hyperlink" Target="https://www.sec.gov/Archives/edgar/data/1378140/000149315223030358/form10-ka.htm" TargetMode="External"/><Relationship Id="rId18" Type="http://schemas.openxmlformats.org/officeDocument/2006/relationships/hyperlink" Target="https://www.sec.gov/Archives/edgar/data/1378140/000149315223032485/form10-q.htm" TargetMode="External"/><Relationship Id="rId19" Type="http://schemas.openxmlformats.org/officeDocument/2006/relationships/hyperlink" Target="https://www.sec.gov/Archives/edgar/data/1378140/000149315223020565/form8-k.htm" TargetMode="External"/><Relationship Id="rId20" Type="http://schemas.openxmlformats.org/officeDocument/2006/relationships/hyperlink" Target="https://www.sec.gov/Archives/edgar/data/1378140/000149315223020665/form8-k.htm" TargetMode="External"/><Relationship Id="rId21" Type="http://schemas.openxmlformats.org/officeDocument/2006/relationships/hyperlink" Target="https://www.sec.gov/Archives/edgar/data/1378140/000149315223023008/form8-k.htm" TargetMode="External"/><Relationship Id="rId22" Type="http://schemas.openxmlformats.org/officeDocument/2006/relationships/hyperlink" Target="https://www.sec.gov/Archives/edgar/data/1378140/000149315223027012/form8-k.htm" TargetMode="External"/><Relationship Id="rId23" Type="http://schemas.openxmlformats.org/officeDocument/2006/relationships/hyperlink" Target="https://www.sec.gov/Archives/edgar/data/1378140/000149315223032093/form8-k.htm" TargetMode="External"/><Relationship Id="rId24" Type="http://schemas.openxmlformats.org/officeDocument/2006/relationships/hyperlink" Target="https://www.sec.gov/Archives/edgar/data/1378140/000149315223032416/form8-k.htm" TargetMode="External"/><Relationship Id="rId25" Type="http://schemas.openxmlformats.org/officeDocument/2006/relationships/hyperlink" Target="https://www.sec.gov/Archives/edgar/data/1378140/000149315223036991/form8-k.htm" TargetMode="External"/><Relationship Id="rId26" Type="http://schemas.openxmlformats.org/officeDocument/2006/relationships/hyperlink" Target="https://www.sec.gov/ix?doc=/Archives/edgar/data/1378140/000149315223038119/form8-k.htm" TargetMode="External"/><Relationship Id="rId27" Type="http://schemas.openxmlformats.org/officeDocument/2006/relationships/hyperlink" Target="https://www.sec.gov/ix?doc=/Archives/edgar/data/1378140/000149315223038207/form8-k.htm" TargetMode="External"/><Relationship Id="rId28" Type="http://schemas.openxmlformats.org/officeDocument/2006/relationships/hyperlink" Target="https://www.sec.gov/ix?doc=/Archives/edgar/data/1378140/000149315223039777/form8-k.htm" TargetMode="External"/><Relationship Id="rId29" Type="http://schemas.openxmlformats.org/officeDocument/2006/relationships/hyperlink" Target="https://www.sec.gov/ix?doc=/Archives/edgar/data/1378140/000149315223041664/form8-k.htm" TargetMode="External"/><Relationship Id="rId30" Type="http://schemas.openxmlformats.org/officeDocument/2006/relationships/hyperlink" Target="https://www.sec.gov/Archives/edgar/data/1378140/000149315223023117/form8-ka.htm" TargetMode="External"/><Relationship Id="rId31" Type="http://schemas.openxmlformats.org/officeDocument/2006/relationships/hyperlink" Target="https://www.sec.gov/Archives/edgar/data/1378140/000095012307005612/y257908ae8va12b.htm" TargetMode="External"/><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33776</Words>
  <Characters>176268</Characters>
  <CharactersWithSpaces>210478</CharactersWithSpaces>
  <Paragraphs>2821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