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180340</wp:posOffset>
            </wp:positionV>
            <wp:extent cx="518668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86680" cy="21590"/>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208915</wp:posOffset>
            </wp:positionV>
            <wp:extent cx="51866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86680"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5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5" w:lineRule="exact"/>
        <w:rPr>
          <w:sz w:val="20"/>
          <w:szCs w:val="20"/>
          <w:color w:val="auto"/>
        </w:rPr>
      </w:pPr>
    </w:p>
    <w:p>
      <w:pPr>
        <w:jc w:val="center"/>
        <w:ind w:right="1519"/>
        <w:spacing w:after="0"/>
        <w:rPr>
          <w:sz w:val="20"/>
          <w:szCs w:val="20"/>
          <w:color w:val="auto"/>
        </w:rPr>
      </w:pPr>
      <w:r>
        <w:rPr>
          <w:rFonts w:ascii="Arial" w:cs="Arial" w:eastAsia="Arial" w:hAnsi="Arial"/>
          <w:sz w:val="18"/>
          <w:szCs w:val="18"/>
          <w:b w:val="1"/>
          <w:bCs w:val="1"/>
          <w:color w:val="auto"/>
        </w:rPr>
        <w:t>Washington, D.C. 20549</w:t>
      </w:r>
    </w:p>
    <w:p>
      <w:pPr>
        <w:spacing w:after="0" w:line="125" w:lineRule="exact"/>
        <w:rPr>
          <w:sz w:val="20"/>
          <w:szCs w:val="20"/>
          <w:color w:val="auto"/>
        </w:rPr>
      </w:pPr>
    </w:p>
    <w:p>
      <w:pPr>
        <w:ind w:left="3700"/>
        <w:spacing w:after="0"/>
        <w:rPr>
          <w:sz w:val="20"/>
          <w:szCs w:val="20"/>
          <w:color w:val="auto"/>
        </w:rPr>
      </w:pPr>
      <w:r>
        <w:rPr>
          <w:rFonts w:ascii="Arial" w:cs="Arial" w:eastAsia="Arial" w:hAnsi="Arial"/>
          <w:sz w:val="27"/>
          <w:szCs w:val="27"/>
          <w:b w:val="1"/>
          <w:bCs w:val="1"/>
          <w:color w:val="auto"/>
        </w:rPr>
        <w:t>Form 10-Q</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(Mark One)</w:t>
      </w:r>
    </w:p>
    <w:p>
      <w:pPr>
        <w:spacing w:after="0" w:line="178" w:lineRule="exact"/>
        <w:rPr>
          <w:sz w:val="20"/>
          <w:szCs w:val="20"/>
          <w:color w:val="auto"/>
        </w:rPr>
      </w:pPr>
    </w:p>
    <w:p>
      <w:pPr>
        <w:ind w:left="1260" w:right="1979" w:hanging="787"/>
        <w:spacing w:after="0" w:line="270" w:lineRule="auto"/>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8" w:lineRule="exact"/>
        <w:rPr>
          <w:sz w:val="20"/>
          <w:szCs w:val="20"/>
          <w:color w:val="auto"/>
        </w:rPr>
      </w:pPr>
    </w:p>
    <w:p>
      <w:pPr>
        <w:ind w:left="1240"/>
        <w:spacing w:after="0"/>
        <w:rPr>
          <w:sz w:val="20"/>
          <w:szCs w:val="20"/>
          <w:color w:val="auto"/>
        </w:rPr>
      </w:pPr>
      <w:r>
        <w:rPr>
          <w:rFonts w:ascii="Arial" w:cs="Arial" w:eastAsia="Arial" w:hAnsi="Arial"/>
          <w:sz w:val="15"/>
          <w:szCs w:val="15"/>
          <w:b w:val="1"/>
          <w:bCs w:val="1"/>
          <w:color w:val="auto"/>
        </w:rPr>
        <w:t>For the Quarterly Period Ended January 31, 2011</w:t>
      </w:r>
    </w:p>
    <w:p>
      <w:pPr>
        <w:spacing w:after="0" w:line="168"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Or</w:t>
      </w:r>
    </w:p>
    <w:p>
      <w:pPr>
        <w:spacing w:after="0" w:line="182" w:lineRule="exact"/>
        <w:rPr>
          <w:sz w:val="20"/>
          <w:szCs w:val="20"/>
          <w:color w:val="auto"/>
        </w:rPr>
      </w:pPr>
    </w:p>
    <w:p>
      <w:pPr>
        <w:ind w:left="1260" w:right="1959" w:hanging="753"/>
        <w:spacing w:after="0" w:line="270" w:lineRule="auto"/>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8" w:lineRule="exact"/>
        <w:rPr>
          <w:sz w:val="20"/>
          <w:szCs w:val="20"/>
          <w:color w:val="auto"/>
        </w:rPr>
      </w:pPr>
    </w:p>
    <w:p>
      <w:pPr>
        <w:ind w:left="1240"/>
        <w:spacing w:after="0"/>
        <w:tabs>
          <w:tab w:leader="none" w:pos="410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-5715</wp:posOffset>
            </wp:positionV>
            <wp:extent cx="10883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8390" cy="6985"/>
                    </a:xfrm>
                    <a:prstGeom prst="rect">
                      <a:avLst/>
                    </a:prstGeom>
                    <a:noFill/>
                  </pic:spPr>
                </pic:pic>
              </a:graphicData>
            </a:graphic>
          </wp:anchor>
        </w:drawing>
      </w:r>
    </w:p>
    <w:p>
      <w:pPr>
        <w:spacing w:after="0" w:line="137"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Commission file number: 001-33417</w:t>
      </w:r>
    </w:p>
    <w:p>
      <w:pPr>
        <w:spacing w:after="0" w:line="146" w:lineRule="exact"/>
        <w:rPr>
          <w:sz w:val="20"/>
          <w:szCs w:val="20"/>
          <w:color w:val="auto"/>
        </w:rPr>
      </w:pPr>
    </w:p>
    <w:p>
      <w:pPr>
        <w:jc w:val="center"/>
        <w:ind w:right="1519"/>
        <w:spacing w:after="0"/>
        <w:rPr>
          <w:sz w:val="20"/>
          <w:szCs w:val="20"/>
          <w:color w:val="auto"/>
        </w:rPr>
      </w:pPr>
      <w:r>
        <w:rPr>
          <w:rFonts w:ascii="Arial" w:cs="Arial" w:eastAsia="Arial" w:hAnsi="Arial"/>
          <w:sz w:val="36"/>
          <w:szCs w:val="36"/>
          <w:b w:val="1"/>
          <w:bCs w:val="1"/>
          <w:color w:val="auto"/>
        </w:rPr>
        <w:t>OCEAN POWER TECHNOLOGIES, INC.</w:t>
      </w:r>
    </w:p>
    <w:p>
      <w:pPr>
        <w:spacing w:after="0" w:line="44" w:lineRule="exact"/>
        <w:rPr>
          <w:sz w:val="20"/>
          <w:szCs w:val="20"/>
          <w:color w:val="auto"/>
        </w:rPr>
      </w:pPr>
    </w:p>
    <w:p>
      <w:pPr>
        <w:ind w:left="2700"/>
        <w:spacing w:after="0"/>
        <w:rPr>
          <w:sz w:val="20"/>
          <w:szCs w:val="20"/>
          <w:color w:val="auto"/>
        </w:rPr>
      </w:pPr>
      <w:r>
        <w:rPr>
          <w:rFonts w:ascii="Arial" w:cs="Arial" w:eastAsia="Arial" w:hAnsi="Arial"/>
          <w:sz w:val="15"/>
          <w:szCs w:val="15"/>
          <w:i w:val="1"/>
          <w:iCs w:val="1"/>
          <w:color w:val="auto"/>
        </w:rPr>
        <w:t>(Exact Name of Registrant as Specified in Its Charter)</w:t>
      </w:r>
    </w:p>
    <w:p>
      <w:pPr>
        <w:sectPr>
          <w:pgSz w:w="11900" w:h="16838" w:orient="portrait"/>
          <w:cols w:equalWidth="0" w:num="1">
            <w:col w:w="10219"/>
          </w:cols>
          <w:pgMar w:left="240" w:top="125" w:right="1440" w:bottom="1440" w:gutter="0" w:footer="0" w:header="0"/>
        </w:sectPr>
      </w:pPr>
    </w:p>
    <w:p>
      <w:pPr>
        <w:spacing w:after="0" w:line="175"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Delaware</w:t>
      </w:r>
    </w:p>
    <w:p>
      <w:pPr>
        <w:spacing w:after="0" w:line="22" w:lineRule="exact"/>
        <w:rPr>
          <w:sz w:val="20"/>
          <w:szCs w:val="20"/>
          <w:color w:val="auto"/>
        </w:rPr>
      </w:pPr>
    </w:p>
    <w:p>
      <w:pPr>
        <w:jc w:val="center"/>
        <w:ind w:right="140"/>
        <w:spacing w:after="0"/>
        <w:rPr>
          <w:sz w:val="20"/>
          <w:szCs w:val="20"/>
          <w:color w:val="auto"/>
        </w:rPr>
      </w:pPr>
      <w:r>
        <w:rPr>
          <w:rFonts w:ascii="Arial" w:cs="Arial" w:eastAsia="Arial" w:hAnsi="Arial"/>
          <w:sz w:val="14"/>
          <w:szCs w:val="14"/>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699"/>
        <w:spacing w:after="0"/>
        <w:rPr>
          <w:sz w:val="20"/>
          <w:szCs w:val="20"/>
          <w:color w:val="auto"/>
        </w:rPr>
      </w:pPr>
      <w:r>
        <w:rPr>
          <w:rFonts w:ascii="Arial" w:cs="Arial" w:eastAsia="Arial" w:hAnsi="Arial"/>
          <w:sz w:val="15"/>
          <w:szCs w:val="15"/>
          <w:b w:val="1"/>
          <w:bCs w:val="1"/>
          <w:color w:val="auto"/>
        </w:rPr>
        <w:t>22-2535818</w:t>
      </w:r>
    </w:p>
    <w:p>
      <w:pPr>
        <w:spacing w:after="0" w:line="22" w:lineRule="exact"/>
        <w:rPr>
          <w:sz w:val="20"/>
          <w:szCs w:val="20"/>
          <w:color w:val="auto"/>
        </w:rPr>
      </w:pPr>
    </w:p>
    <w:p>
      <w:pPr>
        <w:jc w:val="center"/>
        <w:ind w:right="2699"/>
        <w:spacing w:after="0"/>
        <w:rPr>
          <w:sz w:val="20"/>
          <w:szCs w:val="20"/>
          <w:color w:val="auto"/>
        </w:rPr>
      </w:pPr>
      <w:r>
        <w:rPr>
          <w:rFonts w:ascii="Arial" w:cs="Arial" w:eastAsia="Arial" w:hAnsi="Arial"/>
          <w:sz w:val="14"/>
          <w:szCs w:val="14"/>
          <w:i w:val="1"/>
          <w:iCs w:val="1"/>
          <w:color w:val="auto"/>
        </w:rPr>
        <w:t>(I.R.S. Employer Identification No.)</w:t>
      </w:r>
    </w:p>
    <w:p>
      <w:pPr>
        <w:spacing w:after="0" w:line="155" w:lineRule="exact"/>
        <w:rPr>
          <w:sz w:val="20"/>
          <w:szCs w:val="20"/>
          <w:color w:val="auto"/>
        </w:rPr>
      </w:pPr>
    </w:p>
    <w:p>
      <w:pPr>
        <w:sectPr>
          <w:pgSz w:w="11900" w:h="16838" w:orient="portrait"/>
          <w:cols w:equalWidth="0" w:num="2">
            <w:col w:w="4640" w:space="720"/>
            <w:col w:w="4859"/>
          </w:cols>
          <w:pgMar w:left="240" w:top="125" w:right="1440" w:bottom="1440" w:gutter="0" w:footer="0" w:header="0"/>
          <w:type w:val="continuous"/>
        </w:sectPr>
      </w:pPr>
    </w:p>
    <w:p>
      <w:pPr>
        <w:jc w:val="center"/>
        <w:ind w:right="1519"/>
        <w:spacing w:after="0"/>
        <w:rPr>
          <w:sz w:val="20"/>
          <w:szCs w:val="20"/>
          <w:color w:val="auto"/>
        </w:rPr>
      </w:pPr>
      <w:r>
        <w:rPr>
          <w:rFonts w:ascii="Arial" w:cs="Arial" w:eastAsia="Arial" w:hAnsi="Arial"/>
          <w:sz w:val="15"/>
          <w:szCs w:val="15"/>
          <w:b w:val="1"/>
          <w:bCs w:val="1"/>
          <w:color w:val="auto"/>
        </w:rPr>
        <w:t>1590 REED ROAD, PENNINGTON, NJ 08534</w:t>
      </w:r>
    </w:p>
    <w:p>
      <w:pPr>
        <w:spacing w:after="0" w:line="22" w:lineRule="exact"/>
        <w:rPr>
          <w:sz w:val="20"/>
          <w:szCs w:val="20"/>
          <w:color w:val="auto"/>
        </w:rPr>
      </w:pPr>
    </w:p>
    <w:p>
      <w:pPr>
        <w:jc w:val="center"/>
        <w:ind w:right="1519"/>
        <w:spacing w:after="0"/>
        <w:rPr>
          <w:sz w:val="20"/>
          <w:szCs w:val="20"/>
          <w:color w:val="auto"/>
        </w:rPr>
      </w:pPr>
      <w:r>
        <w:rPr>
          <w:rFonts w:ascii="Arial" w:cs="Arial" w:eastAsia="Arial" w:hAnsi="Arial"/>
          <w:sz w:val="15"/>
          <w:szCs w:val="15"/>
          <w:i w:val="1"/>
          <w:iCs w:val="1"/>
          <w:color w:val="auto"/>
        </w:rPr>
        <w:t>(Address of Principal Executive Offices, Including Zip Code)</w:t>
      </w:r>
    </w:p>
    <w:p>
      <w:pPr>
        <w:spacing w:after="0" w:line="143"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(609) 730-0400</w:t>
      </w:r>
    </w:p>
    <w:p>
      <w:pPr>
        <w:spacing w:after="0" w:line="22" w:lineRule="exact"/>
        <w:rPr>
          <w:sz w:val="20"/>
          <w:szCs w:val="20"/>
          <w:color w:val="auto"/>
        </w:rPr>
      </w:pPr>
    </w:p>
    <w:p>
      <w:pPr>
        <w:jc w:val="center"/>
        <w:ind w:right="1519"/>
        <w:spacing w:after="0"/>
        <w:rPr>
          <w:sz w:val="20"/>
          <w:szCs w:val="20"/>
          <w:color w:val="auto"/>
        </w:rPr>
      </w:pPr>
      <w:r>
        <w:rPr>
          <w:rFonts w:ascii="Arial" w:cs="Arial" w:eastAsia="Arial" w:hAnsi="Arial"/>
          <w:sz w:val="15"/>
          <w:szCs w:val="15"/>
          <w:i w:val="1"/>
          <w:iCs w:val="1"/>
          <w:color w:val="auto"/>
        </w:rPr>
        <w:t>(Registrant’s Telephone Number, Including Area Code)</w:t>
      </w:r>
    </w:p>
    <w:p>
      <w:pPr>
        <w:spacing w:after="0" w:line="159" w:lineRule="exact"/>
        <w:rPr>
          <w:sz w:val="20"/>
          <w:szCs w:val="20"/>
          <w:color w:val="auto"/>
        </w:rPr>
      </w:pPr>
    </w:p>
    <w:p>
      <w:pPr>
        <w:ind w:left="260" w:right="1839"/>
        <w:spacing w:after="0" w:line="191"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21" w:lineRule="exact"/>
        <w:rPr>
          <w:sz w:val="20"/>
          <w:szCs w:val="20"/>
          <w:color w:val="auto"/>
        </w:rPr>
      </w:pPr>
    </w:p>
    <w:p>
      <w:pPr>
        <w:ind w:left="260" w:right="1819"/>
        <w:spacing w:after="0" w:line="292"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04" w:lineRule="exact"/>
        <w:rPr>
          <w:sz w:val="20"/>
          <w:szCs w:val="20"/>
          <w:color w:val="auto"/>
        </w:rPr>
      </w:pPr>
    </w:p>
    <w:p>
      <w:pPr>
        <w:ind w:left="260" w:right="1879"/>
        <w:spacing w:after="0" w:line="26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5" w:right="1440" w:bottom="1440" w:gutter="0" w:footer="0" w:header="0"/>
          <w:type w:val="continuous"/>
        </w:sectPr>
      </w:pPr>
    </w:p>
    <w:p>
      <w:pPr>
        <w:spacing w:after="0" w:line="15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Non-accelerated filer 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342" w:lineRule="exact"/>
        <w:rPr>
          <w:sz w:val="20"/>
          <w:szCs w:val="20"/>
          <w:color w:val="auto"/>
        </w:rPr>
      </w:pPr>
    </w:p>
    <w:p>
      <w:pPr>
        <w:sectPr>
          <w:pgSz w:w="11900" w:h="16838" w:orient="portrait"/>
          <w:cols w:equalWidth="0" w:num="4">
            <w:col w:w="1740" w:space="360"/>
            <w:col w:w="1180" w:space="360"/>
            <w:col w:w="2800" w:space="220"/>
            <w:col w:w="3559"/>
          </w:cols>
          <w:pgMar w:left="240" w:top="125" w:right="1440" w:bottom="1440" w:gutter="0" w:footer="0" w:header="0"/>
          <w:type w:val="continuous"/>
        </w:sectPr>
      </w:pPr>
    </w:p>
    <w:p>
      <w:pPr>
        <w:ind w:left="260" w:right="2319"/>
        <w:spacing w:after="0" w:line="27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February 28, 2011, the number of outstanding shares of common stock of the registrant was 10,411,498.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109220</wp:posOffset>
            </wp:positionV>
            <wp:extent cx="518668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86680" cy="2857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675640</wp:posOffset>
            </wp:positionV>
            <wp:extent cx="727392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 w:name="page3"/>
    <w:bookmarkEnd w:id="2"/>
    <w:p>
      <w:pPr>
        <w:jc w:val="center"/>
        <w:ind w:right="1779"/>
        <w:spacing w:after="0"/>
        <w:rPr>
          <w:sz w:val="20"/>
          <w:szCs w:val="20"/>
          <w:color w:val="auto"/>
        </w:rPr>
      </w:pPr>
      <w:r>
        <w:rPr>
          <w:rFonts w:ascii="Arial" w:cs="Arial" w:eastAsia="Arial" w:hAnsi="Arial"/>
          <w:sz w:val="15"/>
          <w:szCs w:val="15"/>
          <w:b w:val="1"/>
          <w:bCs w:val="1"/>
          <w:color w:val="auto"/>
        </w:rPr>
        <w:t>OCEAN POWER TECHNOLOGIES, INC.</w:t>
      </w:r>
    </w:p>
    <w:p>
      <w:pPr>
        <w:spacing w:after="0" w:line="22" w:lineRule="exact"/>
        <w:rPr>
          <w:sz w:val="20"/>
          <w:szCs w:val="20"/>
          <w:color w:val="auto"/>
        </w:rPr>
      </w:pPr>
    </w:p>
    <w:p>
      <w:pPr>
        <w:jc w:val="center"/>
        <w:ind w:right="1779"/>
        <w:spacing w:after="0"/>
        <w:rPr>
          <w:sz w:val="20"/>
          <w:szCs w:val="20"/>
          <w:color w:val="auto"/>
        </w:rPr>
      </w:pPr>
      <w:r>
        <w:rPr>
          <w:rFonts w:ascii="Arial" w:cs="Arial" w:eastAsia="Arial" w:hAnsi="Arial"/>
          <w:sz w:val="15"/>
          <w:szCs w:val="15"/>
          <w:b w:val="1"/>
          <w:bCs w:val="1"/>
          <w:color w:val="auto"/>
        </w:rPr>
        <w:t>INDEX TO FORM 10-Q</w:t>
      </w:r>
    </w:p>
    <w:p>
      <w:pPr>
        <w:spacing w:after="0" w:line="9" w:lineRule="exact"/>
        <w:rPr>
          <w:sz w:val="20"/>
          <w:szCs w:val="20"/>
          <w:color w:val="auto"/>
        </w:rPr>
      </w:pPr>
    </w:p>
    <w:p>
      <w:pPr>
        <w:jc w:val="center"/>
        <w:ind w:right="1779"/>
        <w:spacing w:after="0"/>
        <w:rPr>
          <w:sz w:val="20"/>
          <w:szCs w:val="20"/>
          <w:color w:val="auto"/>
        </w:rPr>
      </w:pPr>
      <w:r>
        <w:rPr>
          <w:rFonts w:ascii="Arial" w:cs="Arial" w:eastAsia="Arial" w:hAnsi="Arial"/>
          <w:sz w:val="15"/>
          <w:szCs w:val="15"/>
          <w:b w:val="1"/>
          <w:bCs w:val="1"/>
          <w:color w:val="auto"/>
        </w:rPr>
        <w:t>FOR THE THREE AND NINE MONTHS ENDED January 31, 2011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Arial" w:cs="Arial" w:eastAsia="Arial" w:hAnsi="Arial"/>
                <w:sz w:val="15"/>
                <w:szCs w:val="15"/>
                <w:b w:val="1"/>
                <w:bCs w:val="1"/>
                <w:color w:val="auto"/>
              </w:rPr>
              <w:t>Page</w:t>
            </w:r>
          </w:p>
        </w:tc>
      </w:tr>
      <w:tr>
        <w:trPr>
          <w:trHeight w:val="195"/>
        </w:trPr>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Number</w:t>
            </w:r>
          </w:p>
        </w:tc>
      </w:tr>
      <w:tr>
        <w:trPr>
          <w:trHeight w:val="322"/>
        </w:trPr>
        <w:tc>
          <w:tcPr>
            <w:tcW w:w="2740" w:type="dxa"/>
            <w:vAlign w:val="bottom"/>
            <w:tcBorders>
              <w:bottom w:val="single" w:sz="8" w:color="0000EE"/>
            </w:tcBorders>
            <w:gridSpan w:val="14"/>
          </w:tcPr>
          <w:p>
            <w:pPr>
              <w:spacing w:after="0"/>
              <w:rPr>
                <w:rFonts w:ascii="Arial" w:cs="Arial" w:eastAsia="Arial" w:hAnsi="Arial"/>
                <w:sz w:val="15"/>
                <w:szCs w:val="15"/>
                <w:b w:val="1"/>
                <w:bCs w:val="1"/>
                <w:color w:val="0000EE"/>
              </w:rPr>
            </w:pPr>
            <w:hyperlink w:anchor="page5">
              <w:r>
                <w:rPr>
                  <w:rFonts w:ascii="Arial" w:cs="Arial" w:eastAsia="Arial" w:hAnsi="Arial"/>
                  <w:sz w:val="15"/>
                  <w:szCs w:val="15"/>
                  <w:b w:val="1"/>
                  <w:bCs w:val="1"/>
                  <w:color w:val="0000EE"/>
                </w:rPr>
                <w:t>PART I — FINANCIAL INFORMATION</w:t>
              </w:r>
            </w:hyperlink>
          </w:p>
        </w:tc>
        <w:tc>
          <w:tcPr>
            <w:tcW w:w="454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Borders>
              <w:bottom w:val="single" w:sz="8" w:color="0000EE"/>
            </w:tcBorders>
            <w:gridSpan w:val="11"/>
          </w:tcPr>
          <w:p>
            <w:pPr>
              <w:spacing w:after="0"/>
              <w:rPr>
                <w:rFonts w:ascii="Arial" w:cs="Arial" w:eastAsia="Arial" w:hAnsi="Arial"/>
                <w:sz w:val="15"/>
                <w:szCs w:val="15"/>
                <w:color w:val="0000EE"/>
                <w:w w:val="90"/>
              </w:rPr>
            </w:pPr>
            <w:hyperlink w:anchor="page5">
              <w:r>
                <w:rPr>
                  <w:rFonts w:ascii="Arial" w:cs="Arial" w:eastAsia="Arial" w:hAnsi="Arial"/>
                  <w:sz w:val="15"/>
                  <w:szCs w:val="15"/>
                  <w:color w:val="0000EE"/>
                  <w:w w:val="90"/>
                </w:rPr>
                <w:t>Item 1. Financial Statements (unaudited):</w:t>
              </w:r>
            </w:hyperlink>
          </w:p>
        </w:tc>
        <w:tc>
          <w:tcPr>
            <w:tcW w:w="460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Borders>
              <w:bottom w:val="single" w:sz="8" w:color="0000EE"/>
            </w:tcBorders>
            <w:gridSpan w:val="16"/>
          </w:tcPr>
          <w:p>
            <w:pPr>
              <w:spacing w:after="0"/>
              <w:rPr>
                <w:rFonts w:ascii="Arial" w:cs="Arial" w:eastAsia="Arial" w:hAnsi="Arial"/>
                <w:sz w:val="15"/>
                <w:szCs w:val="15"/>
                <w:color w:val="0000EE"/>
                <w:w w:val="90"/>
              </w:rPr>
            </w:pPr>
            <w:hyperlink w:anchor="page5">
              <w:r>
                <w:rPr>
                  <w:rFonts w:ascii="Arial" w:cs="Arial" w:eastAsia="Arial" w:hAnsi="Arial"/>
                  <w:sz w:val="15"/>
                  <w:szCs w:val="15"/>
                  <w:color w:val="0000EE"/>
                  <w:w w:val="90"/>
                </w:rPr>
                <w:t>Consolidated Balance Sheets as of January 31, 2011 and April 30, 2010</w:t>
              </w:r>
            </w:hyperlink>
          </w:p>
        </w:tc>
        <w:tc>
          <w:tcPr>
            <w:tcW w:w="260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80" w:type="dxa"/>
            <w:vAlign w:val="bottom"/>
            <w:tcBorders>
              <w:bottom w:val="single" w:sz="8" w:color="0000EE"/>
            </w:tcBorders>
            <w:gridSpan w:val="20"/>
          </w:tcPr>
          <w:p>
            <w:pPr>
              <w:spacing w:after="0"/>
              <w:rPr>
                <w:rFonts w:ascii="Arial" w:cs="Arial" w:eastAsia="Arial" w:hAnsi="Arial"/>
                <w:sz w:val="15"/>
                <w:szCs w:val="15"/>
                <w:color w:val="0000EE"/>
                <w:w w:val="90"/>
              </w:rPr>
            </w:pPr>
            <w:hyperlink w:anchor="page6">
              <w:r>
                <w:rPr>
                  <w:rFonts w:ascii="Arial" w:cs="Arial" w:eastAsia="Arial" w:hAnsi="Arial"/>
                  <w:sz w:val="15"/>
                  <w:szCs w:val="15"/>
                  <w:color w:val="0000EE"/>
                  <w:w w:val="90"/>
                </w:rPr>
                <w:t>Consolidated Statements of Operations for the Three and Nine Months Ended January 31, 2011 and 2010</w:t>
              </w:r>
            </w:hyperlink>
          </w:p>
        </w:tc>
        <w:tc>
          <w:tcPr>
            <w:tcW w:w="5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tcBorders>
              <w:bottom w:val="single" w:sz="8" w:color="0000EE"/>
            </w:tcBorders>
            <w:gridSpan w:val="18"/>
          </w:tcPr>
          <w:p>
            <w:pPr>
              <w:spacing w:after="0"/>
              <w:rPr>
                <w:rFonts w:ascii="Arial" w:cs="Arial" w:eastAsia="Arial" w:hAnsi="Arial"/>
                <w:sz w:val="15"/>
                <w:szCs w:val="15"/>
                <w:color w:val="0000EE"/>
                <w:w w:val="90"/>
              </w:rPr>
            </w:pPr>
            <w:hyperlink w:anchor="page7">
              <w:r>
                <w:rPr>
                  <w:rFonts w:ascii="Arial" w:cs="Arial" w:eastAsia="Arial" w:hAnsi="Arial"/>
                  <w:sz w:val="15"/>
                  <w:szCs w:val="15"/>
                  <w:color w:val="0000EE"/>
                  <w:w w:val="90"/>
                </w:rPr>
                <w:t>Consolidated Statements of Cash Flows for the Nine Months Ended January 31, 2011 and 2010</w:t>
              </w:r>
            </w:hyperlink>
          </w:p>
        </w:tc>
        <w:tc>
          <w:tcPr>
            <w:tcW w:w="116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gridSpan w:val="21"/>
          </w:tcPr>
          <w:p>
            <w:pPr>
              <w:spacing w:after="0"/>
              <w:rPr>
                <w:rFonts w:ascii="Arial" w:cs="Arial" w:eastAsia="Arial" w:hAnsi="Arial"/>
                <w:sz w:val="15"/>
                <w:szCs w:val="15"/>
                <w:color w:val="0000EE"/>
              </w:rPr>
            </w:pPr>
            <w:hyperlink w:anchor="page8">
              <w:r>
                <w:rPr>
                  <w:rFonts w:ascii="Arial" w:cs="Arial" w:eastAsia="Arial" w:hAnsi="Arial"/>
                  <w:sz w:val="15"/>
                  <w:szCs w:val="15"/>
                  <w:color w:val="0000EE"/>
                </w:rPr>
                <w:t>Consolidated Statements of Stockholders’ Equity and Comprehensive Loss for the Nine Months Ended</w:t>
              </w:r>
            </w:hyperlink>
          </w:p>
        </w:tc>
        <w:tc>
          <w:tcPr>
            <w:tcW w:w="82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60" w:type="dxa"/>
            <w:vAlign w:val="bottom"/>
            <w:tcBorders>
              <w:top w:val="single" w:sz="8" w:color="0000EE"/>
            </w:tcBorders>
            <w:gridSpan w:val="18"/>
          </w:tcPr>
          <w:p>
            <w:pPr>
              <w:spacing w:after="0" w:line="161" w:lineRule="exact"/>
              <w:rPr>
                <w:rFonts w:ascii="Arial" w:cs="Arial" w:eastAsia="Arial" w:hAnsi="Arial"/>
                <w:sz w:val="15"/>
                <w:szCs w:val="15"/>
                <w:color w:val="0000EE"/>
              </w:rPr>
            </w:pPr>
            <w:hyperlink w:anchor="page8">
              <w:r>
                <w:rPr>
                  <w:rFonts w:ascii="Arial" w:cs="Arial" w:eastAsia="Arial" w:hAnsi="Arial"/>
                  <w:sz w:val="15"/>
                  <w:szCs w:val="15"/>
                  <w:color w:val="0000EE"/>
                </w:rPr>
                <w:t>January 31, 2011 and 2010</w:t>
              </w:r>
            </w:hyperlink>
          </w:p>
        </w:tc>
        <w:tc>
          <w:tcPr>
            <w:tcW w:w="700" w:type="dxa"/>
            <w:vAlign w:val="bottom"/>
            <w:gridSpan w:val="2"/>
          </w:tcPr>
          <w:p>
            <w:pPr>
              <w:spacing w:after="0"/>
              <w:rPr>
                <w:sz w:val="14"/>
                <w:szCs w:val="14"/>
                <w:color w:val="auto"/>
              </w:rPr>
            </w:pPr>
          </w:p>
        </w:tc>
        <w:tc>
          <w:tcPr>
            <w:tcW w:w="820" w:type="dxa"/>
            <w:vAlign w:val="bottom"/>
          </w:tcPr>
          <w:p>
            <w:pPr>
              <w:jc w:val="right"/>
              <w:spacing w:after="0" w:line="161" w:lineRule="exact"/>
              <w:rPr>
                <w:sz w:val="20"/>
                <w:szCs w:val="20"/>
                <w:color w:val="auto"/>
              </w:rPr>
            </w:pPr>
            <w:r>
              <w:rPr>
                <w:rFonts w:ascii="Arial" w:cs="Arial" w:eastAsia="Arial" w:hAnsi="Arial"/>
                <w:sz w:val="15"/>
                <w:szCs w:val="15"/>
                <w:color w:val="auto"/>
              </w:rPr>
              <w:t>6</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gridSpan w:val="21"/>
          </w:tcPr>
          <w:p>
            <w:pPr>
              <w:spacing w:after="0"/>
              <w:rPr>
                <w:rFonts w:ascii="Arial" w:cs="Arial" w:eastAsia="Arial" w:hAnsi="Arial"/>
                <w:sz w:val="15"/>
                <w:szCs w:val="15"/>
                <w:color w:val="0000EE"/>
              </w:rPr>
            </w:pPr>
            <w:hyperlink w:anchor="page9">
              <w:r>
                <w:rPr>
                  <w:rFonts w:ascii="Arial" w:cs="Arial" w:eastAsia="Arial" w:hAnsi="Arial"/>
                  <w:sz w:val="15"/>
                  <w:szCs w:val="15"/>
                  <w:color w:val="0000EE"/>
                </w:rPr>
                <w:t>Notes to Consolidated Financial Statements</w:t>
              </w:r>
            </w:hyperlink>
          </w:p>
        </w:tc>
        <w:tc>
          <w:tcPr>
            <w:tcW w:w="82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22"/>
          </w:tcPr>
          <w:p>
            <w:pPr>
              <w:spacing w:after="0"/>
              <w:rPr>
                <w:rFonts w:ascii="Arial" w:cs="Arial" w:eastAsia="Arial" w:hAnsi="Arial"/>
                <w:sz w:val="15"/>
                <w:szCs w:val="15"/>
                <w:color w:val="0000EE"/>
              </w:rPr>
            </w:pPr>
            <w:hyperlink w:anchor="page19">
              <w:r>
                <w:rPr>
                  <w:rFonts w:ascii="Arial" w:cs="Arial" w:eastAsia="Arial" w:hAnsi="Arial"/>
                  <w:sz w:val="15"/>
                  <w:szCs w:val="15"/>
                  <w:color w:val="0000EE"/>
                </w:rPr>
                <w:t>Item 2. 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Borders>
              <w:top w:val="single" w:sz="8" w:color="0000EE"/>
              <w:bottom w:val="single" w:sz="8" w:color="0000EE"/>
            </w:tcBorders>
            <w:gridSpan w:val="16"/>
          </w:tcPr>
          <w:p>
            <w:pPr>
              <w:spacing w:after="0"/>
              <w:rPr>
                <w:rFonts w:ascii="Arial" w:cs="Arial" w:eastAsia="Arial" w:hAnsi="Arial"/>
                <w:sz w:val="15"/>
                <w:szCs w:val="15"/>
                <w:color w:val="0000EE"/>
                <w:w w:val="93"/>
              </w:rPr>
            </w:pPr>
            <w:hyperlink w:anchor="page30">
              <w:r>
                <w:rPr>
                  <w:rFonts w:ascii="Arial" w:cs="Arial" w:eastAsia="Arial" w:hAnsi="Arial"/>
                  <w:sz w:val="15"/>
                  <w:szCs w:val="15"/>
                  <w:color w:val="0000EE"/>
                  <w:w w:val="93"/>
                </w:rPr>
                <w:t>Item 3. Quantitative and Qualitative Disclosures About Market Risk</w:t>
              </w:r>
            </w:hyperlink>
          </w:p>
        </w:tc>
        <w:tc>
          <w:tcPr>
            <w:tcW w:w="1740" w:type="dxa"/>
            <w:vAlign w:val="bottom"/>
            <w:tcBorders>
              <w:top w:val="single" w:sz="8" w:color="0000EE"/>
            </w:tcBorders>
            <w:gridSpan w:val="2"/>
          </w:tcPr>
          <w:p>
            <w:pPr>
              <w:spacing w:after="0"/>
              <w:rPr>
                <w:sz w:val="24"/>
                <w:szCs w:val="24"/>
                <w:color w:val="auto"/>
              </w:rPr>
            </w:pPr>
          </w:p>
        </w:tc>
        <w:tc>
          <w:tcPr>
            <w:tcW w:w="122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22"/>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Item 4. Controls and Procedures</w:t>
              </w:r>
            </w:hyperlink>
          </w:p>
        </w:tc>
        <w:tc>
          <w:tcPr>
            <w:tcW w:w="8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3"/>
        </w:trPr>
        <w:tc>
          <w:tcPr>
            <w:tcW w:w="2480" w:type="dxa"/>
            <w:vAlign w:val="bottom"/>
            <w:tcBorders>
              <w:bottom w:val="single" w:sz="8" w:color="0000EE"/>
            </w:tcBorders>
            <w:gridSpan w:val="11"/>
          </w:tcPr>
          <w:p>
            <w:pPr>
              <w:spacing w:after="0"/>
              <w:rPr>
                <w:rFonts w:ascii="Arial" w:cs="Arial" w:eastAsia="Arial" w:hAnsi="Arial"/>
                <w:sz w:val="15"/>
                <w:szCs w:val="15"/>
                <w:b w:val="1"/>
                <w:bCs w:val="1"/>
                <w:color w:val="0000EE"/>
              </w:rPr>
            </w:pPr>
            <w:hyperlink w:anchor="page31">
              <w:r>
                <w:rPr>
                  <w:rFonts w:ascii="Arial" w:cs="Arial" w:eastAsia="Arial" w:hAnsi="Arial"/>
                  <w:sz w:val="15"/>
                  <w:szCs w:val="15"/>
                  <w:b w:val="1"/>
                  <w:bCs w:val="1"/>
                  <w:color w:val="0000EE"/>
                </w:rPr>
                <w:t>PART II — OTHER INFORMATION</w:t>
              </w:r>
            </w:hyperlink>
          </w:p>
        </w:tc>
        <w:tc>
          <w:tcPr>
            <w:tcW w:w="480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22"/>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Item 1. Legal Proceedings</w:t>
              </w:r>
            </w:hyperlink>
          </w:p>
        </w:tc>
        <w:tc>
          <w:tcPr>
            <w:tcW w:w="8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top w:val="single" w:sz="8" w:color="0000EE"/>
            </w:tcBorders>
            <w:gridSpan w:val="7"/>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Item 1A. Risk Factors</w:t>
              </w:r>
            </w:hyperlink>
          </w:p>
        </w:tc>
        <w:tc>
          <w:tcPr>
            <w:tcW w:w="5520" w:type="dxa"/>
            <w:vAlign w:val="bottom"/>
            <w:gridSpan w:val="1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Borders>
              <w:bottom w:val="single" w:sz="8" w:color="0000EE"/>
            </w:tcBorders>
            <w:gridSpan w:val="15"/>
          </w:tcPr>
          <w:p>
            <w:pPr>
              <w:spacing w:after="0"/>
              <w:rPr>
                <w:rFonts w:ascii="Arial" w:cs="Arial" w:eastAsia="Arial" w:hAnsi="Arial"/>
                <w:sz w:val="15"/>
                <w:szCs w:val="15"/>
                <w:color w:val="0000EE"/>
                <w:w w:val="90"/>
              </w:rPr>
            </w:pPr>
            <w:hyperlink w:anchor="page32">
              <w:r>
                <w:rPr>
                  <w:rFonts w:ascii="Arial" w:cs="Arial" w:eastAsia="Arial" w:hAnsi="Arial"/>
                  <w:sz w:val="15"/>
                  <w:szCs w:val="15"/>
                  <w:color w:val="0000EE"/>
                  <w:w w:val="90"/>
                </w:rPr>
                <w:t>Item 2. Unregistered Sales of Equity Securities and Use of Proceeds</w:t>
              </w:r>
            </w:hyperlink>
          </w:p>
        </w:tc>
        <w:tc>
          <w:tcPr>
            <w:tcW w:w="298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Borders>
              <w:bottom w:val="single" w:sz="8" w:color="0000EE"/>
            </w:tcBorders>
            <w:gridSpan w:val="10"/>
          </w:tcPr>
          <w:p>
            <w:pPr>
              <w:spacing w:after="0"/>
              <w:rPr>
                <w:rFonts w:ascii="Arial" w:cs="Arial" w:eastAsia="Arial" w:hAnsi="Arial"/>
                <w:sz w:val="15"/>
                <w:szCs w:val="15"/>
                <w:color w:val="0000EE"/>
                <w:w w:val="91"/>
              </w:rPr>
            </w:pPr>
            <w:hyperlink w:anchor="page32">
              <w:r>
                <w:rPr>
                  <w:rFonts w:ascii="Arial" w:cs="Arial" w:eastAsia="Arial" w:hAnsi="Arial"/>
                  <w:sz w:val="15"/>
                  <w:szCs w:val="15"/>
                  <w:color w:val="0000EE"/>
                  <w:w w:val="91"/>
                </w:rPr>
                <w:t>Item 3. Defaults Upon Senior Securities</w:t>
              </w:r>
            </w:hyperlink>
          </w:p>
        </w:tc>
        <w:tc>
          <w:tcPr>
            <w:tcW w:w="468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22"/>
          </w:tcPr>
          <w:p>
            <w:pPr>
              <w:spacing w:after="0"/>
              <w:rPr>
                <w:rFonts w:ascii="Arial" w:cs="Arial" w:eastAsia="Arial" w:hAnsi="Arial"/>
                <w:sz w:val="15"/>
                <w:szCs w:val="15"/>
                <w:color w:val="0000EE"/>
              </w:rPr>
            </w:pPr>
            <w:hyperlink w:anchor="page32">
              <w:r>
                <w:rPr>
                  <w:rFonts w:ascii="Arial" w:cs="Arial" w:eastAsia="Arial" w:hAnsi="Arial"/>
                  <w:sz w:val="15"/>
                  <w:szCs w:val="15"/>
                  <w:color w:val="0000EE"/>
                </w:rPr>
                <w:t>Item 5. Other Information</w:t>
              </w:r>
            </w:hyperlink>
          </w:p>
        </w:tc>
        <w:tc>
          <w:tcPr>
            <w:tcW w:w="82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343"/>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Borders>
              <w:top w:val="single" w:sz="8" w:color="0000EE"/>
            </w:tcBorders>
            <w:gridSpan w:val="6"/>
          </w:tcPr>
          <w:p>
            <w:pPr>
              <w:spacing w:after="0"/>
              <w:rPr>
                <w:rFonts w:ascii="Arial" w:cs="Arial" w:eastAsia="Arial" w:hAnsi="Arial"/>
                <w:sz w:val="15"/>
                <w:szCs w:val="15"/>
                <w:color w:val="0000EE"/>
              </w:rPr>
            </w:pPr>
            <w:hyperlink w:anchor="page33">
              <w:r>
                <w:rPr>
                  <w:rFonts w:ascii="Arial" w:cs="Arial" w:eastAsia="Arial" w:hAnsi="Arial"/>
                  <w:sz w:val="15"/>
                  <w:szCs w:val="15"/>
                  <w:color w:val="0000EE"/>
                </w:rPr>
                <w:t>Item 6. Exhibits</w:t>
              </w:r>
            </w:hyperlink>
          </w:p>
        </w:tc>
        <w:tc>
          <w:tcPr>
            <w:tcW w:w="554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3"/>
        </w:trPr>
        <w:tc>
          <w:tcPr>
            <w:tcW w:w="40" w:type="dxa"/>
            <w:vAlign w:val="bottom"/>
          </w:tcPr>
          <w:p>
            <w:pPr>
              <w:spacing w:after="0"/>
              <w:rPr>
                <w:sz w:val="24"/>
                <w:szCs w:val="24"/>
                <w:color w:val="auto"/>
              </w:rPr>
            </w:pPr>
          </w:p>
        </w:tc>
        <w:tc>
          <w:tcPr>
            <w:tcW w:w="7240" w:type="dxa"/>
            <w:vAlign w:val="bottom"/>
            <w:gridSpan w:val="23"/>
          </w:tcPr>
          <w:p>
            <w:pPr>
              <w:spacing w:after="0"/>
              <w:rPr>
                <w:sz w:val="20"/>
                <w:szCs w:val="20"/>
                <w:color w:val="auto"/>
              </w:rPr>
            </w:pPr>
            <w:r>
              <w:rPr>
                <w:rFonts w:ascii="Arial" w:cs="Arial" w:eastAsia="Arial" w:hAnsi="Arial"/>
                <w:sz w:val="15"/>
                <w:szCs w:val="15"/>
                <w:color w:val="0000EE"/>
              </w:rPr>
              <w:t>Ex-10.1: Form of Restricted Stock Agreement</w:t>
            </w:r>
          </w:p>
        </w:tc>
        <w:tc>
          <w:tcPr>
            <w:tcW w:w="82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1680" w:type="dxa"/>
            <w:vAlign w:val="bottom"/>
            <w:tcBorders>
              <w:top w:val="single" w:sz="8" w:color="0000EE"/>
              <w:bottom w:val="single" w:sz="8" w:color="0000EE"/>
            </w:tcBorders>
            <w:gridSpan w:val="6"/>
          </w:tcPr>
          <w:p>
            <w:pPr>
              <w:spacing w:after="0" w:line="161" w:lineRule="exact"/>
              <w:rPr>
                <w:sz w:val="20"/>
                <w:szCs w:val="20"/>
                <w:color w:val="auto"/>
              </w:rPr>
            </w:pPr>
            <w:r>
              <w:rPr>
                <w:rFonts w:ascii="Arial" w:cs="Arial" w:eastAsia="Arial" w:hAnsi="Arial"/>
                <w:sz w:val="15"/>
                <w:szCs w:val="15"/>
                <w:color w:val="0000EE"/>
                <w:w w:val="93"/>
              </w:rPr>
              <w:t>EX-31.1: CERTIFICATION</w:t>
            </w:r>
          </w:p>
        </w:tc>
        <w:tc>
          <w:tcPr>
            <w:tcW w:w="1040" w:type="dxa"/>
            <w:vAlign w:val="bottom"/>
            <w:tcBorders>
              <w:top w:val="single" w:sz="8" w:color="0000EE"/>
            </w:tcBorders>
            <w:gridSpan w:val="8"/>
          </w:tcPr>
          <w:p>
            <w:pPr>
              <w:spacing w:after="0"/>
              <w:rPr>
                <w:sz w:val="14"/>
                <w:szCs w:val="14"/>
                <w:color w:val="auto"/>
              </w:rPr>
            </w:pPr>
          </w:p>
        </w:tc>
        <w:tc>
          <w:tcPr>
            <w:tcW w:w="4520" w:type="dxa"/>
            <w:vAlign w:val="bottom"/>
            <w:gridSpan w:val="9"/>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680" w:type="dxa"/>
            <w:vAlign w:val="bottom"/>
            <w:tcBorders>
              <w:bottom w:val="single" w:sz="8" w:color="0000EE"/>
            </w:tcBorders>
            <w:gridSpan w:val="6"/>
          </w:tcPr>
          <w:p>
            <w:pPr>
              <w:spacing w:after="0" w:line="161" w:lineRule="exact"/>
              <w:rPr>
                <w:sz w:val="20"/>
                <w:szCs w:val="20"/>
                <w:color w:val="auto"/>
              </w:rPr>
            </w:pPr>
            <w:r>
              <w:rPr>
                <w:rFonts w:ascii="Arial" w:cs="Arial" w:eastAsia="Arial" w:hAnsi="Arial"/>
                <w:sz w:val="15"/>
                <w:szCs w:val="15"/>
                <w:color w:val="0000EE"/>
                <w:w w:val="93"/>
              </w:rPr>
              <w:t>EX-31.2: CERTIFICATION</w:t>
            </w:r>
          </w:p>
        </w:tc>
        <w:tc>
          <w:tcPr>
            <w:tcW w:w="5560" w:type="dxa"/>
            <w:vAlign w:val="bottom"/>
            <w:gridSpan w:val="17"/>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680" w:type="dxa"/>
            <w:vAlign w:val="bottom"/>
            <w:tcBorders>
              <w:bottom w:val="single" w:sz="8" w:color="0000EE"/>
            </w:tcBorders>
            <w:gridSpan w:val="6"/>
          </w:tcPr>
          <w:p>
            <w:pPr>
              <w:spacing w:after="0" w:line="161" w:lineRule="exact"/>
              <w:rPr>
                <w:sz w:val="20"/>
                <w:szCs w:val="20"/>
                <w:color w:val="auto"/>
              </w:rPr>
            </w:pPr>
            <w:r>
              <w:rPr>
                <w:rFonts w:ascii="Arial" w:cs="Arial" w:eastAsia="Arial" w:hAnsi="Arial"/>
                <w:sz w:val="15"/>
                <w:szCs w:val="15"/>
                <w:color w:val="0000EE"/>
                <w:w w:val="93"/>
              </w:rPr>
              <w:t>EX-32.1: CERTIFICATION</w:t>
            </w:r>
          </w:p>
        </w:tc>
        <w:tc>
          <w:tcPr>
            <w:tcW w:w="5560" w:type="dxa"/>
            <w:vAlign w:val="bottom"/>
            <w:gridSpan w:val="17"/>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680" w:type="dxa"/>
            <w:vAlign w:val="bottom"/>
            <w:tcBorders>
              <w:bottom w:val="single" w:sz="8" w:color="0000EE"/>
            </w:tcBorders>
            <w:gridSpan w:val="6"/>
          </w:tcPr>
          <w:p>
            <w:pPr>
              <w:spacing w:after="0" w:line="161" w:lineRule="exact"/>
              <w:rPr>
                <w:sz w:val="20"/>
                <w:szCs w:val="20"/>
                <w:color w:val="auto"/>
              </w:rPr>
            </w:pPr>
            <w:r>
              <w:rPr>
                <w:rFonts w:ascii="Arial" w:cs="Arial" w:eastAsia="Arial" w:hAnsi="Arial"/>
                <w:sz w:val="15"/>
                <w:szCs w:val="15"/>
                <w:color w:val="0000EE"/>
                <w:w w:val="93"/>
              </w:rPr>
              <w:t>EX-32.2: CERTIFICATION</w:t>
            </w:r>
          </w:p>
        </w:tc>
        <w:tc>
          <w:tcPr>
            <w:tcW w:w="5560" w:type="dxa"/>
            <w:vAlign w:val="bottom"/>
            <w:gridSpan w:val="17"/>
          </w:tcPr>
          <w:p>
            <w:pPr>
              <w:spacing w:after="0"/>
              <w:rPr>
                <w:sz w:val="14"/>
                <w:szCs w:val="14"/>
                <w:color w:val="auto"/>
              </w:rPr>
            </w:pPr>
          </w:p>
        </w:tc>
        <w:tc>
          <w:tcPr>
            <w:tcW w:w="820" w:type="dxa"/>
            <w:vAlign w:val="bottom"/>
          </w:tcPr>
          <w:p>
            <w:pPr>
              <w:spacing w:after="0"/>
              <w:rPr>
                <w:sz w:val="14"/>
                <w:szCs w:val="14"/>
                <w:color w:val="auto"/>
              </w:rPr>
            </w:pPr>
          </w:p>
        </w:tc>
      </w:tr>
    </w:tbl>
    <w:p>
      <w:pPr>
        <w:spacing w:after="0" w:line="170" w:lineRule="exact"/>
        <w:rPr>
          <w:sz w:val="20"/>
          <w:szCs w:val="20"/>
          <w:color w:val="auto"/>
        </w:rPr>
      </w:pPr>
    </w:p>
    <w:p>
      <w:pPr>
        <w:ind w:right="1919"/>
        <w:spacing w:after="0" w:line="358" w:lineRule="auto"/>
        <w:rPr>
          <w:sz w:val="20"/>
          <w:szCs w:val="20"/>
          <w:color w:val="auto"/>
        </w:rPr>
      </w:pPr>
      <w:r>
        <w:rPr>
          <w:rFonts w:ascii="Arial" w:cs="Arial" w:eastAsia="Arial" w:hAnsi="Arial"/>
          <w:sz w:val="13"/>
          <w:szCs w:val="13"/>
          <w:color w:val="auto"/>
        </w:rPr>
        <w:t>PowerBuoy</w:t>
      </w:r>
      <w:r>
        <w:rPr>
          <w:rFonts w:ascii="Arial" w:cs="Arial" w:eastAsia="Arial" w:hAnsi="Arial"/>
          <w:sz w:val="10"/>
          <w:szCs w:val="10"/>
          <w:color w:val="auto"/>
        </w:rPr>
        <w:t>®</w:t>
      </w:r>
      <w:r>
        <w:rPr>
          <w:rFonts w:ascii="Arial" w:cs="Arial" w:eastAsia="Arial" w:hAnsi="Arial"/>
          <w:sz w:val="13"/>
          <w:szCs w:val="13"/>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484505</wp:posOffset>
            </wp:positionV>
            <wp:extent cx="727392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9959"/>
          </w:cols>
          <w:pgMar w:left="500" w:top="806"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72" w:lineRule="exact"/>
        <w:rPr>
          <w:sz w:val="20"/>
          <w:szCs w:val="20"/>
          <w:color w:val="auto"/>
        </w:rPr>
      </w:pPr>
    </w:p>
    <w:p>
      <w:pPr>
        <w:ind w:left="260" w:right="1859"/>
        <w:spacing w:after="0" w:line="279" w:lineRule="auto"/>
        <w:rPr>
          <w:sz w:val="20"/>
          <w:szCs w:val="20"/>
          <w:color w:val="auto"/>
        </w:rPr>
      </w:pPr>
      <w:r>
        <w:rPr>
          <w:rFonts w:ascii="Arial" w:cs="Arial" w:eastAsia="Arial" w:hAnsi="Arial"/>
          <w:sz w:val="14"/>
          <w:szCs w:val="14"/>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14" w:lineRule="exact"/>
        <w:rPr>
          <w:sz w:val="20"/>
          <w:szCs w:val="20"/>
          <w:color w:val="auto"/>
        </w:rPr>
      </w:pPr>
    </w:p>
    <w:p>
      <w:pPr>
        <w:ind w:left="260" w:right="1919"/>
        <w:spacing w:after="0" w:line="302" w:lineRule="auto"/>
        <w:rPr>
          <w:sz w:val="20"/>
          <w:szCs w:val="20"/>
          <w:color w:val="auto"/>
        </w:rPr>
      </w:pPr>
      <w:r>
        <w:rPr>
          <w:rFonts w:ascii="Arial" w:cs="Arial" w:eastAsia="Arial" w:hAnsi="Arial"/>
          <w:sz w:val="13"/>
          <w:szCs w:val="13"/>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2010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01" w:lineRule="exact"/>
        <w:rPr>
          <w:sz w:val="20"/>
          <w:szCs w:val="20"/>
          <w:color w:val="auto"/>
        </w:rPr>
      </w:pPr>
    </w:p>
    <w:p>
      <w:pPr>
        <w:jc w:val="both"/>
        <w:ind w:left="260" w:right="1799"/>
        <w:spacing w:after="0" w:line="265" w:lineRule="auto"/>
        <w:rPr>
          <w:sz w:val="20"/>
          <w:szCs w:val="20"/>
          <w:color w:val="auto"/>
        </w:rPr>
      </w:pPr>
      <w:r>
        <w:rPr>
          <w:rFonts w:ascii="Arial" w:cs="Arial" w:eastAsia="Arial" w:hAnsi="Arial"/>
          <w:sz w:val="15"/>
          <w:szCs w:val="15"/>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61"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PART I — FINANCIAL INFORMATION</w:t>
      </w:r>
    </w:p>
    <w:p>
      <w:pPr>
        <w:spacing w:after="0" w:line="168"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i w:val="1"/>
          <w:iCs w:val="1"/>
          <w:color w:val="auto"/>
        </w:rPr>
        <w:t>FINANCIAL STATEMENTS</w:t>
      </w:r>
    </w:p>
    <w:p>
      <w:pPr>
        <w:spacing w:after="0" w:line="157"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157"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Consolidated Balance Sheets</w:t>
      </w:r>
    </w:p>
    <w:p>
      <w:pPr>
        <w:spacing w:after="0" w:line="191"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400" w:type="dxa"/>
            <w:vAlign w:val="bottom"/>
            <w:gridSpan w:val="4"/>
          </w:tcPr>
          <w:p>
            <w:pPr>
              <w:ind w:left="120"/>
              <w:spacing w:after="0"/>
              <w:rPr>
                <w:sz w:val="20"/>
                <w:szCs w:val="20"/>
                <w:color w:val="auto"/>
              </w:rPr>
            </w:pPr>
            <w:r>
              <w:rPr>
                <w:rFonts w:ascii="Arial" w:cs="Arial" w:eastAsia="Arial" w:hAnsi="Arial"/>
                <w:sz w:val="15"/>
                <w:szCs w:val="15"/>
                <w:b w:val="1"/>
                <w:bCs w:val="1"/>
                <w:color w:val="auto"/>
              </w:rPr>
              <w:t>January 31, 2011</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April 30, 2010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(Unaudited)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2480"/>
              <w:spacing w:after="0"/>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 and cash equivalents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9,502,624</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4,236,597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ind w:left="160"/>
              <w:spacing w:after="0"/>
              <w:rPr>
                <w:sz w:val="20"/>
                <w:szCs w:val="20"/>
                <w:color w:val="auto"/>
              </w:rPr>
            </w:pPr>
            <w:r>
              <w:rPr>
                <w:rFonts w:ascii="Arial" w:cs="Arial" w:eastAsia="Arial" w:hAnsi="Arial"/>
                <w:sz w:val="15"/>
                <w:szCs w:val="15"/>
                <w:color w:val="auto"/>
              </w:rPr>
              <w:t>Marketable securities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25,538,538</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32,536,001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receivable, net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720,699</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1,474,600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ind w:left="160"/>
              <w:spacing w:after="0"/>
              <w:rPr>
                <w:sz w:val="20"/>
                <w:szCs w:val="20"/>
                <w:color w:val="auto"/>
              </w:rPr>
            </w:pPr>
            <w:r>
              <w:rPr>
                <w:rFonts w:ascii="Arial" w:cs="Arial" w:eastAsia="Arial" w:hAnsi="Arial"/>
                <w:sz w:val="15"/>
                <w:szCs w:val="15"/>
                <w:color w:val="auto"/>
              </w:rPr>
              <w:t>Unbilled receivables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649,863</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448,686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693,291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1,005,885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tcPr>
          <w:p>
            <w:pPr>
              <w:ind w:left="320"/>
              <w:spacing w:after="0"/>
              <w:rPr>
                <w:sz w:val="20"/>
                <w:szCs w:val="20"/>
                <w:color w:val="auto"/>
              </w:rPr>
            </w:pPr>
            <w:r>
              <w:rPr>
                <w:rFonts w:ascii="Arial" w:cs="Arial" w:eastAsia="Arial" w:hAnsi="Arial"/>
                <w:sz w:val="15"/>
                <w:szCs w:val="15"/>
                <w:color w:val="auto"/>
              </w:rPr>
              <w:t>Total current assets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37,105,015</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39,701,769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543,486</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710,563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Arial" w:cs="Arial" w:eastAsia="Arial" w:hAnsi="Arial"/>
                <w:sz w:val="15"/>
                <w:szCs w:val="15"/>
                <w:color w:val="auto"/>
              </w:rPr>
              <w:t>Patents, net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1,132,542</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1,036,881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Restricted cash</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1,480,136</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1,205,288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Arial" w:cs="Arial" w:eastAsia="Arial" w:hAnsi="Arial"/>
                <w:sz w:val="15"/>
                <w:szCs w:val="15"/>
                <w:color w:val="auto"/>
              </w:rPr>
              <w:t>Marketable securities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16,324,661</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28,865,046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Other noncurrent assets</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726,010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1,458,646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40" w:type="dxa"/>
            <w:vAlign w:val="bottom"/>
          </w:tcPr>
          <w:p>
            <w:pPr>
              <w:ind w:left="320"/>
              <w:spacing w:after="0"/>
              <w:rPr>
                <w:sz w:val="20"/>
                <w:szCs w:val="20"/>
                <w:color w:val="auto"/>
              </w:rPr>
            </w:pPr>
            <w:r>
              <w:rPr>
                <w:rFonts w:ascii="Arial" w:cs="Arial" w:eastAsia="Arial" w:hAnsi="Arial"/>
                <w:sz w:val="15"/>
                <w:szCs w:val="15"/>
                <w:color w:val="auto"/>
              </w:rPr>
              <w:t>Total assets</w:t>
            </w:r>
          </w:p>
        </w:tc>
        <w:tc>
          <w:tcPr>
            <w:tcW w:w="2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57,311,850</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72,978,193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640" w:type="dxa"/>
            <w:vAlign w:val="bottom"/>
            <w:shd w:val="clear" w:color="auto" w:fill="CCEEFF"/>
          </w:tcPr>
          <w:p>
            <w:pPr>
              <w:ind w:left="1120"/>
              <w:spacing w:after="0" w:line="168" w:lineRule="exact"/>
              <w:rPr>
                <w:sz w:val="20"/>
                <w:szCs w:val="20"/>
                <w:color w:val="auto"/>
              </w:rPr>
            </w:pPr>
            <w:r>
              <w:rPr>
                <w:rFonts w:ascii="Arial" w:cs="Arial" w:eastAsia="Arial" w:hAnsi="Arial"/>
                <w:sz w:val="15"/>
                <w:szCs w:val="15"/>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5660" w:type="dxa"/>
            <w:vAlign w:val="bottom"/>
            <w:gridSpan w:val="2"/>
          </w:tcPr>
          <w:p>
            <w:pPr>
              <w:spacing w:after="0"/>
              <w:rPr>
                <w:sz w:val="20"/>
                <w:szCs w:val="20"/>
                <w:color w:val="auto"/>
              </w:rPr>
            </w:pPr>
            <w:r>
              <w:rPr>
                <w:rFonts w:ascii="Arial" w:cs="Arial" w:eastAsia="Arial" w:hAnsi="Arial"/>
                <w:sz w:val="15"/>
                <w:szCs w:val="15"/>
                <w:color w:val="auto"/>
              </w:rPr>
              <w:t>Current liabilities: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1,126,407</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1,843,378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ind w:left="160"/>
              <w:spacing w:after="0"/>
              <w:rPr>
                <w:sz w:val="20"/>
                <w:szCs w:val="20"/>
                <w:color w:val="auto"/>
              </w:rPr>
            </w:pPr>
            <w:r>
              <w:rPr>
                <w:rFonts w:ascii="Arial" w:cs="Arial" w:eastAsia="Arial" w:hAnsi="Arial"/>
                <w:sz w:val="15"/>
                <w:szCs w:val="15"/>
                <w:color w:val="auto"/>
              </w:rPr>
              <w:t>Accrued expenses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3,306,877</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4,092,113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Unearned revenues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752,038</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1,101,541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640" w:type="dxa"/>
            <w:vAlign w:val="bottom"/>
          </w:tcPr>
          <w:p>
            <w:pPr>
              <w:ind w:left="160"/>
              <w:spacing w:after="0"/>
              <w:rPr>
                <w:sz w:val="20"/>
                <w:szCs w:val="20"/>
                <w:color w:val="auto"/>
              </w:rPr>
            </w:pPr>
            <w:r>
              <w:rPr>
                <w:rFonts w:ascii="Arial" w:cs="Arial" w:eastAsia="Arial" w:hAnsi="Arial"/>
                <w:sz w:val="15"/>
                <w:szCs w:val="15"/>
                <w:color w:val="auto"/>
              </w:rPr>
              <w:t>Current portion of long-term debt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114,378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95,386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5,299,700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7,132,418</w:t>
            </w:r>
          </w:p>
        </w:tc>
        <w:tc>
          <w:tcPr>
            <w:tcW w:w="0" w:type="dxa"/>
            <w:vAlign w:val="bottom"/>
          </w:tcPr>
          <w:p>
            <w:pPr>
              <w:spacing w:after="0"/>
              <w:rPr>
                <w:sz w:val="1"/>
                <w:szCs w:val="1"/>
                <w:color w:val="auto"/>
              </w:rPr>
            </w:pPr>
          </w:p>
        </w:tc>
      </w:tr>
      <w:tr>
        <w:trPr>
          <w:trHeight w:val="362"/>
        </w:trPr>
        <w:tc>
          <w:tcPr>
            <w:tcW w:w="5660" w:type="dxa"/>
            <w:vAlign w:val="bottom"/>
            <w:gridSpan w:val="2"/>
          </w:tcPr>
          <w:p>
            <w:pPr>
              <w:spacing w:after="0"/>
              <w:rPr>
                <w:sz w:val="20"/>
                <w:szCs w:val="20"/>
                <w:color w:val="auto"/>
              </w:rPr>
            </w:pPr>
            <w:r>
              <w:rPr>
                <w:rFonts w:ascii="Arial" w:cs="Arial" w:eastAsia="Arial" w:hAnsi="Arial"/>
                <w:sz w:val="15"/>
                <w:szCs w:val="15"/>
                <w:color w:val="auto"/>
              </w:rPr>
              <w:t>Long-term debt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475,000</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Deferred credits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600,000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600,000</w:t>
            </w:r>
          </w:p>
        </w:tc>
        <w:tc>
          <w:tcPr>
            <w:tcW w:w="0" w:type="dxa"/>
            <w:vAlign w:val="bottom"/>
          </w:tcPr>
          <w:p>
            <w:pPr>
              <w:spacing w:after="0"/>
              <w:rPr>
                <w:sz w:val="1"/>
                <w:szCs w:val="1"/>
                <w:color w:val="auto"/>
              </w:rPr>
            </w:pPr>
          </w:p>
        </w:tc>
      </w:tr>
      <w:tr>
        <w:trPr>
          <w:trHeight w:val="366"/>
        </w:trPr>
        <w:tc>
          <w:tcPr>
            <w:tcW w:w="5660" w:type="dxa"/>
            <w:vAlign w:val="bottom"/>
            <w:gridSpan w:val="2"/>
          </w:tcPr>
          <w:p>
            <w:pPr>
              <w:spacing w:after="0"/>
              <w:rPr>
                <w:sz w:val="20"/>
                <w:szCs w:val="20"/>
                <w:color w:val="auto"/>
              </w:rPr>
            </w:pPr>
            <w:r>
              <w:rPr>
                <w:rFonts w:ascii="Arial" w:cs="Arial" w:eastAsia="Arial" w:hAnsi="Arial"/>
                <w:sz w:val="15"/>
                <w:szCs w:val="15"/>
                <w:color w:val="auto"/>
              </w:rPr>
              <w:t>Other noncurrent liabilities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140,685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liabilities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6,374,700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8,123,103</w:t>
            </w:r>
          </w:p>
        </w:tc>
        <w:tc>
          <w:tcPr>
            <w:tcW w:w="0" w:type="dxa"/>
            <w:vAlign w:val="bottom"/>
          </w:tcPr>
          <w:p>
            <w:pPr>
              <w:spacing w:after="0"/>
              <w:rPr>
                <w:sz w:val="1"/>
                <w:szCs w:val="1"/>
                <w:color w:val="auto"/>
              </w:rPr>
            </w:pPr>
          </w:p>
        </w:tc>
      </w:tr>
      <w:tr>
        <w:trPr>
          <w:trHeight w:val="364"/>
        </w:trPr>
        <w:tc>
          <w:tcPr>
            <w:tcW w:w="5660" w:type="dxa"/>
            <w:vAlign w:val="bottom"/>
            <w:gridSpan w:val="2"/>
          </w:tcPr>
          <w:p>
            <w:pPr>
              <w:spacing w:after="0"/>
              <w:rPr>
                <w:sz w:val="20"/>
                <w:szCs w:val="20"/>
                <w:color w:val="auto"/>
              </w:rPr>
            </w:pPr>
            <w:r>
              <w:rPr>
                <w:rFonts w:ascii="Arial" w:cs="Arial" w:eastAsia="Arial" w:hAnsi="Arial"/>
                <w:sz w:val="15"/>
                <w:szCs w:val="15"/>
                <w:color w:val="auto"/>
              </w:rPr>
              <w:t>Commitments and contingencies (note 9)</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Ocean Power Technologies, Inc. Stockholders’ equity:</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ind w:left="160"/>
              <w:spacing w:after="0" w:line="171" w:lineRule="exact"/>
              <w:rPr>
                <w:sz w:val="20"/>
                <w:szCs w:val="20"/>
                <w:color w:val="auto"/>
              </w:rPr>
            </w:pPr>
            <w:r>
              <w:rPr>
                <w:rFonts w:ascii="Arial" w:cs="Arial" w:eastAsia="Arial" w:hAnsi="Arial"/>
                <w:sz w:val="15"/>
                <w:szCs w:val="15"/>
                <w:color w:val="auto"/>
              </w:rPr>
              <w:t>Preferred stock, $0.001 par value; authorized 5,000,000 shares, none issued 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40" w:type="dxa"/>
            <w:vAlign w:val="bottom"/>
          </w:tcPr>
          <w:p>
            <w:pPr>
              <w:ind w:left="320"/>
              <w:spacing w:after="0"/>
              <w:rPr>
                <w:sz w:val="20"/>
                <w:szCs w:val="20"/>
                <w:color w:val="auto"/>
              </w:rPr>
            </w:pPr>
            <w:r>
              <w:rPr>
                <w:rFonts w:ascii="Arial" w:cs="Arial" w:eastAsia="Arial" w:hAnsi="Arial"/>
                <w:sz w:val="15"/>
                <w:szCs w:val="15"/>
                <w:color w:val="auto"/>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1"/>
              </w:rPr>
              <w:t>Common stock, $0.001 par value; authorized 105,000,000 shares, issued 10,419,183 and</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10,390,563 shares, respectively</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10,419</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10,391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ind w:left="160"/>
              <w:spacing w:after="0"/>
              <w:rPr>
                <w:sz w:val="20"/>
                <w:szCs w:val="20"/>
                <w:color w:val="auto"/>
              </w:rPr>
            </w:pPr>
            <w:r>
              <w:rPr>
                <w:rFonts w:ascii="Arial" w:cs="Arial" w:eastAsia="Arial" w:hAnsi="Arial"/>
                <w:sz w:val="15"/>
                <w:szCs w:val="15"/>
                <w:color w:val="auto"/>
              </w:rPr>
              <w:t>Treasury stock, at cost; 6,673 and 1,072 shares, respectively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(37,302)</w:t>
            </w:r>
          </w:p>
        </w:tc>
        <w:tc>
          <w:tcPr>
            <w:tcW w:w="1120" w:type="dxa"/>
            <w:vAlign w:val="bottom"/>
            <w:gridSpan w:val="3"/>
          </w:tcPr>
          <w:p>
            <w:pPr>
              <w:jc w:val="right"/>
              <w:ind w:right="40"/>
              <w:spacing w:after="0"/>
              <w:rPr>
                <w:sz w:val="20"/>
                <w:szCs w:val="20"/>
                <w:color w:val="auto"/>
              </w:rPr>
            </w:pPr>
            <w:r>
              <w:rPr>
                <w:rFonts w:ascii="Arial" w:cs="Arial" w:eastAsia="Arial" w:hAnsi="Arial"/>
                <w:sz w:val="15"/>
                <w:szCs w:val="15"/>
                <w:color w:val="auto"/>
              </w:rPr>
              <w:t>(6,443)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156,680,382</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155,726,672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ind w:left="160"/>
              <w:spacing w:after="0"/>
              <w:rPr>
                <w:sz w:val="20"/>
                <w:szCs w:val="20"/>
                <w:color w:val="auto"/>
              </w:rPr>
            </w:pPr>
            <w:r>
              <w:rPr>
                <w:rFonts w:ascii="Arial" w:cs="Arial" w:eastAsia="Arial" w:hAnsi="Arial"/>
                <w:sz w:val="15"/>
                <w:szCs w:val="15"/>
                <w:color w:val="auto"/>
              </w:rPr>
              <w:t>Accumulated deficit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(105,541,701)</w:t>
            </w:r>
          </w:p>
        </w:tc>
        <w:tc>
          <w:tcPr>
            <w:tcW w:w="1120" w:type="dxa"/>
            <w:vAlign w:val="bottom"/>
            <w:gridSpan w:val="3"/>
          </w:tcPr>
          <w:p>
            <w:pPr>
              <w:jc w:val="right"/>
              <w:ind w:right="40"/>
              <w:spacing w:after="0"/>
              <w:rPr>
                <w:sz w:val="20"/>
                <w:szCs w:val="20"/>
                <w:color w:val="auto"/>
              </w:rPr>
            </w:pPr>
            <w:r>
              <w:rPr>
                <w:rFonts w:ascii="Arial" w:cs="Arial" w:eastAsia="Arial" w:hAnsi="Arial"/>
                <w:sz w:val="15"/>
                <w:szCs w:val="15"/>
                <w:color w:val="auto"/>
              </w:rPr>
              <w:t>(90,413,098)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Accumulated other comprehensive loss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(202,736)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(503,322)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40" w:type="dxa"/>
            <w:vAlign w:val="bottom"/>
          </w:tcPr>
          <w:p>
            <w:pPr>
              <w:ind w:left="320"/>
              <w:spacing w:after="0"/>
              <w:rPr>
                <w:sz w:val="20"/>
                <w:szCs w:val="20"/>
                <w:color w:val="auto"/>
              </w:rPr>
            </w:pPr>
            <w:r>
              <w:rPr>
                <w:rFonts w:ascii="Arial" w:cs="Arial" w:eastAsia="Arial" w:hAnsi="Arial"/>
                <w:sz w:val="15"/>
                <w:szCs w:val="15"/>
                <w:color w:val="auto"/>
              </w:rPr>
              <w:t>Total Ocean Power Technologies, Inc. stockholders’ equity</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50,909,062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64,814,200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Noncontrolling interest in Ocean Power Technologies (Australasia) Pty Ltd</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28,088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40,890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40" w:type="dxa"/>
            <w:vAlign w:val="bottom"/>
          </w:tcPr>
          <w:p>
            <w:pPr>
              <w:ind w:left="160"/>
              <w:spacing w:after="0"/>
              <w:rPr>
                <w:sz w:val="20"/>
                <w:szCs w:val="20"/>
                <w:color w:val="auto"/>
              </w:rPr>
            </w:pPr>
            <w:r>
              <w:rPr>
                <w:rFonts w:ascii="Arial" w:cs="Arial" w:eastAsia="Arial" w:hAnsi="Arial"/>
                <w:sz w:val="15"/>
                <w:szCs w:val="15"/>
                <w:color w:val="auto"/>
              </w:rPr>
              <w:t>Total equity</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50,937,150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64,855,090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liabilities and stockholders’ equity</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57,311,850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72,978,193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See accompanying notes to consolidated financial statements (unaudited).</w:t>
      </w:r>
    </w:p>
    <w:p>
      <w:pPr>
        <w:spacing w:after="0" w:line="200" w:lineRule="exact"/>
        <w:rPr>
          <w:sz w:val="20"/>
          <w:szCs w:val="20"/>
          <w:color w:val="auto"/>
        </w:rPr>
      </w:pPr>
    </w:p>
    <w:p>
      <w:pPr>
        <w:spacing w:after="0" w:line="28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3600" w:type="dxa"/>
            <w:vAlign w:val="bottom"/>
            <w:gridSpan w:val="3"/>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2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040" w:type="dxa"/>
            <w:vAlign w:val="bottom"/>
            <w:gridSpan w:val="7"/>
          </w:tcPr>
          <w:p>
            <w:pPr>
              <w:jc w:val="center"/>
              <w:ind w:left="1324"/>
              <w:spacing w:after="0"/>
              <w:rPr>
                <w:sz w:val="20"/>
                <w:szCs w:val="20"/>
                <w:color w:val="auto"/>
              </w:rPr>
            </w:pPr>
            <w:r>
              <w:rPr>
                <w:rFonts w:ascii="Arial" w:cs="Arial" w:eastAsia="Arial" w:hAnsi="Arial"/>
                <w:sz w:val="15"/>
                <w:szCs w:val="15"/>
                <w:b w:val="1"/>
                <w:bCs w:val="1"/>
                <w:color w:val="auto"/>
                <w:w w:val="89"/>
              </w:rPr>
              <w:t>Ocean Power Technologies, Inc. and Subsidiaries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40" w:type="dxa"/>
            <w:vAlign w:val="bottom"/>
            <w:gridSpan w:val="7"/>
          </w:tcPr>
          <w:p>
            <w:pPr>
              <w:jc w:val="center"/>
              <w:ind w:left="1324"/>
              <w:spacing w:after="0"/>
              <w:rPr>
                <w:sz w:val="20"/>
                <w:szCs w:val="20"/>
                <w:color w:val="auto"/>
              </w:rPr>
            </w:pPr>
            <w:r>
              <w:rPr>
                <w:rFonts w:ascii="Arial" w:cs="Arial" w:eastAsia="Arial" w:hAnsi="Arial"/>
                <w:sz w:val="15"/>
                <w:szCs w:val="15"/>
                <w:b w:val="1"/>
                <w:bCs w:val="1"/>
                <w:color w:val="auto"/>
                <w:w w:val="89"/>
              </w:rPr>
              <w:t>Consolidated Statements of Operations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(Unaudited)</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spacing w:after="0"/>
              <w:rPr>
                <w:sz w:val="20"/>
                <w:szCs w:val="20"/>
                <w:color w:val="auto"/>
              </w:rPr>
            </w:pPr>
            <w:r>
              <w:rPr>
                <w:rFonts w:ascii="Arial" w:cs="Arial" w:eastAsia="Arial" w:hAnsi="Arial"/>
                <w:sz w:val="15"/>
                <w:szCs w:val="15"/>
                <w:b w:val="1"/>
                <w:bCs w:val="1"/>
                <w:color w:val="auto"/>
                <w:w w:val="98"/>
              </w:rPr>
              <w:t>Three Months Ended January 31,</w:t>
            </w:r>
          </w:p>
        </w:tc>
        <w:tc>
          <w:tcPr>
            <w:tcW w:w="2280" w:type="dxa"/>
            <w:vAlign w:val="bottom"/>
            <w:gridSpan w:val="5"/>
          </w:tcPr>
          <w:p>
            <w:pPr>
              <w:jc w:val="right"/>
              <w:ind w:right="60"/>
              <w:spacing w:after="0"/>
              <w:rPr>
                <w:sz w:val="20"/>
                <w:szCs w:val="20"/>
                <w:color w:val="auto"/>
              </w:rPr>
            </w:pPr>
            <w:r>
              <w:rPr>
                <w:rFonts w:ascii="Arial" w:cs="Arial" w:eastAsia="Arial" w:hAnsi="Arial"/>
                <w:sz w:val="15"/>
                <w:szCs w:val="15"/>
                <w:b w:val="1"/>
                <w:bCs w:val="1"/>
                <w:color w:val="auto"/>
                <w:w w:val="97"/>
              </w:rPr>
              <w:t>Nine Months Ended January 31,</w:t>
            </w: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2011</w:t>
            </w:r>
          </w:p>
        </w:tc>
        <w:tc>
          <w:tcPr>
            <w:tcW w:w="36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2010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2011</w:t>
            </w: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1,523,601</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856,482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4,762,415</w:t>
            </w: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2,749,294</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5"/>
                <w:szCs w:val="15"/>
                <w:color w:val="auto"/>
              </w:rPr>
              <w:t>Cost of revenues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1,453,397</w:t>
            </w:r>
          </w:p>
        </w:tc>
        <w:tc>
          <w:tcPr>
            <w:tcW w:w="3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691,090</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4,818,623</w:t>
            </w:r>
          </w:p>
        </w:tc>
        <w:tc>
          <w:tcPr>
            <w:tcW w:w="34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2,243,465</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Gross profit (loss)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70,204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165,392</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(56,208)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505,829</w:t>
            </w:r>
          </w:p>
        </w:tc>
        <w:tc>
          <w:tcPr>
            <w:tcW w:w="0" w:type="dxa"/>
            <w:vAlign w:val="bottom"/>
          </w:tcPr>
          <w:p>
            <w:pPr>
              <w:spacing w:after="0"/>
              <w:rPr>
                <w:sz w:val="1"/>
                <w:szCs w:val="1"/>
                <w:color w:val="auto"/>
              </w:rPr>
            </w:pPr>
          </w:p>
        </w:tc>
      </w:tr>
      <w:tr>
        <w:trPr>
          <w:trHeight w:val="365"/>
        </w:trPr>
        <w:tc>
          <w:tcPr>
            <w:tcW w:w="3600" w:type="dxa"/>
            <w:vAlign w:val="bottom"/>
            <w:gridSpan w:val="3"/>
          </w:tcPr>
          <w:p>
            <w:pPr>
              <w:ind w:left="260"/>
              <w:spacing w:after="0"/>
              <w:rPr>
                <w:sz w:val="20"/>
                <w:szCs w:val="20"/>
                <w:color w:val="auto"/>
              </w:rPr>
            </w:pPr>
            <w:r>
              <w:rPr>
                <w:rFonts w:ascii="Arial" w:cs="Arial" w:eastAsia="Arial" w:hAnsi="Arial"/>
                <w:sz w:val="15"/>
                <w:szCs w:val="15"/>
                <w:color w:val="auto"/>
              </w:rPr>
              <w:t>Operating expenses:</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Product development costs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2,026,336</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3,681,118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9,731,592</w:t>
            </w: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8,467,866</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340" w:type="dxa"/>
            <w:vAlign w:val="bottom"/>
            <w:gridSpan w:val="2"/>
          </w:tcPr>
          <w:p>
            <w:pPr>
              <w:ind w:left="180"/>
              <w:spacing w:after="0"/>
              <w:rPr>
                <w:sz w:val="20"/>
                <w:szCs w:val="20"/>
                <w:color w:val="auto"/>
              </w:rPr>
            </w:pPr>
            <w:r>
              <w:rPr>
                <w:rFonts w:ascii="Arial" w:cs="Arial" w:eastAsia="Arial" w:hAnsi="Arial"/>
                <w:sz w:val="15"/>
                <w:szCs w:val="15"/>
                <w:color w:val="auto"/>
              </w:rPr>
              <w:t>Selling, general and administrative costs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1,884,950</w:t>
            </w:r>
          </w:p>
        </w:tc>
        <w:tc>
          <w:tcPr>
            <w:tcW w:w="3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2,557,931</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6,060,705</w:t>
            </w:r>
          </w:p>
        </w:tc>
        <w:tc>
          <w:tcPr>
            <w:tcW w:w="34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6,915,435</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operating expenses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3,911,286</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6,239,049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15,792,297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15,383,301</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600" w:type="dxa"/>
            <w:vAlign w:val="bottom"/>
            <w:gridSpan w:val="3"/>
          </w:tcPr>
          <w:p>
            <w:pPr>
              <w:ind w:left="260"/>
              <w:spacing w:after="0"/>
              <w:rPr>
                <w:sz w:val="20"/>
                <w:szCs w:val="20"/>
                <w:color w:val="auto"/>
              </w:rPr>
            </w:pPr>
            <w:r>
              <w:rPr>
                <w:rFonts w:ascii="Arial" w:cs="Arial" w:eastAsia="Arial" w:hAnsi="Arial"/>
                <w:sz w:val="15"/>
                <w:szCs w:val="15"/>
                <w:color w:val="auto"/>
              </w:rPr>
              <w:t>Operating loss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(3,841,082)</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(6,073,657)</w:t>
            </w:r>
          </w:p>
        </w:tc>
        <w:tc>
          <w:tcPr>
            <w:tcW w:w="1320" w:type="dxa"/>
            <w:vAlign w:val="bottom"/>
            <w:gridSpan w:val="3"/>
          </w:tcPr>
          <w:p>
            <w:pPr>
              <w:jc w:val="right"/>
              <w:ind w:right="280"/>
              <w:spacing w:after="0"/>
              <w:rPr>
                <w:sz w:val="20"/>
                <w:szCs w:val="20"/>
                <w:color w:val="auto"/>
              </w:rPr>
            </w:pPr>
            <w:r>
              <w:rPr>
                <w:rFonts w:ascii="Arial" w:cs="Arial" w:eastAsia="Arial" w:hAnsi="Arial"/>
                <w:sz w:val="15"/>
                <w:szCs w:val="15"/>
                <w:color w:val="auto"/>
              </w:rPr>
              <w:t>(15,848,505)</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(14,877,472)</w:t>
            </w:r>
          </w:p>
        </w:tc>
        <w:tc>
          <w:tcPr>
            <w:tcW w:w="0" w:type="dxa"/>
            <w:vAlign w:val="bottom"/>
          </w:tcPr>
          <w:p>
            <w:pPr>
              <w:spacing w:after="0"/>
              <w:rPr>
                <w:sz w:val="1"/>
                <w:szCs w:val="1"/>
                <w:color w:val="auto"/>
              </w:rPr>
            </w:pPr>
          </w:p>
        </w:tc>
      </w:tr>
      <w:tr>
        <w:trPr>
          <w:trHeight w:val="183"/>
        </w:trPr>
        <w:tc>
          <w:tcPr>
            <w:tcW w:w="26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148,480</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231,683</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546,829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764,504</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5"/>
                <w:szCs w:val="15"/>
                <w:color w:val="auto"/>
              </w:rPr>
              <w:t>Other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17,668</w:t>
            </w:r>
          </w:p>
        </w:tc>
        <w:tc>
          <w:tcPr>
            <w:tcW w:w="120" w:type="dxa"/>
            <w:vAlign w:val="bottom"/>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549,258</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exchange (loss) gain</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(38,014)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172,128</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(205,824)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674,517</w:t>
            </w: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ind w:left="260"/>
              <w:spacing w:after="0"/>
              <w:rPr>
                <w:sz w:val="20"/>
                <w:szCs w:val="20"/>
                <w:color w:val="auto"/>
              </w:rPr>
            </w:pPr>
            <w:r>
              <w:rPr>
                <w:rFonts w:ascii="Arial" w:cs="Arial" w:eastAsia="Arial" w:hAnsi="Arial"/>
                <w:sz w:val="15"/>
                <w:szCs w:val="15"/>
                <w:color w:val="auto"/>
              </w:rPr>
              <w:t>Loss before income taxes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(3,730,616)</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(5,652,178)</w:t>
            </w:r>
          </w:p>
        </w:tc>
        <w:tc>
          <w:tcPr>
            <w:tcW w:w="1320" w:type="dxa"/>
            <w:vAlign w:val="bottom"/>
            <w:gridSpan w:val="3"/>
          </w:tcPr>
          <w:p>
            <w:pPr>
              <w:jc w:val="right"/>
              <w:ind w:right="280"/>
              <w:spacing w:after="0"/>
              <w:rPr>
                <w:sz w:val="20"/>
                <w:szCs w:val="20"/>
                <w:color w:val="auto"/>
              </w:rPr>
            </w:pPr>
            <w:r>
              <w:rPr>
                <w:rFonts w:ascii="Arial" w:cs="Arial" w:eastAsia="Arial" w:hAnsi="Arial"/>
                <w:sz w:val="15"/>
                <w:szCs w:val="15"/>
                <w:color w:val="auto"/>
              </w:rPr>
              <w:t>(15,507,500)</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(12,889,193)</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364,105</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364,105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600" w:type="dxa"/>
            <w:vAlign w:val="bottom"/>
            <w:gridSpan w:val="3"/>
          </w:tcPr>
          <w:p>
            <w:pPr>
              <w:ind w:left="260"/>
              <w:spacing w:after="0"/>
              <w:rPr>
                <w:sz w:val="20"/>
                <w:szCs w:val="20"/>
                <w:color w:val="auto"/>
              </w:rPr>
            </w:pPr>
            <w:r>
              <w:rPr>
                <w:rFonts w:ascii="Arial" w:cs="Arial" w:eastAsia="Arial" w:hAnsi="Arial"/>
                <w:sz w:val="15"/>
                <w:szCs w:val="15"/>
                <w:color w:val="auto"/>
              </w:rPr>
              <w:t>Net loss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(3,366,511)</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(5,652,178)</w:t>
            </w:r>
          </w:p>
        </w:tc>
        <w:tc>
          <w:tcPr>
            <w:tcW w:w="1320" w:type="dxa"/>
            <w:vAlign w:val="bottom"/>
            <w:gridSpan w:val="3"/>
          </w:tcPr>
          <w:p>
            <w:pPr>
              <w:jc w:val="right"/>
              <w:ind w:right="280"/>
              <w:spacing w:after="0"/>
              <w:rPr>
                <w:sz w:val="20"/>
                <w:szCs w:val="20"/>
                <w:color w:val="auto"/>
              </w:rPr>
            </w:pPr>
            <w:r>
              <w:rPr>
                <w:rFonts w:ascii="Arial" w:cs="Arial" w:eastAsia="Arial" w:hAnsi="Arial"/>
                <w:sz w:val="15"/>
                <w:szCs w:val="15"/>
                <w:color w:val="auto"/>
              </w:rPr>
              <w:t>(15,143,395)</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(12,889,193)</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3340" w:type="dxa"/>
            <w:vAlign w:val="bottom"/>
            <w:gridSpan w:val="2"/>
            <w:shd w:val="clear" w:color="auto" w:fill="CCEEFF"/>
          </w:tcPr>
          <w:p>
            <w:pPr>
              <w:ind w:left="180"/>
              <w:spacing w:after="0" w:line="171" w:lineRule="exact"/>
              <w:rPr>
                <w:sz w:val="20"/>
                <w:szCs w:val="20"/>
                <w:color w:val="auto"/>
              </w:rPr>
            </w:pPr>
            <w:r>
              <w:rPr>
                <w:rFonts w:ascii="Arial" w:cs="Arial" w:eastAsia="Arial" w:hAnsi="Arial"/>
                <w:sz w:val="15"/>
                <w:szCs w:val="15"/>
                <w:color w:val="auto"/>
              </w:rPr>
              <w:t>Less: Net loss (income) attributable to the</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noncontrolling interest in Ocean Power</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33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Technologies (Australasia) Pty Ltd.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3,693</w:t>
            </w:r>
          </w:p>
        </w:tc>
        <w:tc>
          <w:tcPr>
            <w:tcW w:w="3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2,682</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14,792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(50,551)</w:t>
            </w:r>
          </w:p>
        </w:tc>
        <w:tc>
          <w:tcPr>
            <w:tcW w:w="0" w:type="dxa"/>
            <w:vAlign w:val="bottom"/>
          </w:tcPr>
          <w:p>
            <w:pPr>
              <w:spacing w:after="0"/>
              <w:rPr>
                <w:sz w:val="1"/>
                <w:szCs w:val="1"/>
                <w:color w:val="auto"/>
              </w:rPr>
            </w:pPr>
          </w:p>
        </w:tc>
      </w:tr>
      <w:tr>
        <w:trPr>
          <w:trHeight w:val="174"/>
        </w:trPr>
        <w:tc>
          <w:tcPr>
            <w:tcW w:w="3600" w:type="dxa"/>
            <w:vAlign w:val="bottom"/>
            <w:gridSpan w:val="3"/>
          </w:tcPr>
          <w:p>
            <w:pPr>
              <w:ind w:left="260"/>
              <w:spacing w:after="0"/>
              <w:rPr>
                <w:sz w:val="20"/>
                <w:szCs w:val="20"/>
                <w:color w:val="auto"/>
              </w:rPr>
            </w:pPr>
            <w:r>
              <w:rPr>
                <w:rFonts w:ascii="Arial" w:cs="Arial" w:eastAsia="Arial" w:hAnsi="Arial"/>
                <w:sz w:val="15"/>
                <w:szCs w:val="15"/>
                <w:color w:val="auto"/>
                <w:w w:val="97"/>
              </w:rPr>
              <w:t>Net loss attributable to Ocean Power Technologies,</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3340" w:type="dxa"/>
            <w:vAlign w:val="bottom"/>
            <w:gridSpan w:val="2"/>
          </w:tcPr>
          <w:p>
            <w:pPr>
              <w:ind w:left="180"/>
              <w:spacing w:after="0"/>
              <w:rPr>
                <w:sz w:val="20"/>
                <w:szCs w:val="20"/>
                <w:color w:val="auto"/>
              </w:rPr>
            </w:pPr>
            <w:r>
              <w:rPr>
                <w:rFonts w:ascii="Arial" w:cs="Arial" w:eastAsia="Arial" w:hAnsi="Arial"/>
                <w:sz w:val="15"/>
                <w:szCs w:val="15"/>
                <w:color w:val="auto"/>
              </w:rPr>
              <w:t>Inc.</w:t>
            </w:r>
          </w:p>
        </w:tc>
        <w:tc>
          <w:tcPr>
            <w:tcW w:w="320" w:type="dxa"/>
            <w:vAlign w:val="bottom"/>
            <w:gridSpan w:val="2"/>
          </w:tcPr>
          <w:p>
            <w:pPr>
              <w:ind w:left="220"/>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(3,362,818)</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(5,649,496)</w:t>
            </w:r>
          </w:p>
        </w:tc>
        <w:tc>
          <w:tcPr>
            <w:tcW w:w="1320" w:type="dxa"/>
            <w:vAlign w:val="bottom"/>
            <w:gridSpan w:val="3"/>
          </w:tcPr>
          <w:p>
            <w:pPr>
              <w:jc w:val="right"/>
              <w:ind w:right="280"/>
              <w:spacing w:after="0"/>
              <w:rPr>
                <w:sz w:val="20"/>
                <w:szCs w:val="20"/>
                <w:color w:val="auto"/>
              </w:rPr>
            </w:pPr>
            <w:r>
              <w:rPr>
                <w:rFonts w:ascii="Arial" w:cs="Arial" w:eastAsia="Arial" w:hAnsi="Arial"/>
                <w:sz w:val="15"/>
                <w:szCs w:val="15"/>
                <w:color w:val="auto"/>
              </w:rPr>
              <w:t>(15,128,603)</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(12,939,744)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60" w:type="dxa"/>
            <w:vAlign w:val="bottom"/>
          </w:tcPr>
          <w:p>
            <w:pPr>
              <w:spacing w:after="0"/>
              <w:rPr>
                <w:sz w:val="14"/>
                <w:szCs w:val="14"/>
                <w:color w:val="auto"/>
              </w:rPr>
            </w:pPr>
          </w:p>
        </w:tc>
        <w:tc>
          <w:tcPr>
            <w:tcW w:w="3340" w:type="dxa"/>
            <w:vAlign w:val="bottom"/>
            <w:gridSpan w:val="2"/>
            <w:shd w:val="clear" w:color="auto" w:fill="CCEEFF"/>
          </w:tcPr>
          <w:p>
            <w:pPr>
              <w:spacing w:after="0" w:line="168" w:lineRule="exact"/>
              <w:rPr>
                <w:sz w:val="20"/>
                <w:szCs w:val="20"/>
                <w:color w:val="auto"/>
              </w:rPr>
            </w:pPr>
            <w:r>
              <w:rPr>
                <w:rFonts w:ascii="Arial" w:cs="Arial" w:eastAsia="Arial" w:hAnsi="Arial"/>
                <w:sz w:val="15"/>
                <w:szCs w:val="15"/>
                <w:color w:val="auto"/>
              </w:rPr>
              <w:t>Basic and diluted net loss per share</w:t>
            </w:r>
          </w:p>
        </w:tc>
        <w:tc>
          <w:tcPr>
            <w:tcW w:w="320" w:type="dxa"/>
            <w:vAlign w:val="bottom"/>
            <w:gridSpan w:val="2"/>
            <w:shd w:val="clear" w:color="auto" w:fill="CCEEFF"/>
          </w:tcPr>
          <w:p>
            <w:pPr>
              <w:ind w:left="220"/>
              <w:spacing w:after="0" w:line="168" w:lineRule="exact"/>
              <w:rPr>
                <w:sz w:val="20"/>
                <w:szCs w:val="20"/>
                <w:color w:val="auto"/>
              </w:rPr>
            </w:pPr>
            <w:r>
              <w:rPr>
                <w:rFonts w:ascii="Arial" w:cs="Arial" w:eastAsia="Arial" w:hAnsi="Arial"/>
                <w:sz w:val="15"/>
                <w:szCs w:val="15"/>
                <w:color w:val="auto"/>
                <w:w w:val="95"/>
              </w:rPr>
              <w:t>$</w:t>
            </w:r>
          </w:p>
        </w:tc>
        <w:tc>
          <w:tcPr>
            <w:tcW w:w="1160" w:type="dxa"/>
            <w:vAlign w:val="bottom"/>
            <w:gridSpan w:val="2"/>
            <w:shd w:val="clear" w:color="auto" w:fill="CCEEFF"/>
          </w:tcPr>
          <w:p>
            <w:pPr>
              <w:jc w:val="right"/>
              <w:ind w:right="300"/>
              <w:spacing w:after="0" w:line="168" w:lineRule="exact"/>
              <w:rPr>
                <w:sz w:val="20"/>
                <w:szCs w:val="20"/>
                <w:color w:val="auto"/>
              </w:rPr>
            </w:pPr>
            <w:r>
              <w:rPr>
                <w:rFonts w:ascii="Arial" w:cs="Arial" w:eastAsia="Arial" w:hAnsi="Arial"/>
                <w:sz w:val="15"/>
                <w:szCs w:val="15"/>
                <w:color w:val="auto"/>
              </w:rPr>
              <w:t>(0.33)</w:t>
            </w:r>
          </w:p>
        </w:tc>
        <w:tc>
          <w:tcPr>
            <w:tcW w:w="108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(0.55)</w:t>
            </w:r>
          </w:p>
        </w:tc>
        <w:tc>
          <w:tcPr>
            <w:tcW w:w="1320" w:type="dxa"/>
            <w:vAlign w:val="bottom"/>
            <w:gridSpan w:val="3"/>
            <w:shd w:val="clear" w:color="auto" w:fill="CCEEFF"/>
          </w:tcPr>
          <w:p>
            <w:pPr>
              <w:jc w:val="right"/>
              <w:ind w:right="280"/>
              <w:spacing w:after="0" w:line="168" w:lineRule="exact"/>
              <w:rPr>
                <w:sz w:val="20"/>
                <w:szCs w:val="20"/>
                <w:color w:val="auto"/>
              </w:rPr>
            </w:pPr>
            <w:r>
              <w:rPr>
                <w:rFonts w:ascii="Arial" w:cs="Arial" w:eastAsia="Arial" w:hAnsi="Arial"/>
                <w:sz w:val="15"/>
                <w:szCs w:val="15"/>
                <w:color w:val="auto"/>
              </w:rPr>
              <w:t>(1.48)</w:t>
            </w:r>
          </w:p>
        </w:tc>
        <w:tc>
          <w:tcPr>
            <w:tcW w:w="96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ind w:left="260"/>
              <w:spacing w:after="0"/>
              <w:rPr>
                <w:sz w:val="20"/>
                <w:szCs w:val="20"/>
                <w:color w:val="auto"/>
              </w:rPr>
            </w:pPr>
            <w:r>
              <w:rPr>
                <w:rFonts w:ascii="Arial" w:cs="Arial" w:eastAsia="Arial" w:hAnsi="Arial"/>
                <w:sz w:val="15"/>
                <w:szCs w:val="15"/>
                <w:color w:val="auto"/>
                <w:w w:val="93"/>
              </w:rPr>
              <w:t>Weighted average shares used to compute basic and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6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3340" w:type="dxa"/>
            <w:vAlign w:val="bottom"/>
            <w:gridSpan w:val="2"/>
          </w:tcPr>
          <w:p>
            <w:pPr>
              <w:ind w:left="180"/>
              <w:spacing w:after="0"/>
              <w:rPr>
                <w:sz w:val="20"/>
                <w:szCs w:val="20"/>
                <w:color w:val="auto"/>
              </w:rPr>
            </w:pPr>
            <w:r>
              <w:rPr>
                <w:rFonts w:ascii="Arial" w:cs="Arial" w:eastAsia="Arial" w:hAnsi="Arial"/>
                <w:sz w:val="15"/>
                <w:szCs w:val="15"/>
                <w:color w:val="auto"/>
              </w:rPr>
              <w:t>diluted net loss per share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10,248,092</w:t>
            </w:r>
          </w:p>
        </w:tc>
        <w:tc>
          <w:tcPr>
            <w:tcW w:w="3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10,213,900</w:t>
            </w:r>
          </w:p>
        </w:tc>
        <w:tc>
          <w:tcPr>
            <w:tcW w:w="1320" w:type="dxa"/>
            <w:vAlign w:val="bottom"/>
            <w:gridSpan w:val="3"/>
          </w:tcPr>
          <w:p>
            <w:pPr>
              <w:jc w:val="right"/>
              <w:ind w:right="340"/>
              <w:spacing w:after="0"/>
              <w:rPr>
                <w:sz w:val="20"/>
                <w:szCs w:val="20"/>
                <w:color w:val="auto"/>
              </w:rPr>
            </w:pPr>
            <w:r>
              <w:rPr>
                <w:rFonts w:ascii="Arial" w:cs="Arial" w:eastAsia="Arial" w:hAnsi="Arial"/>
                <w:sz w:val="15"/>
                <w:szCs w:val="15"/>
                <w:color w:val="auto"/>
              </w:rPr>
              <w:t>10,242,528</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10,211,536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See accompanying notes to consolidated financial statements (unaudited).</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6100" w:type="dxa"/>
            <w:vAlign w:val="bottom"/>
            <w:gridSpan w:val="3"/>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2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980" w:type="dxa"/>
            <w:vAlign w:val="bottom"/>
          </w:tcPr>
          <w:p>
            <w:pPr>
              <w:jc w:val="center"/>
              <w:ind w:left="1384"/>
              <w:spacing w:after="0"/>
              <w:rPr>
                <w:sz w:val="20"/>
                <w:szCs w:val="20"/>
                <w:color w:val="auto"/>
              </w:rPr>
            </w:pPr>
            <w:r>
              <w:rPr>
                <w:rFonts w:ascii="Arial" w:cs="Arial" w:eastAsia="Arial" w:hAnsi="Arial"/>
                <w:sz w:val="15"/>
                <w:szCs w:val="15"/>
                <w:b w:val="1"/>
                <w:bCs w:val="1"/>
                <w:color w:val="auto"/>
                <w:w w:val="89"/>
              </w:rPr>
              <w:t>Ocean Power Technologies, Inc. and Subsidiaries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80" w:type="dxa"/>
            <w:vAlign w:val="bottom"/>
          </w:tcPr>
          <w:p>
            <w:pPr>
              <w:jc w:val="center"/>
              <w:ind w:left="1404"/>
              <w:spacing w:after="0"/>
              <w:rPr>
                <w:sz w:val="20"/>
                <w:szCs w:val="20"/>
                <w:color w:val="auto"/>
              </w:rPr>
            </w:pPr>
            <w:r>
              <w:rPr>
                <w:rFonts w:ascii="Arial" w:cs="Arial" w:eastAsia="Arial" w:hAnsi="Arial"/>
                <w:sz w:val="15"/>
                <w:szCs w:val="15"/>
                <w:b w:val="1"/>
                <w:bCs w:val="1"/>
                <w:color w:val="auto"/>
                <w:w w:val="88"/>
              </w:rPr>
              <w:t>Consolidated Statements of Cash Flows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980" w:type="dxa"/>
            <w:vAlign w:val="bottom"/>
          </w:tcPr>
          <w:p>
            <w:pPr>
              <w:jc w:val="center"/>
              <w:ind w:left="1404"/>
              <w:spacing w:after="0"/>
              <w:rPr>
                <w:sz w:val="20"/>
                <w:szCs w:val="20"/>
                <w:color w:val="auto"/>
              </w:rPr>
            </w:pPr>
            <w:r>
              <w:rPr>
                <w:rFonts w:ascii="Arial" w:cs="Arial" w:eastAsia="Arial" w:hAnsi="Arial"/>
                <w:sz w:val="15"/>
                <w:szCs w:val="15"/>
                <w:b w:val="1"/>
                <w:bCs w:val="1"/>
                <w:color w:val="auto"/>
                <w:w w:val="93"/>
              </w:rPr>
              <w:t>(Unaudited)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340" w:type="dxa"/>
            <w:vAlign w:val="bottom"/>
            <w:gridSpan w:val="6"/>
          </w:tcPr>
          <w:p>
            <w:pPr>
              <w:ind w:left="180"/>
              <w:spacing w:after="0"/>
              <w:rPr>
                <w:sz w:val="20"/>
                <w:szCs w:val="20"/>
                <w:color w:val="auto"/>
              </w:rPr>
            </w:pPr>
            <w:r>
              <w:rPr>
                <w:rFonts w:ascii="Arial" w:cs="Arial" w:eastAsia="Arial" w:hAnsi="Arial"/>
                <w:sz w:val="15"/>
                <w:szCs w:val="15"/>
                <w:b w:val="1"/>
                <w:bCs w:val="1"/>
                <w:color w:val="auto"/>
                <w:w w:val="94"/>
              </w:rPr>
              <w:t>Nine Months Ended January 31,</w:t>
            </w: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2011</w:t>
            </w: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5840" w:type="dxa"/>
            <w:vAlign w:val="bottom"/>
            <w:gridSpan w:val="2"/>
          </w:tcPr>
          <w:p>
            <w:pPr>
              <w:ind w:left="180"/>
              <w:spacing w:after="0"/>
              <w:rPr>
                <w:sz w:val="20"/>
                <w:szCs w:val="20"/>
                <w:color w:val="auto"/>
              </w:rPr>
            </w:pPr>
            <w:r>
              <w:rPr>
                <w:rFonts w:ascii="Arial" w:cs="Arial" w:eastAsia="Arial" w:hAnsi="Arial"/>
                <w:sz w:val="15"/>
                <w:szCs w:val="15"/>
                <w:color w:val="auto"/>
              </w:rPr>
              <w:t>Net loss</w:t>
            </w:r>
          </w:p>
        </w:tc>
        <w:tc>
          <w:tcPr>
            <w:tcW w:w="30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(15,143,395)</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(12,889,193)</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340"/>
              <w:spacing w:after="0"/>
              <w:rPr>
                <w:sz w:val="20"/>
                <w:szCs w:val="20"/>
                <w:color w:val="auto"/>
              </w:rPr>
            </w:pPr>
            <w:r>
              <w:rPr>
                <w:rFonts w:ascii="Arial" w:cs="Arial" w:eastAsia="Arial" w:hAnsi="Arial"/>
                <w:sz w:val="15"/>
                <w:szCs w:val="15"/>
                <w:color w:val="auto"/>
              </w:rPr>
              <w:t>Foreign exchange loss (gain)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205,824</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(674,517)</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Depreciation and amortization</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270,209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274,226</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340"/>
              <w:spacing w:after="0"/>
              <w:rPr>
                <w:sz w:val="20"/>
                <w:szCs w:val="20"/>
                <w:color w:val="auto"/>
              </w:rPr>
            </w:pPr>
            <w:r>
              <w:rPr>
                <w:rFonts w:ascii="Arial" w:cs="Arial" w:eastAsia="Arial" w:hAnsi="Arial"/>
                <w:sz w:val="15"/>
                <w:szCs w:val="15"/>
                <w:color w:val="auto"/>
              </w:rPr>
              <w:t>Loss on disposals of property, plant and equipment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933</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Treasury note premium amortization</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57,752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135,325</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340"/>
              <w:spacing w:after="0"/>
              <w:rPr>
                <w:sz w:val="20"/>
                <w:szCs w:val="20"/>
                <w:color w:val="auto"/>
              </w:rPr>
            </w:pPr>
            <w:r>
              <w:rPr>
                <w:rFonts w:ascii="Arial" w:cs="Arial" w:eastAsia="Arial" w:hAnsi="Arial"/>
                <w:sz w:val="15"/>
                <w:szCs w:val="15"/>
                <w:color w:val="auto"/>
              </w:rPr>
              <w:t>Compensation expense related to stock option grants and restricted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953,738</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872,109</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520"/>
              <w:spacing w:after="0"/>
              <w:rPr>
                <w:sz w:val="20"/>
                <w:szCs w:val="20"/>
                <w:color w:val="auto"/>
              </w:rPr>
            </w:pPr>
            <w:r>
              <w:rPr>
                <w:rFonts w:ascii="Arial" w:cs="Arial" w:eastAsia="Arial" w:hAnsi="Arial"/>
                <w:sz w:val="15"/>
                <w:szCs w:val="15"/>
                <w:color w:val="auto"/>
              </w:rPr>
              <w:t>Accounts receivable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776,316</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64,961</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Unbilled receivables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(192,577)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76,224</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520"/>
              <w:spacing w:after="0"/>
              <w:rPr>
                <w:sz w:val="20"/>
                <w:szCs w:val="20"/>
                <w:color w:val="auto"/>
              </w:rPr>
            </w:pPr>
            <w:r>
              <w:rPr>
                <w:rFonts w:ascii="Arial" w:cs="Arial" w:eastAsia="Arial" w:hAnsi="Arial"/>
                <w:sz w:val="15"/>
                <w:szCs w:val="15"/>
                <w:color w:val="auto"/>
              </w:rPr>
              <w:t>Other current assets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325,440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12,858</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Other noncurrent assets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756,172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(191,505)</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520"/>
              <w:spacing w:after="0"/>
              <w:rPr>
                <w:sz w:val="20"/>
                <w:szCs w:val="20"/>
                <w:color w:val="auto"/>
              </w:rPr>
            </w:pPr>
            <w:r>
              <w:rPr>
                <w:rFonts w:ascii="Arial" w:cs="Arial" w:eastAsia="Arial" w:hAnsi="Arial"/>
                <w:sz w:val="15"/>
                <w:szCs w:val="15"/>
                <w:color w:val="auto"/>
              </w:rPr>
              <w:t>Accounts payable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(715,927)</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423,534</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Accrued expenses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(787,537)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(553,942)</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520"/>
              <w:spacing w:after="0"/>
              <w:rPr>
                <w:sz w:val="20"/>
                <w:szCs w:val="20"/>
                <w:color w:val="auto"/>
              </w:rPr>
            </w:pPr>
            <w:r>
              <w:rPr>
                <w:rFonts w:ascii="Arial" w:cs="Arial" w:eastAsia="Arial" w:hAnsi="Arial"/>
                <w:sz w:val="15"/>
                <w:szCs w:val="15"/>
                <w:color w:val="auto"/>
              </w:rPr>
              <w:t>Unearned revenues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(351,625)</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549,983</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Other noncurrent liabilities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(142,586)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133,505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60" w:type="dxa"/>
            <w:vAlign w:val="bottom"/>
          </w:tcPr>
          <w:p>
            <w:pPr>
              <w:spacing w:after="0"/>
              <w:rPr>
                <w:sz w:val="24"/>
                <w:szCs w:val="24"/>
                <w:color w:val="auto"/>
              </w:rPr>
            </w:pPr>
          </w:p>
        </w:tc>
        <w:tc>
          <w:tcPr>
            <w:tcW w:w="5840" w:type="dxa"/>
            <w:vAlign w:val="bottom"/>
            <w:gridSpan w:val="2"/>
          </w:tcPr>
          <w:p>
            <w:pPr>
              <w:ind w:left="680"/>
              <w:spacing w:after="0"/>
              <w:rPr>
                <w:sz w:val="20"/>
                <w:szCs w:val="20"/>
                <w:color w:val="auto"/>
              </w:rPr>
            </w:pPr>
            <w:r>
              <w:rPr>
                <w:rFonts w:ascii="Arial" w:cs="Arial" w:eastAsia="Arial" w:hAnsi="Arial"/>
                <w:sz w:val="15"/>
                <w:szCs w:val="15"/>
                <w:color w:val="auto"/>
              </w:rPr>
              <w:t>Net cash used in operating activities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(13,987,263)</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(11,766,432)</w:t>
            </w:r>
          </w:p>
        </w:tc>
        <w:tc>
          <w:tcPr>
            <w:tcW w:w="0" w:type="dxa"/>
            <w:vAlign w:val="bottom"/>
          </w:tcPr>
          <w:p>
            <w:pPr>
              <w:spacing w:after="0"/>
              <w:rPr>
                <w:sz w:val="1"/>
                <w:szCs w:val="1"/>
                <w:color w:val="auto"/>
              </w:rPr>
            </w:pPr>
          </w:p>
        </w:tc>
      </w:tr>
      <w:tr>
        <w:trPr>
          <w:trHeight w:val="185"/>
        </w:trPr>
        <w:tc>
          <w:tcPr>
            <w:tcW w:w="26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260" w:type="dxa"/>
            <w:vAlign w:val="bottom"/>
          </w:tcPr>
          <w:p>
            <w:pPr>
              <w:spacing w:after="0"/>
              <w:rPr>
                <w:sz w:val="24"/>
                <w:szCs w:val="24"/>
                <w:color w:val="auto"/>
              </w:rPr>
            </w:pPr>
          </w:p>
        </w:tc>
        <w:tc>
          <w:tcPr>
            <w:tcW w:w="5840" w:type="dxa"/>
            <w:vAlign w:val="bottom"/>
            <w:gridSpan w:val="2"/>
          </w:tcPr>
          <w:p>
            <w:pPr>
              <w:ind w:left="180"/>
              <w:spacing w:after="0"/>
              <w:rPr>
                <w:sz w:val="20"/>
                <w:szCs w:val="20"/>
                <w:color w:val="auto"/>
              </w:rPr>
            </w:pPr>
            <w:r>
              <w:rPr>
                <w:rFonts w:ascii="Arial" w:cs="Arial" w:eastAsia="Arial" w:hAnsi="Arial"/>
                <w:sz w:val="15"/>
                <w:szCs w:val="15"/>
                <w:color w:val="auto"/>
              </w:rPr>
              <w:t>Purchases of marketable securities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(7,528,436)</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(34,048,490)</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Maturities of marketable securities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5"/>
              </w:rPr>
              <w:t>27,011,971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41,838,886</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180"/>
              <w:spacing w:after="0"/>
              <w:rPr>
                <w:sz w:val="20"/>
                <w:szCs w:val="20"/>
                <w:color w:val="auto"/>
              </w:rPr>
            </w:pPr>
            <w:r>
              <w:rPr>
                <w:rFonts w:ascii="Arial" w:cs="Arial" w:eastAsia="Arial" w:hAnsi="Arial"/>
                <w:sz w:val="15"/>
                <w:szCs w:val="15"/>
                <w:color w:val="auto"/>
              </w:rPr>
              <w:t>Restricted cash</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(250,000)</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Purchases of equipment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(67,356)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(199,089)</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180"/>
              <w:spacing w:after="0"/>
              <w:rPr>
                <w:sz w:val="20"/>
                <w:szCs w:val="20"/>
                <w:color w:val="auto"/>
              </w:rPr>
            </w:pPr>
            <w:r>
              <w:rPr>
                <w:rFonts w:ascii="Arial" w:cs="Arial" w:eastAsia="Arial" w:hAnsi="Arial"/>
                <w:sz w:val="15"/>
                <w:szCs w:val="15"/>
                <w:color w:val="auto"/>
              </w:rPr>
              <w:t>Payments of patent costs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(190,547)</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(119,017)</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Net cash provided by investing activities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5"/>
              </w:rPr>
              <w:t>18,975,632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7,222,290</w:t>
            </w:r>
          </w:p>
        </w:tc>
        <w:tc>
          <w:tcPr>
            <w:tcW w:w="0" w:type="dxa"/>
            <w:vAlign w:val="bottom"/>
          </w:tcPr>
          <w:p>
            <w:pPr>
              <w:spacing w:after="0"/>
              <w:rPr>
                <w:sz w:val="1"/>
                <w:szCs w:val="1"/>
                <w:color w:val="auto"/>
              </w:rPr>
            </w:pPr>
          </w:p>
        </w:tc>
      </w:tr>
      <w:tr>
        <w:trPr>
          <w:trHeight w:val="364"/>
        </w:trPr>
        <w:tc>
          <w:tcPr>
            <w:tcW w:w="6100" w:type="dxa"/>
            <w:vAlign w:val="bottom"/>
            <w:gridSpan w:val="3"/>
          </w:tcPr>
          <w:p>
            <w:pPr>
              <w:ind w:left="260"/>
              <w:spacing w:after="0"/>
              <w:rPr>
                <w:sz w:val="20"/>
                <w:szCs w:val="20"/>
                <w:color w:val="auto"/>
              </w:rPr>
            </w:pPr>
            <w:r>
              <w:rPr>
                <w:rFonts w:ascii="Arial" w:cs="Arial" w:eastAsia="Arial" w:hAnsi="Arial"/>
                <w:sz w:val="15"/>
                <w:szCs w:val="15"/>
                <w:color w:val="auto"/>
              </w:rPr>
              <w:t>Cash flows from financing activities:</w:t>
            </w: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Proceeds from long-term debt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250,000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180"/>
              <w:spacing w:after="0"/>
              <w:rPr>
                <w:sz w:val="20"/>
                <w:szCs w:val="20"/>
                <w:color w:val="auto"/>
              </w:rPr>
            </w:pPr>
            <w:r>
              <w:rPr>
                <w:rFonts w:ascii="Arial" w:cs="Arial" w:eastAsia="Arial" w:hAnsi="Arial"/>
                <w:sz w:val="15"/>
                <w:szCs w:val="15"/>
                <w:color w:val="auto"/>
              </w:rPr>
              <w:t>Repayment of debt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(6,008)</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(93,398)</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Acquisition of treasury stock</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(30,859)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60" w:type="dxa"/>
            <w:vAlign w:val="bottom"/>
          </w:tcPr>
          <w:p>
            <w:pPr>
              <w:spacing w:after="0"/>
              <w:rPr>
                <w:sz w:val="24"/>
                <w:szCs w:val="24"/>
                <w:color w:val="auto"/>
              </w:rPr>
            </w:pPr>
          </w:p>
        </w:tc>
        <w:tc>
          <w:tcPr>
            <w:tcW w:w="5840" w:type="dxa"/>
            <w:vAlign w:val="bottom"/>
            <w:gridSpan w:val="2"/>
          </w:tcPr>
          <w:p>
            <w:pPr>
              <w:ind w:left="680"/>
              <w:spacing w:after="0"/>
              <w:rPr>
                <w:sz w:val="20"/>
                <w:szCs w:val="20"/>
                <w:color w:val="auto"/>
              </w:rPr>
            </w:pPr>
            <w:r>
              <w:rPr>
                <w:rFonts w:ascii="Arial" w:cs="Arial" w:eastAsia="Arial" w:hAnsi="Arial"/>
                <w:sz w:val="15"/>
                <w:szCs w:val="15"/>
                <w:color w:val="auto"/>
              </w:rPr>
              <w:t>Net cash provided by (used in) financing activities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213,133</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(93,398)</w:t>
            </w:r>
          </w:p>
        </w:tc>
        <w:tc>
          <w:tcPr>
            <w:tcW w:w="0" w:type="dxa"/>
            <w:vAlign w:val="bottom"/>
          </w:tcPr>
          <w:p>
            <w:pPr>
              <w:spacing w:after="0"/>
              <w:rPr>
                <w:sz w:val="1"/>
                <w:szCs w:val="1"/>
                <w:color w:val="auto"/>
              </w:rPr>
            </w:pPr>
          </w:p>
        </w:tc>
      </w:tr>
      <w:tr>
        <w:trPr>
          <w:trHeight w:val="185"/>
        </w:trPr>
        <w:tc>
          <w:tcPr>
            <w:tcW w:w="26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64,525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837,636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60" w:type="dxa"/>
            <w:vAlign w:val="bottom"/>
          </w:tcPr>
          <w:p>
            <w:pPr>
              <w:spacing w:after="0"/>
              <w:rPr>
                <w:sz w:val="24"/>
                <w:szCs w:val="24"/>
                <w:color w:val="auto"/>
              </w:rPr>
            </w:pPr>
          </w:p>
        </w:tc>
        <w:tc>
          <w:tcPr>
            <w:tcW w:w="5840" w:type="dxa"/>
            <w:vAlign w:val="bottom"/>
            <w:gridSpan w:val="2"/>
          </w:tcPr>
          <w:p>
            <w:pPr>
              <w:ind w:left="680"/>
              <w:spacing w:after="0"/>
              <w:rPr>
                <w:sz w:val="20"/>
                <w:szCs w:val="20"/>
                <w:color w:val="auto"/>
              </w:rPr>
            </w:pPr>
            <w:r>
              <w:rPr>
                <w:rFonts w:ascii="Arial" w:cs="Arial" w:eastAsia="Arial" w:hAnsi="Arial"/>
                <w:sz w:val="15"/>
                <w:szCs w:val="15"/>
                <w:color w:val="auto"/>
              </w:rPr>
              <w:t>Net increase (decrease) in cash and cash equivalents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5,266,027</w:t>
            </w:r>
          </w:p>
        </w:tc>
        <w:tc>
          <w:tcPr>
            <w:tcW w:w="3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(3,799,904)</w:t>
            </w:r>
          </w:p>
        </w:tc>
        <w:tc>
          <w:tcPr>
            <w:tcW w:w="0" w:type="dxa"/>
            <w:vAlign w:val="bottom"/>
          </w:tcPr>
          <w:p>
            <w:pPr>
              <w:spacing w:after="0"/>
              <w:rPr>
                <w:sz w:val="1"/>
                <w:szCs w:val="1"/>
                <w:color w:val="auto"/>
              </w:rPr>
            </w:pPr>
          </w:p>
        </w:tc>
      </w:tr>
      <w:tr>
        <w:trPr>
          <w:trHeight w:val="183"/>
        </w:trPr>
        <w:tc>
          <w:tcPr>
            <w:tcW w:w="26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 beginning of period</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4,236,597</w:t>
            </w:r>
          </w:p>
        </w:tc>
        <w:tc>
          <w:tcPr>
            <w:tcW w:w="34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12,267,830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6100" w:type="dxa"/>
            <w:vAlign w:val="bottom"/>
            <w:gridSpan w:val="3"/>
          </w:tcPr>
          <w:p>
            <w:pPr>
              <w:ind w:left="260"/>
              <w:spacing w:after="0"/>
              <w:rPr>
                <w:sz w:val="20"/>
                <w:szCs w:val="20"/>
                <w:color w:val="auto"/>
              </w:rPr>
            </w:pPr>
            <w:r>
              <w:rPr>
                <w:rFonts w:ascii="Arial" w:cs="Arial" w:eastAsia="Arial" w:hAnsi="Arial"/>
                <w:sz w:val="15"/>
                <w:szCs w:val="15"/>
                <w:color w:val="auto"/>
              </w:rPr>
              <w:t>Cash and cash equivalents, end of period</w:t>
            </w:r>
          </w:p>
        </w:tc>
        <w:tc>
          <w:tcPr>
            <w:tcW w:w="30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9,502,624</w:t>
            </w:r>
          </w:p>
        </w:tc>
        <w:tc>
          <w:tcPr>
            <w:tcW w:w="34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8,467,926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6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Supplemental disclosure of noncash investing and financing activities: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5840" w:type="dxa"/>
            <w:vAlign w:val="bottom"/>
            <w:gridSpan w:val="2"/>
          </w:tcPr>
          <w:p>
            <w:pPr>
              <w:ind w:left="180"/>
              <w:spacing w:after="0"/>
              <w:rPr>
                <w:sz w:val="20"/>
                <w:szCs w:val="20"/>
                <w:color w:val="auto"/>
              </w:rPr>
            </w:pPr>
            <w:r>
              <w:rPr>
                <w:rFonts w:ascii="Arial" w:cs="Arial" w:eastAsia="Arial" w:hAnsi="Arial"/>
                <w:sz w:val="15"/>
                <w:szCs w:val="15"/>
                <w:color w:val="auto"/>
              </w:rPr>
              <w:t>Capitalized patent costs financed through accounts payable and accrued espenses</w:t>
            </w:r>
          </w:p>
        </w:tc>
        <w:tc>
          <w:tcPr>
            <w:tcW w:w="30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6,429</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13,419</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5840" w:type="dxa"/>
            <w:vAlign w:val="bottom"/>
            <w:gridSpan w:val="2"/>
            <w:shd w:val="clear" w:color="auto" w:fill="CCEEFF"/>
          </w:tcPr>
          <w:p>
            <w:pPr>
              <w:ind w:left="180"/>
              <w:spacing w:after="0" w:line="171" w:lineRule="exact"/>
              <w:rPr>
                <w:sz w:val="20"/>
                <w:szCs w:val="20"/>
                <w:color w:val="auto"/>
              </w:rPr>
            </w:pPr>
            <w:r>
              <w:rPr>
                <w:rFonts w:ascii="Arial" w:cs="Arial" w:eastAsia="Arial" w:hAnsi="Arial"/>
                <w:sz w:val="15"/>
                <w:szCs w:val="15"/>
                <w:color w:val="auto"/>
              </w:rPr>
              <w:t>Capitalized purchases of equipment financed through accounts payable and accrued</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expenses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1,956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6,894</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See accompanying notes to consolidated financial statements (unaudited).</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Consolidated Statements of Stockholders’ Equity and</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Comprehensive Loss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Accumulated</w:t>
            </w: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40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Shares</w:t>
            </w:r>
          </w:p>
        </w:tc>
        <w:tc>
          <w:tcPr>
            <w:tcW w:w="120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92"/>
              </w:rPr>
              <w:t>Treasury Shares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Other</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Total Ocean Power</w:t>
            </w: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1200" w:type="dxa"/>
            <w:vAlign w:val="bottom"/>
            <w:gridSpan w:val="5"/>
            <w:vMerge w:val="continue"/>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Technologies, Inc,</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Noncontrolling</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7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5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92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Capital</w:t>
            </w:r>
          </w:p>
        </w:tc>
        <w:tc>
          <w:tcPr>
            <w:tcW w:w="96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Deficit</w:t>
            </w:r>
          </w:p>
        </w:tc>
        <w:tc>
          <w:tcPr>
            <w:tcW w:w="102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79"/>
              </w:rPr>
              <w:t>Loss</w:t>
            </w:r>
          </w:p>
        </w:tc>
        <w:tc>
          <w:tcPr>
            <w:tcW w:w="1240" w:type="dxa"/>
            <w:vAlign w:val="bottom"/>
            <w:gridSpan w:val="2"/>
          </w:tcPr>
          <w:p>
            <w:pPr>
              <w:jc w:val="center"/>
              <w:ind w:right="60"/>
              <w:spacing w:after="0" w:line="156" w:lineRule="exact"/>
              <w:rPr>
                <w:sz w:val="20"/>
                <w:szCs w:val="20"/>
                <w:color w:val="auto"/>
              </w:rPr>
            </w:pPr>
            <w:r>
              <w:rPr>
                <w:rFonts w:ascii="Arial" w:cs="Arial" w:eastAsia="Arial" w:hAnsi="Arial"/>
                <w:sz w:val="14"/>
                <w:szCs w:val="14"/>
                <w:b w:val="1"/>
                <w:bCs w:val="1"/>
                <w:color w:val="auto"/>
                <w:w w:val="87"/>
              </w:rPr>
              <w:t>Stockholders Equity</w:t>
            </w:r>
          </w:p>
        </w:tc>
        <w:tc>
          <w:tcPr>
            <w:tcW w:w="40" w:type="dxa"/>
            <w:vAlign w:val="bottom"/>
          </w:tcPr>
          <w:p>
            <w:pPr>
              <w:spacing w:after="0"/>
              <w:rPr>
                <w:sz w:val="14"/>
                <w:szCs w:val="14"/>
                <w:color w:val="auto"/>
              </w:rPr>
            </w:pPr>
          </w:p>
        </w:tc>
        <w:tc>
          <w:tcPr>
            <w:tcW w:w="96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Interest</w:t>
            </w:r>
          </w:p>
        </w:tc>
        <w:tc>
          <w:tcPr>
            <w:tcW w:w="840" w:type="dxa"/>
            <w:vAlign w:val="bottom"/>
            <w:gridSpan w:val="2"/>
          </w:tcPr>
          <w:p>
            <w:pPr>
              <w:jc w:val="right"/>
              <w:ind w:right="80"/>
              <w:spacing w:after="0" w:line="156" w:lineRule="exact"/>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05"/>
        </w:trPr>
        <w:tc>
          <w:tcPr>
            <w:tcW w:w="29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Balance, April 30, 2009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10,210,354</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88"/>
              </w:rPr>
              <w:t>$ 10,210</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154,568,931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(71,242,791)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(553,323)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82,783,027</w:t>
            </w:r>
          </w:p>
        </w:tc>
        <w:tc>
          <w:tcPr>
            <w:tcW w:w="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82,783,027</w:t>
            </w:r>
          </w:p>
        </w:tc>
        <w:tc>
          <w:tcPr>
            <w:tcW w:w="0" w:type="dxa"/>
            <w:vAlign w:val="bottom"/>
          </w:tcPr>
          <w:p>
            <w:pPr>
              <w:spacing w:after="0"/>
              <w:rPr>
                <w:sz w:val="1"/>
                <w:szCs w:val="1"/>
                <w:color w:val="auto"/>
              </w:rPr>
            </w:pPr>
          </w:p>
        </w:tc>
      </w:tr>
      <w:tr>
        <w:trPr>
          <w:trHeight w:val="294"/>
        </w:trPr>
        <w:tc>
          <w:tcPr>
            <w:tcW w:w="2940" w:type="dxa"/>
            <w:vAlign w:val="bottom"/>
          </w:tcPr>
          <w:p>
            <w:pPr>
              <w:spacing w:after="0"/>
              <w:rPr>
                <w:sz w:val="20"/>
                <w:szCs w:val="20"/>
                <w:color w:val="auto"/>
              </w:rPr>
            </w:pPr>
            <w:r>
              <w:rPr>
                <w:rFonts w:ascii="Arial" w:cs="Arial" w:eastAsia="Arial" w:hAnsi="Arial"/>
                <w:sz w:val="15"/>
                <w:szCs w:val="15"/>
                <w:color w:val="auto"/>
              </w:rPr>
              <w:t>Net loss</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5"/>
                <w:szCs w:val="15"/>
                <w:color w:val="auto"/>
              </w:rPr>
              <w:t>(12,939,744)</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(12,939,744)</w:t>
            </w:r>
          </w:p>
        </w:tc>
        <w:tc>
          <w:tcPr>
            <w:tcW w:w="1000" w:type="dxa"/>
            <w:vAlign w:val="bottom"/>
            <w:gridSpan w:val="3"/>
          </w:tcPr>
          <w:p>
            <w:pPr>
              <w:jc w:val="right"/>
              <w:ind w:right="100"/>
              <w:spacing w:after="0"/>
              <w:rPr>
                <w:sz w:val="20"/>
                <w:szCs w:val="20"/>
                <w:color w:val="auto"/>
              </w:rPr>
            </w:pPr>
            <w:r>
              <w:rPr>
                <w:rFonts w:ascii="Arial" w:cs="Arial" w:eastAsia="Arial" w:hAnsi="Arial"/>
                <w:sz w:val="15"/>
                <w:szCs w:val="15"/>
                <w:color w:val="auto"/>
              </w:rPr>
              <w:t>50,551</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w w:val="96"/>
              </w:rPr>
              <w:t>(12,889,193)</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292,180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292,180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1,699</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293,879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10"/>
        </w:trPr>
        <w:tc>
          <w:tcPr>
            <w:tcW w:w="2940" w:type="dxa"/>
            <w:vAlign w:val="bottom"/>
          </w:tcPr>
          <w:p>
            <w:pPr>
              <w:ind w:left="160"/>
              <w:spacing w:after="0"/>
              <w:rPr>
                <w:sz w:val="20"/>
                <w:szCs w:val="20"/>
                <w:color w:val="auto"/>
              </w:rPr>
            </w:pPr>
            <w:r>
              <w:rPr>
                <w:rFonts w:ascii="Arial" w:cs="Arial" w:eastAsia="Arial" w:hAnsi="Arial"/>
                <w:sz w:val="15"/>
                <w:szCs w:val="15"/>
                <w:color w:val="auto"/>
              </w:rPr>
              <w:t>Total comprehensive loss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(12,647,564)</w:t>
            </w:r>
          </w:p>
        </w:tc>
        <w:tc>
          <w:tcPr>
            <w:tcW w:w="1000" w:type="dxa"/>
            <w:vAlign w:val="bottom"/>
            <w:gridSpan w:val="3"/>
          </w:tcPr>
          <w:p>
            <w:pPr>
              <w:jc w:val="right"/>
              <w:ind w:right="100"/>
              <w:spacing w:after="0"/>
              <w:rPr>
                <w:sz w:val="20"/>
                <w:szCs w:val="20"/>
                <w:color w:val="auto"/>
              </w:rPr>
            </w:pPr>
            <w:r>
              <w:rPr>
                <w:rFonts w:ascii="Arial" w:cs="Arial" w:eastAsia="Arial" w:hAnsi="Arial"/>
                <w:sz w:val="15"/>
                <w:szCs w:val="15"/>
                <w:color w:val="auto"/>
              </w:rPr>
              <w:t>52,250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w w:val="96"/>
              </w:rPr>
              <w:t>(12,595,314)</w:t>
            </w:r>
          </w:p>
        </w:tc>
        <w:tc>
          <w:tcPr>
            <w:tcW w:w="0" w:type="dxa"/>
            <w:vAlign w:val="bottom"/>
          </w:tcPr>
          <w:p>
            <w:pPr>
              <w:spacing w:after="0"/>
              <w:rPr>
                <w:sz w:val="1"/>
                <w:szCs w:val="1"/>
                <w:color w:val="auto"/>
              </w:rPr>
            </w:pPr>
          </w:p>
        </w:tc>
      </w:tr>
      <w:tr>
        <w:trPr>
          <w:trHeight w:val="115"/>
        </w:trPr>
        <w:tc>
          <w:tcPr>
            <w:tcW w:w="2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9"/>
              </w:rPr>
              <w:t>Compensation related to stock option grants</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and restricted stock</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872,109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872,109</w:t>
            </w:r>
          </w:p>
        </w:tc>
        <w:tc>
          <w:tcPr>
            <w:tcW w:w="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872,109</w:t>
            </w:r>
          </w:p>
        </w:tc>
        <w:tc>
          <w:tcPr>
            <w:tcW w:w="0" w:type="dxa"/>
            <w:vAlign w:val="bottom"/>
          </w:tcPr>
          <w:p>
            <w:pPr>
              <w:spacing w:after="0"/>
              <w:rPr>
                <w:sz w:val="1"/>
                <w:szCs w:val="1"/>
                <w:color w:val="auto"/>
              </w:rPr>
            </w:pPr>
          </w:p>
        </w:tc>
      </w:tr>
      <w:tr>
        <w:trPr>
          <w:trHeight w:val="294"/>
        </w:trPr>
        <w:tc>
          <w:tcPr>
            <w:tcW w:w="2940" w:type="dxa"/>
            <w:vAlign w:val="bottom"/>
          </w:tcPr>
          <w:p>
            <w:pPr>
              <w:spacing w:after="0"/>
              <w:rPr>
                <w:sz w:val="20"/>
                <w:szCs w:val="20"/>
                <w:color w:val="auto"/>
              </w:rPr>
            </w:pPr>
            <w:r>
              <w:rPr>
                <w:rFonts w:ascii="Arial" w:cs="Arial" w:eastAsia="Arial" w:hAnsi="Arial"/>
                <w:sz w:val="15"/>
                <w:szCs w:val="15"/>
                <w:color w:val="auto"/>
                <w:w w:val="90"/>
              </w:rPr>
              <w:t>Issuance of vested and unvested restricted stock</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180,209</w:t>
            </w:r>
          </w:p>
        </w:tc>
        <w:tc>
          <w:tcPr>
            <w:tcW w:w="620" w:type="dxa"/>
            <w:vAlign w:val="bottom"/>
            <w:gridSpan w:val="3"/>
          </w:tcPr>
          <w:p>
            <w:pPr>
              <w:jc w:val="right"/>
              <w:ind w:right="80"/>
              <w:spacing w:after="0"/>
              <w:rPr>
                <w:sz w:val="20"/>
                <w:szCs w:val="20"/>
                <w:color w:val="auto"/>
              </w:rPr>
            </w:pPr>
            <w:r>
              <w:rPr>
                <w:rFonts w:ascii="Arial" w:cs="Arial" w:eastAsia="Arial" w:hAnsi="Arial"/>
                <w:sz w:val="15"/>
                <w:szCs w:val="15"/>
                <w:color w:val="auto"/>
              </w:rPr>
              <w:t>181</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39,806</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39,987</w:t>
            </w:r>
          </w:p>
        </w:tc>
        <w:tc>
          <w:tcPr>
            <w:tcW w:w="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39,987</w:t>
            </w: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Balance, January 31, 2010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10,390,563</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10,391</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155,480,846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(84,182,535)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(261,143)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71,047,559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52,250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71,099,809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940" w:type="dxa"/>
            <w:vAlign w:val="bottom"/>
          </w:tcPr>
          <w:p>
            <w:pPr>
              <w:spacing w:after="0"/>
              <w:rPr>
                <w:sz w:val="20"/>
                <w:szCs w:val="20"/>
                <w:color w:val="auto"/>
              </w:rPr>
            </w:pPr>
            <w:r>
              <w:rPr>
                <w:rFonts w:ascii="Arial" w:cs="Arial" w:eastAsia="Arial" w:hAnsi="Arial"/>
                <w:sz w:val="15"/>
                <w:szCs w:val="15"/>
                <w:color w:val="auto"/>
              </w:rPr>
              <w:t>Balance, April 30, 2010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93"/>
              </w:rPr>
              <w:t>10,390,563</w:t>
            </w:r>
          </w:p>
        </w:tc>
        <w:tc>
          <w:tcPr>
            <w:tcW w:w="620" w:type="dxa"/>
            <w:vAlign w:val="bottom"/>
            <w:gridSpan w:val="3"/>
          </w:tcPr>
          <w:p>
            <w:pPr>
              <w:jc w:val="right"/>
              <w:ind w:right="80"/>
              <w:spacing w:after="0"/>
              <w:rPr>
                <w:sz w:val="20"/>
                <w:szCs w:val="20"/>
                <w:color w:val="auto"/>
              </w:rPr>
            </w:pPr>
            <w:r>
              <w:rPr>
                <w:rFonts w:ascii="Arial" w:cs="Arial" w:eastAsia="Arial" w:hAnsi="Arial"/>
                <w:sz w:val="15"/>
                <w:szCs w:val="15"/>
                <w:color w:val="auto"/>
                <w:w w:val="88"/>
              </w:rPr>
              <w:t>$ 10,391</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(1,072)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(6,443)</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155,726,672</w:t>
            </w:r>
          </w:p>
        </w:tc>
        <w:tc>
          <w:tcPr>
            <w:tcW w:w="960" w:type="dxa"/>
            <w:vAlign w:val="bottom"/>
            <w:gridSpan w:val="2"/>
          </w:tcPr>
          <w:p>
            <w:pPr>
              <w:jc w:val="right"/>
              <w:ind w:right="60"/>
              <w:spacing w:after="0"/>
              <w:rPr>
                <w:sz w:val="20"/>
                <w:szCs w:val="20"/>
                <w:color w:val="auto"/>
              </w:rPr>
            </w:pPr>
            <w:r>
              <w:rPr>
                <w:rFonts w:ascii="Arial" w:cs="Arial" w:eastAsia="Arial" w:hAnsi="Arial"/>
                <w:sz w:val="15"/>
                <w:szCs w:val="15"/>
                <w:color w:val="auto"/>
              </w:rPr>
              <w:t>(90,413,098)</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(503,322)</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64,814,200</w:t>
            </w:r>
          </w:p>
        </w:tc>
        <w:tc>
          <w:tcPr>
            <w:tcW w:w="1000" w:type="dxa"/>
            <w:vAlign w:val="bottom"/>
            <w:gridSpan w:val="3"/>
          </w:tcPr>
          <w:p>
            <w:pPr>
              <w:jc w:val="right"/>
              <w:ind w:right="100"/>
              <w:spacing w:after="0"/>
              <w:rPr>
                <w:sz w:val="20"/>
                <w:szCs w:val="20"/>
                <w:color w:val="auto"/>
              </w:rPr>
            </w:pPr>
            <w:r>
              <w:rPr>
                <w:rFonts w:ascii="Arial" w:cs="Arial" w:eastAsia="Arial" w:hAnsi="Arial"/>
                <w:sz w:val="15"/>
                <w:szCs w:val="15"/>
                <w:color w:val="auto"/>
              </w:rPr>
              <w:t>40,890</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64,855,090</w:t>
            </w:r>
          </w:p>
        </w:tc>
        <w:tc>
          <w:tcPr>
            <w:tcW w:w="0" w:type="dxa"/>
            <w:vAlign w:val="bottom"/>
          </w:tcPr>
          <w:p>
            <w:pPr>
              <w:spacing w:after="0"/>
              <w:rPr>
                <w:sz w:val="1"/>
                <w:szCs w:val="1"/>
                <w:color w:val="auto"/>
              </w:rPr>
            </w:pPr>
          </w:p>
        </w:tc>
      </w:tr>
      <w:tr>
        <w:trPr>
          <w:trHeight w:val="115"/>
        </w:trPr>
        <w:tc>
          <w:tcPr>
            <w:tcW w:w="2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(15,128,603)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(15,128,603)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(14,792)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6"/>
              </w:rPr>
              <w:t>(15,143,395)</w:t>
            </w:r>
          </w:p>
        </w:tc>
        <w:tc>
          <w:tcPr>
            <w:tcW w:w="0" w:type="dxa"/>
            <w:vAlign w:val="bottom"/>
          </w:tcPr>
          <w:p>
            <w:pPr>
              <w:spacing w:after="0"/>
              <w:rPr>
                <w:sz w:val="1"/>
                <w:szCs w:val="1"/>
                <w:color w:val="auto"/>
              </w:rPr>
            </w:pPr>
          </w:p>
        </w:tc>
      </w:tr>
      <w:tr>
        <w:trPr>
          <w:trHeight w:val="184"/>
        </w:trPr>
        <w:tc>
          <w:tcPr>
            <w:tcW w:w="2940" w:type="dxa"/>
            <w:vAlign w:val="bottom"/>
          </w:tcPr>
          <w:p>
            <w:pPr>
              <w:spacing w:after="0"/>
              <w:rPr>
                <w:sz w:val="20"/>
                <w:szCs w:val="20"/>
                <w:color w:val="auto"/>
              </w:rPr>
            </w:pPr>
            <w:r>
              <w:rPr>
                <w:rFonts w:ascii="Arial" w:cs="Arial" w:eastAsia="Arial" w:hAnsi="Arial"/>
                <w:sz w:val="15"/>
                <w:szCs w:val="15"/>
                <w:color w:val="auto"/>
              </w:rPr>
              <w:t>Foreign currency translation adjustment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300,586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300,586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1,990</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302,576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comprehensive loss</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(14,828,017)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(12,802)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6"/>
              </w:rPr>
              <w:t>(14,840,819)</w:t>
            </w:r>
          </w:p>
        </w:tc>
        <w:tc>
          <w:tcPr>
            <w:tcW w:w="0" w:type="dxa"/>
            <w:vAlign w:val="bottom"/>
          </w:tcPr>
          <w:p>
            <w:pPr>
              <w:spacing w:after="0"/>
              <w:rPr>
                <w:sz w:val="1"/>
                <w:szCs w:val="1"/>
                <w:color w:val="auto"/>
              </w:rPr>
            </w:pPr>
          </w:p>
        </w:tc>
      </w:tr>
      <w:tr>
        <w:trPr>
          <w:trHeight w:val="284"/>
        </w:trPr>
        <w:tc>
          <w:tcPr>
            <w:tcW w:w="2940" w:type="dxa"/>
            <w:vAlign w:val="bottom"/>
          </w:tcPr>
          <w:p>
            <w:pPr>
              <w:spacing w:after="0"/>
              <w:rPr>
                <w:sz w:val="20"/>
                <w:szCs w:val="20"/>
                <w:color w:val="auto"/>
              </w:rPr>
            </w:pPr>
            <w:r>
              <w:rPr>
                <w:rFonts w:ascii="Arial" w:cs="Arial" w:eastAsia="Arial" w:hAnsi="Arial"/>
                <w:sz w:val="15"/>
                <w:szCs w:val="15"/>
                <w:color w:val="auto"/>
                <w:w w:val="99"/>
              </w:rPr>
              <w:t>Compensation related to stock option grants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940" w:type="dxa"/>
            <w:vAlign w:val="bottom"/>
          </w:tcPr>
          <w:p>
            <w:pPr>
              <w:ind w:left="160"/>
              <w:spacing w:after="0"/>
              <w:rPr>
                <w:sz w:val="20"/>
                <w:szCs w:val="20"/>
                <w:color w:val="auto"/>
              </w:rPr>
            </w:pPr>
            <w:r>
              <w:rPr>
                <w:rFonts w:ascii="Arial" w:cs="Arial" w:eastAsia="Arial" w:hAnsi="Arial"/>
                <w:sz w:val="15"/>
                <w:szCs w:val="15"/>
                <w:color w:val="auto"/>
              </w:rPr>
              <w:t>and restricted stock</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953,738</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953,738</w:t>
            </w:r>
          </w:p>
        </w:tc>
        <w:tc>
          <w:tcPr>
            <w:tcW w:w="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953,738</w:t>
            </w:r>
          </w:p>
        </w:tc>
        <w:tc>
          <w:tcPr>
            <w:tcW w:w="0" w:type="dxa"/>
            <w:vAlign w:val="bottom"/>
          </w:tcPr>
          <w:p>
            <w:pPr>
              <w:spacing w:after="0"/>
              <w:rPr>
                <w:sz w:val="1"/>
                <w:szCs w:val="1"/>
                <w:color w:val="auto"/>
              </w:rPr>
            </w:pPr>
          </w:p>
        </w:tc>
      </w:tr>
      <w:tr>
        <w:trPr>
          <w:trHeight w:val="115"/>
        </w:trPr>
        <w:tc>
          <w:tcPr>
            <w:tcW w:w="2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w w:val="90"/>
              </w:rPr>
              <w:t>Issuance of vested and unvested restricted stock</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28,620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4"/>
        </w:trPr>
        <w:tc>
          <w:tcPr>
            <w:tcW w:w="2940" w:type="dxa"/>
            <w:vAlign w:val="bottom"/>
          </w:tcPr>
          <w:p>
            <w:pPr>
              <w:spacing w:after="0"/>
              <w:rPr>
                <w:sz w:val="20"/>
                <w:szCs w:val="20"/>
                <w:color w:val="auto"/>
              </w:rPr>
            </w:pPr>
            <w:r>
              <w:rPr>
                <w:rFonts w:ascii="Arial" w:cs="Arial" w:eastAsia="Arial" w:hAnsi="Arial"/>
                <w:sz w:val="15"/>
                <w:szCs w:val="15"/>
                <w:color w:val="auto"/>
              </w:rPr>
              <w:t>Acquisition of treasury stock</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(5,601)</w:t>
            </w:r>
          </w:p>
        </w:tc>
        <w:tc>
          <w:tcPr>
            <w:tcW w:w="8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(30,859)</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(30,859)</w:t>
            </w:r>
          </w:p>
        </w:tc>
        <w:tc>
          <w:tcPr>
            <w:tcW w:w="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(30,859)</w:t>
            </w: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Balance, January 31, 2011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10,419,183</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10,419</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9"/>
              </w:rPr>
              <w:t xml:space="preserve">(6,673) </w:t>
            </w:r>
            <w:r>
              <w:rPr>
                <w:rFonts w:ascii="Arial" w:cs="Arial" w:eastAsia="Arial" w:hAnsi="Arial"/>
                <w:sz w:val="15"/>
                <w:szCs w:val="15"/>
                <w:u w:val="single" w:color="auto"/>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(37,302)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156,680,382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4"/>
              </w:rPr>
              <w:t>(105,541,701)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(202,736)</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50,909,062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28,088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50,937,150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See accompanying notes to consolidated financial statements (unaudited).</w:t>
      </w: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520"/>
          </w:cols>
          <w:pgMar w:left="240" w:top="375" w:right="13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168"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2"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(Unaudited)</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(1) Background and Basis of Presentation</w:t>
      </w:r>
    </w:p>
    <w:p>
      <w:pPr>
        <w:spacing w:after="0" w:line="161" w:lineRule="exact"/>
        <w:rPr>
          <w:sz w:val="20"/>
          <w:szCs w:val="20"/>
          <w:color w:val="auto"/>
        </w:rPr>
      </w:pPr>
    </w:p>
    <w:p>
      <w:pPr>
        <w:ind w:left="260" w:right="1799"/>
        <w:spacing w:after="0" w:line="261" w:lineRule="auto"/>
        <w:rPr>
          <w:sz w:val="20"/>
          <w:szCs w:val="20"/>
          <w:color w:val="auto"/>
        </w:rPr>
      </w:pPr>
      <w:r>
        <w:rPr>
          <w:rFonts w:ascii="Arial" w:cs="Arial" w:eastAsia="Arial" w:hAnsi="Arial"/>
          <w:sz w:val="15"/>
          <w:szCs w:val="15"/>
          <w:color w:val="auto"/>
        </w:rPr>
        <w:t>Ocean Power Technologies, Inc. (the Company) was incorporated on April 19, 1984 in New Jersey, commenced commercial operations in 1994 and re-incorporated in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135" w:lineRule="exact"/>
        <w:rPr>
          <w:sz w:val="20"/>
          <w:szCs w:val="20"/>
          <w:color w:val="auto"/>
        </w:rPr>
      </w:pPr>
    </w:p>
    <w:p>
      <w:pPr>
        <w:ind w:left="260" w:right="1819"/>
        <w:spacing w:after="0" w:line="276"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2010 filed with the Securities and Exchange Commission (SEC) and elsewhere in this Form 10-Q.</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Consolidation</w:t>
      </w:r>
    </w:p>
    <w:p>
      <w:pPr>
        <w:spacing w:after="0" w:line="157" w:lineRule="exact"/>
        <w:rPr>
          <w:sz w:val="20"/>
          <w:szCs w:val="20"/>
          <w:color w:val="auto"/>
        </w:rPr>
      </w:pPr>
    </w:p>
    <w:p>
      <w:pPr>
        <w:ind w:left="260" w:right="1799"/>
        <w:spacing w:after="0" w:line="256" w:lineRule="auto"/>
        <w:rPr>
          <w:sz w:val="20"/>
          <w:szCs w:val="20"/>
          <w:color w:val="auto"/>
        </w:rPr>
      </w:pPr>
      <w:r>
        <w:rPr>
          <w:rFonts w:ascii="Arial" w:cs="Arial" w:eastAsia="Arial" w:hAnsi="Arial"/>
          <w:sz w:val="15"/>
          <w:szCs w:val="15"/>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January 31, 2011, there was one noncontrolling interest, consisting of 11.8% of the Company’s Australian subsidiary, Ocean Power Technologies (Australasia) Pty. Ltd.</w:t>
      </w:r>
    </w:p>
    <w:p>
      <w:pPr>
        <w:spacing w:after="0" w:line="142" w:lineRule="exact"/>
        <w:rPr>
          <w:sz w:val="20"/>
          <w:szCs w:val="20"/>
          <w:color w:val="auto"/>
        </w:rPr>
      </w:pPr>
    </w:p>
    <w:p>
      <w:pPr>
        <w:ind w:left="260" w:right="1879"/>
        <w:spacing w:after="0" w:line="324" w:lineRule="auto"/>
        <w:rPr>
          <w:sz w:val="20"/>
          <w:szCs w:val="20"/>
          <w:color w:val="auto"/>
        </w:rPr>
      </w:pPr>
      <w:r>
        <w:rPr>
          <w:rFonts w:ascii="Arial" w:cs="Arial" w:eastAsia="Arial" w:hAnsi="Arial"/>
          <w:sz w:val="13"/>
          <w:szCs w:val="13"/>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January 31, 2011, there were no such entities.</w:t>
      </w:r>
    </w:p>
    <w:p>
      <w:pPr>
        <w:spacing w:after="0" w:line="87" w:lineRule="exact"/>
        <w:rPr>
          <w:sz w:val="20"/>
          <w:szCs w:val="20"/>
          <w:color w:val="auto"/>
        </w:rPr>
      </w:pPr>
    </w:p>
    <w:p>
      <w:pPr>
        <w:ind w:left="260" w:right="1919"/>
        <w:spacing w:after="0" w:line="261" w:lineRule="auto"/>
        <w:rPr>
          <w:sz w:val="20"/>
          <w:szCs w:val="20"/>
          <w:color w:val="auto"/>
        </w:rPr>
      </w:pPr>
      <w:r>
        <w:rPr>
          <w:rFonts w:ascii="Arial" w:cs="Arial" w:eastAsia="Arial" w:hAnsi="Arial"/>
          <w:sz w:val="15"/>
          <w:szCs w:val="15"/>
          <w:color w:val="auto"/>
        </w:rPr>
        <w:t>The Company has a 10% investment in Iberdrola Energias Renovables, S.A. (Iberdrola Energias). Revenues from Iberdrola Energias for the nine months ended January 31, 2011 and 2010 were $(240,000) and $181,000, respectively. Additionally, accounts receivable from Iberdrola Energias aggregated $313,000 and $556,000 as of January 31, 2011 and April 30, 2010, respectively. See Note 2 (a) and Note 9.</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68" w:lineRule="exact"/>
        <w:rPr>
          <w:sz w:val="20"/>
          <w:szCs w:val="20"/>
          <w:color w:val="auto"/>
        </w:rPr>
      </w:pPr>
    </w:p>
    <w:p>
      <w:pPr>
        <w:ind w:left="260" w:right="1779"/>
        <w:spacing w:after="0" w:line="277" w:lineRule="auto"/>
        <w:rPr>
          <w:sz w:val="20"/>
          <w:szCs w:val="20"/>
          <w:color w:val="auto"/>
        </w:rPr>
      </w:pPr>
      <w:r>
        <w:rPr>
          <w:rFonts w:ascii="Arial" w:cs="Arial" w:eastAsia="Arial" w:hAnsi="Arial"/>
          <w:sz w:val="14"/>
          <w:szCs w:val="14"/>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200" w:lineRule="exact"/>
        <w:rPr>
          <w:sz w:val="20"/>
          <w:szCs w:val="20"/>
          <w:color w:val="auto"/>
        </w:rPr>
      </w:pPr>
    </w:p>
    <w:p>
      <w:pPr>
        <w:spacing w:after="0" w:line="246"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53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2" w:lineRule="exact"/>
        <w:rPr>
          <w:sz w:val="20"/>
          <w:szCs w:val="20"/>
          <w:color w:val="auto"/>
        </w:rPr>
      </w:pPr>
    </w:p>
    <w:p>
      <w:pPr>
        <w:jc w:val="center"/>
        <w:ind w:right="15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jc w:val="center"/>
        <w:ind w:right="1539"/>
        <w:spacing w:after="0"/>
        <w:rPr>
          <w:sz w:val="20"/>
          <w:szCs w:val="20"/>
          <w:color w:val="auto"/>
        </w:rPr>
      </w:pPr>
      <w:r>
        <w:rPr>
          <w:rFonts w:ascii="Arial" w:cs="Arial" w:eastAsia="Arial" w:hAnsi="Arial"/>
          <w:sz w:val="15"/>
          <w:szCs w:val="15"/>
          <w:b w:val="1"/>
          <w:bCs w:val="1"/>
          <w:color w:val="auto"/>
        </w:rPr>
        <w:t>(Unaudited)</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(a) Revenue Recognition</w:t>
      </w:r>
    </w:p>
    <w:p>
      <w:pPr>
        <w:spacing w:after="0" w:line="157" w:lineRule="exact"/>
        <w:rPr>
          <w:sz w:val="20"/>
          <w:szCs w:val="20"/>
          <w:color w:val="auto"/>
        </w:rPr>
      </w:pPr>
    </w:p>
    <w:p>
      <w:pPr>
        <w:ind w:left="260" w:right="1799"/>
        <w:spacing w:after="0" w:line="275" w:lineRule="auto"/>
        <w:rPr>
          <w:sz w:val="20"/>
          <w:szCs w:val="20"/>
          <w:color w:val="auto"/>
        </w:rPr>
      </w:pPr>
      <w:r>
        <w:rPr>
          <w:rFonts w:ascii="Arial" w:cs="Arial" w:eastAsia="Arial" w:hAnsi="Arial"/>
          <w:sz w:val="14"/>
          <w:szCs w:val="14"/>
          <w:color w:val="auto"/>
        </w:rPr>
        <w:t>The Company primarily recognizes revenue under the percentage-of-completion method. The percentage of completion is determined by relating the costs incurred to date to the estimated total costs. The cumulative effects resulting from revisions of estimated total contract costs and revenues are recorded in the period in which the facts requiring revision become known. Upon anticipating a loss on a contract, the Company recognizes the full amount of the anticipated loss in the current period. Accruals related to losses on contracts in the amount of approximately $785,000 are included in accrued expenses in the accompanying consolidated balance sheets as of January 31, 2011 and April 30, 2010. Modifications to contract provisions, such as those currently being discussed in connection with the Company’s Spain construction agreement (see Note 9), as well as modifications in contract loss estimates, may require changes in accruals established for anticipated contract losses. During the nine months ended January 31, 2011, the Company’s revenue was reduced by approximately $240,000 due to a change in estimated revenue to be recognized in connection with the Spain construction agreement.</w:t>
      </w:r>
    </w:p>
    <w:p>
      <w:pPr>
        <w:spacing w:after="0" w:line="129" w:lineRule="exact"/>
        <w:rPr>
          <w:sz w:val="20"/>
          <w:szCs w:val="20"/>
          <w:color w:val="auto"/>
        </w:rPr>
      </w:pPr>
    </w:p>
    <w:p>
      <w:pPr>
        <w:ind w:left="260" w:right="1999"/>
        <w:spacing w:after="0" w:line="292" w:lineRule="auto"/>
        <w:rPr>
          <w:sz w:val="20"/>
          <w:szCs w:val="20"/>
          <w:color w:val="auto"/>
        </w:rPr>
      </w:pPr>
      <w:r>
        <w:rPr>
          <w:rFonts w:ascii="Arial" w:cs="Arial" w:eastAsia="Arial" w:hAnsi="Arial"/>
          <w:sz w:val="14"/>
          <w:szCs w:val="14"/>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exceed costs incurred plus applicable profit margin, they are recorded as unearned revenues.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(b) Cash and Cash Equivalents</w:t>
      </w:r>
    </w:p>
    <w:p>
      <w:pPr>
        <w:spacing w:after="0" w:line="157" w:lineRule="exact"/>
        <w:rPr>
          <w:sz w:val="20"/>
          <w:szCs w:val="20"/>
          <w:color w:val="auto"/>
        </w:rPr>
      </w:pPr>
    </w:p>
    <w:p>
      <w:pPr>
        <w:jc w:val="both"/>
        <w:ind w:left="260" w:right="1799"/>
        <w:spacing w:after="0" w:line="261" w:lineRule="auto"/>
        <w:rPr>
          <w:sz w:val="20"/>
          <w:szCs w:val="20"/>
          <w:color w:val="auto"/>
        </w:rPr>
      </w:pPr>
      <w:r>
        <w:rPr>
          <w:rFonts w:ascii="Arial" w:cs="Arial" w:eastAsia="Arial" w:hAnsi="Arial"/>
          <w:sz w:val="15"/>
          <w:szCs w:val="15"/>
          <w:color w:val="auto"/>
        </w:rPr>
        <w:t>Cash equivalents consist of investments in short-term financial instruments with initial maturities of three months or less from the date of purchase. Cash and cash equivalents include the following: $4,471,000 and $1,590,000 of certificates of deposit with an initial term of less than three months at January 31, 2011 and April 30, 2010, respectively and $3,238,000 and $192,000 invested in money market funds as of January 31, 2011 and April 30, 2010, respectively.</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(c) Restricted Cash and Credit Facility</w:t>
      </w:r>
    </w:p>
    <w:p>
      <w:pPr>
        <w:spacing w:after="0" w:line="157" w:lineRule="exact"/>
        <w:rPr>
          <w:sz w:val="20"/>
          <w:szCs w:val="20"/>
          <w:color w:val="auto"/>
        </w:rPr>
      </w:pPr>
    </w:p>
    <w:p>
      <w:pPr>
        <w:ind w:left="260" w:right="1939"/>
        <w:spacing w:after="0" w:line="277" w:lineRule="auto"/>
        <w:rPr>
          <w:sz w:val="20"/>
          <w:szCs w:val="20"/>
          <w:color w:val="auto"/>
        </w:rPr>
      </w:pPr>
      <w:r>
        <w:rPr>
          <w:rFonts w:ascii="Arial" w:cs="Arial" w:eastAsia="Arial" w:hAnsi="Arial"/>
          <w:sz w:val="15"/>
          <w:szCs w:val="15"/>
          <w:color w:val="auto"/>
        </w:rPr>
        <w:t>The Company had $1,480,136 and $1,205,288 of restricted cash as of January 31, 2011 and April 30, 2010, respectively. The cash is restricted under the terms of two security agreements.</w:t>
      </w:r>
    </w:p>
    <w:p>
      <w:pPr>
        <w:spacing w:after="0" w:line="112" w:lineRule="exact"/>
        <w:rPr>
          <w:sz w:val="20"/>
          <w:szCs w:val="20"/>
          <w:color w:val="auto"/>
        </w:rPr>
      </w:pPr>
    </w:p>
    <w:p>
      <w:pPr>
        <w:ind w:left="260" w:right="1899"/>
        <w:spacing w:after="0" w:line="277" w:lineRule="auto"/>
        <w:rPr>
          <w:sz w:val="20"/>
          <w:szCs w:val="20"/>
          <w:color w:val="auto"/>
        </w:rPr>
      </w:pPr>
      <w:r>
        <w:rPr>
          <w:rFonts w:ascii="Arial" w:cs="Arial" w:eastAsia="Arial" w:hAnsi="Arial"/>
          <w:sz w:val="14"/>
          <w:szCs w:val="14"/>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wholly-owned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As of January 31, 2011 there were €266,000 in letters of credit outstanding under this agreement. The credit facility does not have an expiration date, but is cancelable at the discretion of the bank. As of January 31, 2011, approximately €720,000 is included in restricted cash.</w:t>
      </w:r>
    </w:p>
    <w:p>
      <w:pPr>
        <w:spacing w:after="0" w:line="129" w:lineRule="exact"/>
        <w:rPr>
          <w:sz w:val="20"/>
          <w:szCs w:val="20"/>
          <w:color w:val="auto"/>
        </w:rPr>
      </w:pPr>
    </w:p>
    <w:p>
      <w:pPr>
        <w:ind w:left="260" w:right="1879"/>
        <w:spacing w:after="0" w:line="285" w:lineRule="auto"/>
        <w:rPr>
          <w:sz w:val="20"/>
          <w:szCs w:val="20"/>
          <w:color w:val="auto"/>
        </w:rPr>
      </w:pPr>
      <w:r>
        <w:rPr>
          <w:rFonts w:ascii="Arial" w:cs="Arial" w:eastAsia="Arial" w:hAnsi="Arial"/>
          <w:sz w:val="14"/>
          <w:szCs w:val="14"/>
          <w:color w:val="auto"/>
        </w:rPr>
        <w:t>The other agreement is between Ocean Power Technologies, Inc. and the New Jersey Board of Public Utilities (NJBPU). The Company received a $500,000 recoverable grant award from the NJBPU. Under this agreement, the Company is required to assign to the NJBPU a certificate of deposit in an amount equal to the outstanding grant balance. The Company has assigned certificates of deposit in the amount of $500,000 to the NJBPU, which are outstanding as of January 31, 2011. See Note 6.</w:t>
      </w:r>
    </w:p>
    <w:p>
      <w:pPr>
        <w:spacing w:after="0" w:line="200" w:lineRule="exact"/>
        <w:rPr>
          <w:sz w:val="20"/>
          <w:szCs w:val="20"/>
          <w:color w:val="auto"/>
        </w:rPr>
      </w:pPr>
    </w:p>
    <w:p>
      <w:pPr>
        <w:spacing w:after="0" w:line="238"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2"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(Unaudited)</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 Other Income</w:t>
      </w:r>
    </w:p>
    <w:p>
      <w:pPr>
        <w:spacing w:after="0" w:line="157" w:lineRule="exact"/>
        <w:rPr>
          <w:sz w:val="20"/>
          <w:szCs w:val="20"/>
          <w:color w:val="auto"/>
        </w:rPr>
      </w:pPr>
    </w:p>
    <w:p>
      <w:pPr>
        <w:ind w:left="260" w:right="1839"/>
        <w:spacing w:after="0" w:line="261" w:lineRule="auto"/>
        <w:rPr>
          <w:sz w:val="20"/>
          <w:szCs w:val="20"/>
          <w:color w:val="auto"/>
        </w:rPr>
      </w:pPr>
      <w:r>
        <w:rPr>
          <w:rFonts w:ascii="Arial" w:cs="Arial" w:eastAsia="Arial" w:hAnsi="Arial"/>
          <w:sz w:val="15"/>
          <w:szCs w:val="15"/>
          <w:color w:val="auto"/>
        </w:rPr>
        <w:t>Other income consists of transactions that the Company considers to be outside the normal scope of its operations and operating activities. The Company recognized other income of $17,668 and $549,258 during the three and nine months ended January 31, 2010, respectively, primarily in connection with the settlement of a claim that it had against a supplier that provided engineering services to the Company.</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(e) Foreign Exchange Gains and Losses</w:t>
      </w:r>
    </w:p>
    <w:p>
      <w:pPr>
        <w:spacing w:after="0" w:line="168" w:lineRule="exact"/>
        <w:rPr>
          <w:sz w:val="20"/>
          <w:szCs w:val="20"/>
          <w:color w:val="auto"/>
        </w:rPr>
      </w:pPr>
    </w:p>
    <w:p>
      <w:pPr>
        <w:ind w:left="260" w:right="1899"/>
        <w:spacing w:after="0" w:line="256" w:lineRule="auto"/>
        <w:rPr>
          <w:sz w:val="20"/>
          <w:szCs w:val="20"/>
          <w:color w:val="auto"/>
        </w:rPr>
      </w:pPr>
      <w:r>
        <w:rPr>
          <w:rFonts w:ascii="Arial" w:cs="Arial" w:eastAsia="Arial" w:hAnsi="Arial"/>
          <w:sz w:val="15"/>
          <w:szCs w:val="15"/>
          <w:color w:val="auto"/>
        </w:rPr>
        <w:t>The Company has invested in certain certificates of deposit and has maintained cash accounts that are denominated in British pounds sterling, Euros and Australian dollars. Such certificates of deposit and cash accounts had a balance of approximately $6,806,000 and $4,131,000 as of January 31, 2011 and April 30, 2010, respectively. These amounts are included in cash, cash equivalents, restricted cash and marketable securities on the accompanying balance sheets. Such positions may result in realized and unrealized foreign exchange gains or losses from exchange rate fluctuations, which are included in foreign exchange (loss) gain in the accompanying consolidated statements of operations. Foreign exchange (loss) gain was $(38,014) and $172,128 for the three months ended January 31, 2011 and 2010, respectively, and $(205,824) and $674,517 for the nine months ended January 31, 2011 and 2010, respectively.</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(f) Long-Lived Assets</w:t>
      </w:r>
    </w:p>
    <w:p>
      <w:pPr>
        <w:spacing w:after="0" w:line="157" w:lineRule="exact"/>
        <w:rPr>
          <w:sz w:val="20"/>
          <w:szCs w:val="20"/>
          <w:color w:val="auto"/>
        </w:rPr>
      </w:pPr>
    </w:p>
    <w:p>
      <w:pPr>
        <w:ind w:left="260" w:right="1799"/>
        <w:spacing w:after="0" w:line="256" w:lineRule="auto"/>
        <w:rPr>
          <w:sz w:val="20"/>
          <w:szCs w:val="20"/>
          <w:color w:val="auto"/>
        </w:rPr>
      </w:pPr>
      <w:r>
        <w:rPr>
          <w:rFonts w:ascii="Arial" w:cs="Arial" w:eastAsia="Arial" w:hAnsi="Arial"/>
          <w:sz w:val="15"/>
          <w:szCs w:val="15"/>
          <w:color w:val="auto"/>
        </w:rPr>
        <w:t>Long-lived assets, such as property and equipment and purchased intangible assets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by the amount by which the carrying amount of the asset exceeds the fair value of the asset. The Company reviewed its long-lived assets for impairment and determined there was no impairment for the nine months ended January 31, 2011.</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(g) Concentration of Credit Risk</w:t>
      </w:r>
    </w:p>
    <w:p>
      <w:pPr>
        <w:spacing w:after="0" w:line="157" w:lineRule="exact"/>
        <w:rPr>
          <w:sz w:val="20"/>
          <w:szCs w:val="20"/>
          <w:color w:val="auto"/>
        </w:rPr>
      </w:pPr>
    </w:p>
    <w:p>
      <w:pPr>
        <w:ind w:left="260" w:right="1859"/>
        <w:spacing w:after="0" w:line="324" w:lineRule="auto"/>
        <w:rPr>
          <w:sz w:val="20"/>
          <w:szCs w:val="20"/>
          <w:color w:val="auto"/>
        </w:rPr>
      </w:pPr>
      <w:r>
        <w:rPr>
          <w:rFonts w:ascii="Arial" w:cs="Arial" w:eastAsia="Arial" w:hAnsi="Arial"/>
          <w:sz w:val="13"/>
          <w:szCs w:val="13"/>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w:t>
      </w:r>
    </w:p>
    <w:p>
      <w:pPr>
        <w:spacing w:after="0" w:line="87" w:lineRule="exact"/>
        <w:rPr>
          <w:sz w:val="20"/>
          <w:szCs w:val="20"/>
          <w:color w:val="auto"/>
        </w:rPr>
      </w:pPr>
    </w:p>
    <w:p>
      <w:pPr>
        <w:ind w:left="260" w:right="1839"/>
        <w:spacing w:after="0" w:line="277" w:lineRule="auto"/>
        <w:rPr>
          <w:sz w:val="20"/>
          <w:szCs w:val="20"/>
          <w:color w:val="auto"/>
        </w:rPr>
      </w:pPr>
      <w:r>
        <w:rPr>
          <w:rFonts w:ascii="Arial" w:cs="Arial" w:eastAsia="Arial" w:hAnsi="Arial"/>
          <w:sz w:val="15"/>
          <w:szCs w:val="15"/>
          <w:color w:val="auto"/>
        </w:rPr>
        <w:t>The table below shows the percentage of the Company’s revenues derived from customers whose revenues accounted for at least 10% of the Company’s consolidated revenues for at least one of the periods indicated:</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34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Customer</w:t>
            </w:r>
          </w:p>
        </w:tc>
        <w:tc>
          <w:tcPr>
            <w:tcW w:w="2500" w:type="dxa"/>
            <w:vAlign w:val="bottom"/>
            <w:gridSpan w:val="4"/>
          </w:tcPr>
          <w:p>
            <w:pPr>
              <w:spacing w:after="0"/>
              <w:rPr>
                <w:sz w:val="20"/>
                <w:szCs w:val="20"/>
                <w:color w:val="auto"/>
              </w:rPr>
            </w:pPr>
            <w:r>
              <w:rPr>
                <w:rFonts w:ascii="Arial" w:cs="Arial" w:eastAsia="Arial" w:hAnsi="Arial"/>
                <w:sz w:val="15"/>
                <w:szCs w:val="15"/>
                <w:b w:val="1"/>
                <w:bCs w:val="1"/>
                <w:color w:val="auto"/>
              </w:rPr>
              <w:t>Three months ended January 31,</w:t>
            </w:r>
          </w:p>
        </w:tc>
        <w:tc>
          <w:tcPr>
            <w:tcW w:w="2200" w:type="dxa"/>
            <w:vAlign w:val="bottom"/>
            <w:gridSpan w:val="4"/>
          </w:tcPr>
          <w:p>
            <w:pPr>
              <w:jc w:val="right"/>
              <w:ind w:right="160"/>
              <w:spacing w:after="0"/>
              <w:rPr>
                <w:sz w:val="20"/>
                <w:szCs w:val="20"/>
                <w:color w:val="auto"/>
              </w:rPr>
            </w:pPr>
            <w:r>
              <w:rPr>
                <w:rFonts w:ascii="Arial" w:cs="Arial" w:eastAsia="Arial" w:hAnsi="Arial"/>
                <w:sz w:val="15"/>
                <w:szCs w:val="15"/>
                <w:b w:val="1"/>
                <w:bCs w:val="1"/>
                <w:color w:val="auto"/>
                <w:w w:val="89"/>
              </w:rPr>
              <w:t>Nine months ended January 31,</w:t>
            </w:r>
          </w:p>
        </w:tc>
        <w:tc>
          <w:tcPr>
            <w:tcW w:w="0" w:type="dxa"/>
            <w:vAlign w:val="bottom"/>
          </w:tcPr>
          <w:p>
            <w:pPr>
              <w:spacing w:after="0"/>
              <w:rPr>
                <w:sz w:val="1"/>
                <w:szCs w:val="1"/>
                <w:color w:val="auto"/>
              </w:rPr>
            </w:pPr>
          </w:p>
        </w:tc>
      </w:tr>
      <w:tr>
        <w:trPr>
          <w:trHeight w:val="174"/>
        </w:trPr>
        <w:tc>
          <w:tcPr>
            <w:tcW w:w="3480" w:type="dxa"/>
            <w:vAlign w:val="bottom"/>
            <w:gridSpan w:val="3"/>
            <w:vMerge w:val="continue"/>
          </w:tcPr>
          <w:p>
            <w:pPr>
              <w:spacing w:after="0"/>
              <w:rPr>
                <w:sz w:val="15"/>
                <w:szCs w:val="15"/>
                <w:color w:val="auto"/>
              </w:rPr>
            </w:pPr>
          </w:p>
        </w:tc>
        <w:tc>
          <w:tcPr>
            <w:tcW w:w="86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2011</w:t>
            </w: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300"/>
              <w:spacing w:after="0"/>
              <w:rPr>
                <w:sz w:val="20"/>
                <w:szCs w:val="20"/>
                <w:color w:val="auto"/>
              </w:rPr>
            </w:pPr>
            <w:r>
              <w:rPr>
                <w:rFonts w:ascii="Arial" w:cs="Arial" w:eastAsia="Arial" w:hAnsi="Arial"/>
                <w:sz w:val="15"/>
                <w:szCs w:val="15"/>
                <w:b w:val="1"/>
                <w:bCs w:val="1"/>
                <w:color w:val="auto"/>
              </w:rPr>
              <w:t>2010</w:t>
            </w:r>
          </w:p>
        </w:tc>
        <w:tc>
          <w:tcPr>
            <w:tcW w:w="360" w:type="dxa"/>
            <w:vAlign w:val="bottom"/>
          </w:tcPr>
          <w:p>
            <w:pPr>
              <w:spacing w:after="0"/>
              <w:rPr>
                <w:sz w:val="15"/>
                <w:szCs w:val="15"/>
                <w:color w:val="auto"/>
              </w:rPr>
            </w:pPr>
          </w:p>
        </w:tc>
        <w:tc>
          <w:tcPr>
            <w:tcW w:w="820" w:type="dxa"/>
            <w:vAlign w:val="bottom"/>
            <w:tcBorders>
              <w:top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2011</w:t>
            </w:r>
          </w:p>
        </w:tc>
        <w:tc>
          <w:tcPr>
            <w:tcW w:w="4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US Navy</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33%</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79%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gridSpan w:val="2"/>
          </w:tcPr>
          <w:p>
            <w:pPr>
              <w:spacing w:after="0"/>
              <w:rPr>
                <w:sz w:val="20"/>
                <w:szCs w:val="20"/>
                <w:color w:val="auto"/>
              </w:rPr>
            </w:pPr>
            <w:r>
              <w:rPr>
                <w:rFonts w:ascii="Arial" w:cs="Arial" w:eastAsia="Arial" w:hAnsi="Arial"/>
                <w:sz w:val="15"/>
                <w:szCs w:val="15"/>
                <w:color w:val="auto"/>
              </w:rPr>
              <w:t>US Department of Energy</w:t>
            </w: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39%</w:t>
            </w:r>
          </w:p>
        </w:tc>
        <w:tc>
          <w:tcPr>
            <w:tcW w:w="1240" w:type="dxa"/>
            <w:vAlign w:val="bottom"/>
            <w:gridSpan w:val="2"/>
          </w:tcPr>
          <w:p>
            <w:pPr>
              <w:ind w:left="720"/>
              <w:spacing w:after="0"/>
              <w:rPr>
                <w:sz w:val="20"/>
                <w:szCs w:val="20"/>
                <w:color w:val="auto"/>
              </w:rPr>
            </w:pPr>
            <w:r>
              <w:rPr>
                <w:rFonts w:ascii="Arial" w:cs="Arial" w:eastAsia="Arial" w:hAnsi="Arial"/>
                <w:sz w:val="15"/>
                <w:szCs w:val="15"/>
                <w:color w:val="auto"/>
              </w:rPr>
              <w:t>10%</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31%</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South West of England Regional Development</w:t>
            </w: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Authority</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22%</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94%</w:t>
            </w:r>
          </w:p>
        </w:tc>
        <w:tc>
          <w:tcPr>
            <w:tcW w:w="1240" w:type="dxa"/>
            <w:vAlign w:val="bottom"/>
            <w:gridSpan w:val="2"/>
          </w:tcPr>
          <w:p>
            <w:pPr>
              <w:ind w:left="720"/>
              <w:spacing w:after="0"/>
              <w:rPr>
                <w:sz w:val="20"/>
                <w:szCs w:val="20"/>
                <w:color w:val="auto"/>
              </w:rPr>
            </w:pPr>
            <w:r>
              <w:rPr>
                <w:rFonts w:ascii="Arial" w:cs="Arial" w:eastAsia="Arial" w:hAnsi="Arial"/>
                <w:sz w:val="15"/>
                <w:szCs w:val="15"/>
                <w:color w:val="auto"/>
              </w:rPr>
              <w:t>89%</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97%</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260" w:right="2259"/>
        <w:spacing w:after="0" w:line="277" w:lineRule="auto"/>
        <w:rPr>
          <w:sz w:val="20"/>
          <w:szCs w:val="20"/>
          <w:color w:val="auto"/>
        </w:rPr>
      </w:pPr>
      <w:r>
        <w:rPr>
          <w:rFonts w:ascii="Arial" w:cs="Arial" w:eastAsia="Arial" w:hAnsi="Arial"/>
          <w:sz w:val="15"/>
          <w:szCs w:val="15"/>
          <w:color w:val="auto"/>
        </w:rPr>
        <w:t>The loss of, or a significant reduction in revenues from, any of the current customers could significantly impact the Company’s financial position or results of operations. The Company does not require collateral from its customers.</w:t>
      </w:r>
    </w:p>
    <w:p>
      <w:pPr>
        <w:spacing w:after="0" w:line="200" w:lineRule="exact"/>
        <w:rPr>
          <w:sz w:val="20"/>
          <w:szCs w:val="20"/>
          <w:color w:val="auto"/>
        </w:rPr>
      </w:pPr>
    </w:p>
    <w:p>
      <w:pPr>
        <w:spacing w:after="0" w:line="241"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2"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(Unaudited)</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(h) Net Loss per Common Share</w:t>
      </w:r>
    </w:p>
    <w:p>
      <w:pPr>
        <w:spacing w:after="0" w:line="157" w:lineRule="exact"/>
        <w:rPr>
          <w:sz w:val="20"/>
          <w:szCs w:val="20"/>
          <w:color w:val="auto"/>
        </w:rPr>
      </w:pPr>
    </w:p>
    <w:p>
      <w:pPr>
        <w:ind w:left="260" w:right="1899"/>
        <w:spacing w:after="0" w:line="261" w:lineRule="auto"/>
        <w:rPr>
          <w:sz w:val="20"/>
          <w:szCs w:val="20"/>
          <w:color w:val="auto"/>
        </w:rPr>
      </w:pPr>
      <w:r>
        <w:rPr>
          <w:rFonts w:ascii="Arial" w:cs="Arial" w:eastAsia="Arial" w:hAnsi="Arial"/>
          <w:sz w:val="15"/>
          <w:szCs w:val="15"/>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23" w:lineRule="exact"/>
        <w:rPr>
          <w:sz w:val="20"/>
          <w:szCs w:val="20"/>
          <w:color w:val="auto"/>
        </w:rPr>
      </w:pPr>
    </w:p>
    <w:p>
      <w:pPr>
        <w:ind w:left="260" w:right="1779"/>
        <w:spacing w:after="0" w:line="261" w:lineRule="auto"/>
        <w:rPr>
          <w:sz w:val="20"/>
          <w:szCs w:val="20"/>
          <w:color w:val="auto"/>
        </w:rPr>
      </w:pPr>
      <w:r>
        <w:rPr>
          <w:rFonts w:ascii="Arial" w:cs="Arial" w:eastAsia="Arial" w:hAnsi="Arial"/>
          <w:sz w:val="15"/>
          <w:szCs w:val="15"/>
          <w:color w:val="auto"/>
        </w:rPr>
        <w:t>In computing diluted net loss per share, options to purchase shares of common stock and non-vested restricted stock issued to employees and non-employee directors, totaling 1,691,900 for the three and nine months ended January 31, 2011 and 1,703,796 for the three and nine months ended January 31, 2010, were excluded from the computations as the effect would be anti-dilutive due to the Company’s losses.</w:t>
      </w:r>
    </w:p>
    <w:p>
      <w:pPr>
        <w:spacing w:after="0" w:line="200" w:lineRule="exact"/>
        <w:rPr>
          <w:sz w:val="20"/>
          <w:szCs w:val="20"/>
          <w:color w:val="auto"/>
        </w:rPr>
      </w:pPr>
    </w:p>
    <w:p>
      <w:pPr>
        <w:spacing w:after="0" w:line="264"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2740"/>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2" w:lineRule="exact"/>
        <w:rPr>
          <w:sz w:val="20"/>
          <w:szCs w:val="20"/>
          <w:color w:val="auto"/>
        </w:rPr>
      </w:pPr>
    </w:p>
    <w:p>
      <w:pPr>
        <w:jc w:val="center"/>
        <w:ind w:right="27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jc w:val="center"/>
        <w:ind w:right="2740"/>
        <w:spacing w:after="0"/>
        <w:rPr>
          <w:sz w:val="20"/>
          <w:szCs w:val="20"/>
          <w:color w:val="auto"/>
        </w:rPr>
      </w:pPr>
      <w:r>
        <w:rPr>
          <w:rFonts w:ascii="Arial" w:cs="Arial" w:eastAsia="Arial" w:hAnsi="Arial"/>
          <w:sz w:val="15"/>
          <w:szCs w:val="15"/>
          <w:b w:val="1"/>
          <w:bCs w:val="1"/>
          <w:color w:val="auto"/>
        </w:rPr>
        <w:t>(Unaudited)</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(3) Marketable Securities</w:t>
      </w:r>
    </w:p>
    <w:p>
      <w:pPr>
        <w:spacing w:after="0" w:line="161" w:lineRule="exact"/>
        <w:rPr>
          <w:sz w:val="20"/>
          <w:szCs w:val="20"/>
          <w:color w:val="auto"/>
        </w:rPr>
      </w:pPr>
    </w:p>
    <w:p>
      <w:pPr>
        <w:ind w:left="260" w:right="3080"/>
        <w:spacing w:after="0" w:line="277" w:lineRule="auto"/>
        <w:rPr>
          <w:sz w:val="20"/>
          <w:szCs w:val="20"/>
          <w:color w:val="auto"/>
        </w:rPr>
      </w:pPr>
      <w:r>
        <w:rPr>
          <w:rFonts w:ascii="Arial" w:cs="Arial" w:eastAsia="Arial" w:hAnsi="Arial"/>
          <w:sz w:val="15"/>
          <w:szCs w:val="15"/>
          <w:color w:val="auto"/>
        </w:rPr>
        <w:t>Marketable securities with initial maturities longer than three months but that mature in less than one year from the balance sheet date are classified as current assets and are summarized as follows:</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5"/>
                <w:szCs w:val="15"/>
                <w:b w:val="1"/>
                <w:bCs w:val="1"/>
                <w:color w:val="auto"/>
                <w:w w:val="92"/>
              </w:rPr>
              <w:t>January 31,</w:t>
            </w:r>
          </w:p>
        </w:tc>
        <w:tc>
          <w:tcPr>
            <w:tcW w:w="900" w:type="dxa"/>
            <w:vAlign w:val="bottom"/>
            <w:gridSpan w:val="2"/>
          </w:tcPr>
          <w:p>
            <w:pPr>
              <w:ind w:left="120"/>
              <w:spacing w:after="0"/>
              <w:rPr>
                <w:sz w:val="20"/>
                <w:szCs w:val="20"/>
                <w:color w:val="auto"/>
              </w:rPr>
            </w:pPr>
            <w:r>
              <w:rPr>
                <w:rFonts w:ascii="Arial" w:cs="Arial" w:eastAsia="Arial" w:hAnsi="Arial"/>
                <w:sz w:val="15"/>
                <w:szCs w:val="15"/>
                <w:b w:val="1"/>
                <w:bCs w:val="1"/>
                <w:color w:val="auto"/>
              </w:rPr>
              <w:t>April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2011</w:t>
            </w:r>
          </w:p>
        </w:tc>
        <w:tc>
          <w:tcPr>
            <w:tcW w:w="320" w:type="dxa"/>
            <w:vAlign w:val="bottom"/>
          </w:tcPr>
          <w:p>
            <w:pPr>
              <w:spacing w:after="0"/>
              <w:rPr>
                <w:sz w:val="16"/>
                <w:szCs w:val="16"/>
                <w:color w:val="auto"/>
              </w:rPr>
            </w:pPr>
          </w:p>
        </w:tc>
        <w:tc>
          <w:tcPr>
            <w:tcW w:w="8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2010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Certificates of deposit denominated in AUD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519,232</w:t>
            </w:r>
          </w:p>
        </w:tc>
        <w:tc>
          <w:tcPr>
            <w:tcW w:w="0" w:type="dxa"/>
            <w:vAlign w:val="bottom"/>
          </w:tcPr>
          <w:p>
            <w:pPr>
              <w:spacing w:after="0"/>
              <w:rPr>
                <w:sz w:val="1"/>
                <w:szCs w:val="1"/>
                <w:color w:val="auto"/>
              </w:rPr>
            </w:pPr>
          </w:p>
        </w:tc>
      </w:tr>
      <w:tr>
        <w:trPr>
          <w:trHeight w:val="362"/>
        </w:trPr>
        <w:tc>
          <w:tcPr>
            <w:tcW w:w="6140" w:type="dxa"/>
            <w:vAlign w:val="bottom"/>
            <w:gridSpan w:val="2"/>
          </w:tcPr>
          <w:p>
            <w:pPr>
              <w:spacing w:after="0"/>
              <w:rPr>
                <w:sz w:val="20"/>
                <w:szCs w:val="20"/>
                <w:color w:val="auto"/>
              </w:rPr>
            </w:pPr>
            <w:r>
              <w:rPr>
                <w:rFonts w:ascii="Arial" w:cs="Arial" w:eastAsia="Arial" w:hAnsi="Arial"/>
                <w:sz w:val="15"/>
                <w:szCs w:val="15"/>
                <w:color w:val="auto"/>
              </w:rPr>
              <w:t>US Treasury obligations</w:t>
            </w:r>
          </w:p>
        </w:tc>
        <w:tc>
          <w:tcPr>
            <w:tcW w:w="12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5"/>
                <w:szCs w:val="15"/>
                <w:color w:val="auto"/>
                <w:w w:val="90"/>
              </w:rPr>
              <w:t>25,538,538</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32,016,769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w w:val="90"/>
              </w:rPr>
              <w:t>25,538,538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32,536,001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60" w:right="3160"/>
        <w:spacing w:after="0" w:line="265" w:lineRule="auto"/>
        <w:rPr>
          <w:sz w:val="20"/>
          <w:szCs w:val="20"/>
          <w:color w:val="auto"/>
        </w:rPr>
      </w:pPr>
      <w:r>
        <w:rPr>
          <w:rFonts w:ascii="Arial" w:cs="Arial" w:eastAsia="Arial" w:hAnsi="Arial"/>
          <w:sz w:val="15"/>
          <w:szCs w:val="15"/>
          <w:color w:val="auto"/>
        </w:rPr>
        <w:t>The Company’s marketable securities that mature more than one year from the balance sheet date are classified as noncurrent assets. These marketable securities all mature in less than three years, are all classified as held-to-maturity, are carried at amortized cost and are summarized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color w:val="auto"/>
                <w:w w:val="84"/>
              </w:rPr>
              <w:t>Gross</w:t>
            </w:r>
          </w:p>
        </w:tc>
        <w:tc>
          <w:tcPr>
            <w:tcW w:w="800" w:type="dxa"/>
            <w:vAlign w:val="bottom"/>
          </w:tcPr>
          <w:p>
            <w:pPr>
              <w:jc w:val="center"/>
              <w:spacing w:after="0"/>
              <w:rPr>
                <w:sz w:val="20"/>
                <w:szCs w:val="20"/>
                <w:color w:val="auto"/>
              </w:rPr>
            </w:pPr>
            <w:r>
              <w:rPr>
                <w:rFonts w:ascii="Arial" w:cs="Arial" w:eastAsia="Arial" w:hAnsi="Arial"/>
                <w:sz w:val="15"/>
                <w:szCs w:val="15"/>
                <w:color w:val="auto"/>
                <w:w w:val="89"/>
              </w:rPr>
              <w:t>Gross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5"/>
                <w:szCs w:val="15"/>
                <w:color w:val="auto"/>
                <w:w w:val="94"/>
              </w:rPr>
              <w:t>Amortized</w:t>
            </w: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color w:val="auto"/>
                <w:w w:val="89"/>
              </w:rPr>
              <w:t>unrealized</w:t>
            </w:r>
          </w:p>
        </w:tc>
        <w:tc>
          <w:tcPr>
            <w:tcW w:w="800" w:type="dxa"/>
            <w:vAlign w:val="bottom"/>
          </w:tcPr>
          <w:p>
            <w:pPr>
              <w:jc w:val="center"/>
              <w:spacing w:after="0"/>
              <w:rPr>
                <w:sz w:val="20"/>
                <w:szCs w:val="20"/>
                <w:color w:val="auto"/>
              </w:rPr>
            </w:pPr>
            <w:r>
              <w:rPr>
                <w:rFonts w:ascii="Arial" w:cs="Arial" w:eastAsia="Arial" w:hAnsi="Arial"/>
                <w:sz w:val="15"/>
                <w:szCs w:val="15"/>
                <w:color w:val="auto"/>
                <w:w w:val="89"/>
              </w:rPr>
              <w:t>unrealized</w:t>
            </w:r>
          </w:p>
        </w:tc>
        <w:tc>
          <w:tcPr>
            <w:tcW w:w="32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Market</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5"/>
                <w:szCs w:val="15"/>
                <w:color w:val="auto"/>
                <w:w w:val="87"/>
              </w:rPr>
              <w:t>cost</w:t>
            </w: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color w:val="auto"/>
                <w:w w:val="89"/>
              </w:rPr>
              <w:t>gains</w:t>
            </w:r>
          </w:p>
        </w:tc>
        <w:tc>
          <w:tcPr>
            <w:tcW w:w="800" w:type="dxa"/>
            <w:vAlign w:val="bottom"/>
          </w:tcPr>
          <w:p>
            <w:pPr>
              <w:jc w:val="center"/>
              <w:spacing w:after="0"/>
              <w:rPr>
                <w:sz w:val="20"/>
                <w:szCs w:val="20"/>
                <w:color w:val="auto"/>
              </w:rPr>
            </w:pPr>
            <w:r>
              <w:rPr>
                <w:rFonts w:ascii="Arial" w:cs="Arial" w:eastAsia="Arial" w:hAnsi="Arial"/>
                <w:sz w:val="15"/>
                <w:szCs w:val="15"/>
                <w:color w:val="auto"/>
                <w:w w:val="84"/>
              </w:rPr>
              <w:t>losses</w:t>
            </w:r>
          </w:p>
        </w:tc>
        <w:tc>
          <w:tcPr>
            <w:tcW w:w="32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5"/>
                <w:szCs w:val="15"/>
                <w:color w:val="auto"/>
                <w:w w:val="94"/>
              </w:rPr>
              <w:t>value</w:t>
            </w: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0" w:type="dxa"/>
            <w:vAlign w:val="bottom"/>
            <w:vMerge w:val="restart"/>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January 31, 2011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4100" w:type="dxa"/>
            <w:vAlign w:val="bottom"/>
            <w:gridSpan w:val="2"/>
          </w:tcPr>
          <w:p>
            <w:pPr>
              <w:ind w:left="260"/>
              <w:spacing w:after="0"/>
              <w:rPr>
                <w:sz w:val="20"/>
                <w:szCs w:val="20"/>
                <w:color w:val="auto"/>
              </w:rPr>
            </w:pPr>
            <w:r>
              <w:rPr>
                <w:rFonts w:ascii="Arial" w:cs="Arial" w:eastAsia="Arial" w:hAnsi="Arial"/>
                <w:sz w:val="15"/>
                <w:szCs w:val="15"/>
                <w:color w:val="auto"/>
              </w:rPr>
              <w:t>US Treasury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w w:val="95"/>
              </w:rPr>
              <w:t>12,517,853</w:t>
            </w: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162,462</w:t>
            </w:r>
          </w:p>
        </w:tc>
        <w:tc>
          <w:tcPr>
            <w:tcW w:w="800" w:type="dxa"/>
            <w:vAlign w:val="bottom"/>
          </w:tcPr>
          <w:p>
            <w:pPr>
              <w:ind w:left="660"/>
              <w:spacing w:after="0"/>
              <w:rPr>
                <w:sz w:val="20"/>
                <w:szCs w:val="20"/>
                <w:color w:val="auto"/>
              </w:rPr>
            </w:pPr>
            <w:r>
              <w:rPr>
                <w:rFonts w:ascii="Arial" w:cs="Arial" w:eastAsia="Arial" w:hAnsi="Arial"/>
                <w:sz w:val="15"/>
                <w:szCs w:val="15"/>
                <w:color w:val="auto"/>
                <w:w w:val="79"/>
              </w:rPr>
              <w:t>—</w:t>
            </w:r>
          </w:p>
        </w:tc>
        <w:tc>
          <w:tcPr>
            <w:tcW w:w="1220" w:type="dxa"/>
            <w:vAlign w:val="bottom"/>
            <w:gridSpan w:val="3"/>
          </w:tcPr>
          <w:p>
            <w:pPr>
              <w:jc w:val="right"/>
              <w:ind w:right="80"/>
              <w:spacing w:after="0"/>
              <w:rPr>
                <w:sz w:val="20"/>
                <w:szCs w:val="20"/>
                <w:color w:val="auto"/>
              </w:rPr>
            </w:pPr>
            <w:r>
              <w:rPr>
                <w:rFonts w:ascii="Arial" w:cs="Arial" w:eastAsia="Arial" w:hAnsi="Arial"/>
                <w:sz w:val="15"/>
                <w:szCs w:val="15"/>
                <w:color w:val="auto"/>
              </w:rPr>
              <w:t>12,680,315</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Certificate of deposit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3,806,808</w:t>
            </w:r>
          </w:p>
        </w:tc>
        <w:tc>
          <w:tcPr>
            <w:tcW w:w="3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ind w:left="660"/>
              <w:spacing w:after="0"/>
              <w:rPr>
                <w:sz w:val="20"/>
                <w:szCs w:val="20"/>
                <w:color w:val="auto"/>
              </w:rPr>
            </w:pPr>
            <w:r>
              <w:rPr>
                <w:rFonts w:ascii="Arial" w:cs="Arial" w:eastAsia="Arial" w:hAnsi="Arial"/>
                <w:sz w:val="15"/>
                <w:szCs w:val="15"/>
                <w:color w:val="auto"/>
                <w:w w:val="79"/>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3,806,808</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5"/>
              </w:rPr>
              <w:t>16,324,661</w:t>
            </w:r>
          </w:p>
        </w:tc>
        <w:tc>
          <w:tcPr>
            <w:tcW w:w="34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162,462</w:t>
            </w:r>
          </w:p>
        </w:tc>
        <w:tc>
          <w:tcPr>
            <w:tcW w:w="800" w:type="dxa"/>
            <w:vAlign w:val="bottom"/>
          </w:tcPr>
          <w:p>
            <w:pPr>
              <w:ind w:left="660"/>
              <w:spacing w:after="0"/>
              <w:rPr>
                <w:sz w:val="20"/>
                <w:szCs w:val="20"/>
                <w:color w:val="auto"/>
              </w:rPr>
            </w:pPr>
            <w:r>
              <w:rPr>
                <w:rFonts w:ascii="Arial" w:cs="Arial" w:eastAsia="Arial" w:hAnsi="Arial"/>
                <w:sz w:val="15"/>
                <w:szCs w:val="15"/>
                <w:color w:val="auto"/>
                <w:w w:val="79"/>
              </w:rPr>
              <w:t>—</w:t>
            </w:r>
          </w:p>
        </w:tc>
        <w:tc>
          <w:tcPr>
            <w:tcW w:w="1220" w:type="dxa"/>
            <w:vAlign w:val="bottom"/>
            <w:gridSpan w:val="3"/>
          </w:tcPr>
          <w:p>
            <w:pPr>
              <w:jc w:val="right"/>
              <w:ind w:right="80"/>
              <w:spacing w:after="0"/>
              <w:rPr>
                <w:sz w:val="20"/>
                <w:szCs w:val="20"/>
                <w:color w:val="auto"/>
              </w:rPr>
            </w:pPr>
            <w:r>
              <w:rPr>
                <w:rFonts w:ascii="Arial" w:cs="Arial" w:eastAsia="Arial" w:hAnsi="Arial"/>
                <w:sz w:val="15"/>
                <w:szCs w:val="15"/>
                <w:color w:val="auto"/>
              </w:rPr>
              <w:t>16,487,123</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60" w:type="dxa"/>
            <w:vAlign w:val="bottom"/>
            <w:vMerge w:val="restart"/>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April 30, 2010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4100" w:type="dxa"/>
            <w:vAlign w:val="bottom"/>
            <w:gridSpan w:val="2"/>
          </w:tcPr>
          <w:p>
            <w:pPr>
              <w:ind w:left="260"/>
              <w:spacing w:after="0"/>
              <w:rPr>
                <w:sz w:val="20"/>
                <w:szCs w:val="20"/>
                <w:color w:val="auto"/>
              </w:rPr>
            </w:pPr>
            <w:r>
              <w:rPr>
                <w:rFonts w:ascii="Arial" w:cs="Arial" w:eastAsia="Arial" w:hAnsi="Arial"/>
                <w:sz w:val="15"/>
                <w:szCs w:val="15"/>
                <w:color w:val="auto"/>
              </w:rPr>
              <w:t>US Treasury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w w:val="95"/>
              </w:rPr>
              <w:t>25,058,238</w:t>
            </w: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158,672</w:t>
            </w:r>
          </w:p>
        </w:tc>
        <w:tc>
          <w:tcPr>
            <w:tcW w:w="800" w:type="dxa"/>
            <w:vAlign w:val="bottom"/>
          </w:tcPr>
          <w:p>
            <w:pPr>
              <w:ind w:left="660"/>
              <w:spacing w:after="0"/>
              <w:rPr>
                <w:sz w:val="20"/>
                <w:szCs w:val="20"/>
                <w:color w:val="auto"/>
              </w:rPr>
            </w:pPr>
            <w:r>
              <w:rPr>
                <w:rFonts w:ascii="Arial" w:cs="Arial" w:eastAsia="Arial" w:hAnsi="Arial"/>
                <w:sz w:val="15"/>
                <w:szCs w:val="15"/>
                <w:color w:val="auto"/>
                <w:w w:val="79"/>
              </w:rPr>
              <w:t>—</w:t>
            </w:r>
          </w:p>
        </w:tc>
        <w:tc>
          <w:tcPr>
            <w:tcW w:w="1220" w:type="dxa"/>
            <w:vAlign w:val="bottom"/>
            <w:gridSpan w:val="3"/>
          </w:tcPr>
          <w:p>
            <w:pPr>
              <w:jc w:val="right"/>
              <w:ind w:right="80"/>
              <w:spacing w:after="0"/>
              <w:rPr>
                <w:sz w:val="20"/>
                <w:szCs w:val="20"/>
                <w:color w:val="auto"/>
              </w:rPr>
            </w:pPr>
            <w:r>
              <w:rPr>
                <w:rFonts w:ascii="Arial" w:cs="Arial" w:eastAsia="Arial" w:hAnsi="Arial"/>
                <w:sz w:val="15"/>
                <w:szCs w:val="15"/>
                <w:color w:val="auto"/>
              </w:rPr>
              <w:t>25,216,910</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Certificate of deposit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3,806,808</w:t>
            </w:r>
          </w:p>
        </w:tc>
        <w:tc>
          <w:tcPr>
            <w:tcW w:w="3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ind w:left="660"/>
              <w:spacing w:after="0"/>
              <w:rPr>
                <w:sz w:val="20"/>
                <w:szCs w:val="20"/>
                <w:color w:val="auto"/>
              </w:rPr>
            </w:pPr>
            <w:r>
              <w:rPr>
                <w:rFonts w:ascii="Arial" w:cs="Arial" w:eastAsia="Arial" w:hAnsi="Arial"/>
                <w:sz w:val="15"/>
                <w:szCs w:val="15"/>
                <w:color w:val="auto"/>
                <w:w w:val="79"/>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3,806,808</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5"/>
              </w:rPr>
              <w:t>28,865,046</w:t>
            </w:r>
          </w:p>
        </w:tc>
        <w:tc>
          <w:tcPr>
            <w:tcW w:w="34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158,672</w:t>
            </w:r>
          </w:p>
        </w:tc>
        <w:tc>
          <w:tcPr>
            <w:tcW w:w="800" w:type="dxa"/>
            <w:vAlign w:val="bottom"/>
          </w:tcPr>
          <w:p>
            <w:pPr>
              <w:ind w:left="660"/>
              <w:spacing w:after="0"/>
              <w:rPr>
                <w:sz w:val="20"/>
                <w:szCs w:val="20"/>
                <w:color w:val="auto"/>
              </w:rPr>
            </w:pPr>
            <w:r>
              <w:rPr>
                <w:rFonts w:ascii="Arial" w:cs="Arial" w:eastAsia="Arial" w:hAnsi="Arial"/>
                <w:sz w:val="15"/>
                <w:szCs w:val="15"/>
                <w:color w:val="auto"/>
                <w:w w:val="79"/>
              </w:rPr>
              <w:t>—</w:t>
            </w:r>
          </w:p>
        </w:tc>
        <w:tc>
          <w:tcPr>
            <w:tcW w:w="1220" w:type="dxa"/>
            <w:vAlign w:val="bottom"/>
            <w:gridSpan w:val="3"/>
          </w:tcPr>
          <w:p>
            <w:pPr>
              <w:jc w:val="right"/>
              <w:ind w:right="80"/>
              <w:spacing w:after="0"/>
              <w:rPr>
                <w:sz w:val="20"/>
                <w:szCs w:val="20"/>
                <w:color w:val="auto"/>
              </w:rPr>
            </w:pPr>
            <w:r>
              <w:rPr>
                <w:rFonts w:ascii="Arial" w:cs="Arial" w:eastAsia="Arial" w:hAnsi="Arial"/>
                <w:sz w:val="15"/>
                <w:szCs w:val="15"/>
                <w:color w:val="auto"/>
              </w:rPr>
              <w:t>29,023,718</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44"/>
              <w:spacing w:after="0"/>
              <w:rPr>
                <w:sz w:val="20"/>
                <w:szCs w:val="20"/>
                <w:color w:val="auto"/>
              </w:rPr>
            </w:pPr>
            <w:r>
              <w:rPr>
                <w:rFonts w:ascii="Arial" w:cs="Arial" w:eastAsia="Arial" w:hAnsi="Arial"/>
                <w:sz w:val="15"/>
                <w:szCs w:val="15"/>
                <w:color w:val="auto"/>
              </w:rPr>
              <w:t>11</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0" w:type="dxa"/>
            <w:vAlign w:val="bottom"/>
            <w:tcBorders>
              <w:bottom w:val="single" w:sz="8" w:color="808080"/>
            </w:tcBorders>
          </w:tcPr>
          <w:p>
            <w:pPr>
              <w:spacing w:after="0"/>
              <w:rPr>
                <w:sz w:val="16"/>
                <w:szCs w:val="16"/>
                <w:color w:val="auto"/>
              </w:rPr>
            </w:pPr>
          </w:p>
        </w:tc>
        <w:tc>
          <w:tcPr>
            <w:tcW w:w="38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30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2"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(Unaudited)</w:t>
      </w:r>
    </w:p>
    <w:p>
      <w:pPr>
        <w:spacing w:after="0" w:line="155"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4300" w:type="dxa"/>
            <w:vAlign w:val="bottom"/>
            <w:gridSpan w:val="2"/>
          </w:tcPr>
          <w:p>
            <w:pPr>
              <w:spacing w:after="0"/>
              <w:rPr>
                <w:sz w:val="20"/>
                <w:szCs w:val="20"/>
                <w:color w:val="auto"/>
              </w:rPr>
            </w:pPr>
            <w:r>
              <w:rPr>
                <w:rFonts w:ascii="Arial" w:cs="Arial" w:eastAsia="Arial" w:hAnsi="Arial"/>
                <w:sz w:val="15"/>
                <w:szCs w:val="15"/>
                <w:b w:val="1"/>
                <w:bCs w:val="1"/>
                <w:color w:val="auto"/>
              </w:rPr>
              <w:t>(4) Balance Sheet Detail</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760" w:type="dxa"/>
            <w:vAlign w:val="bottom"/>
            <w:gridSpan w:val="4"/>
          </w:tcPr>
          <w:p>
            <w:pPr>
              <w:ind w:left="1480"/>
              <w:spacing w:after="0"/>
              <w:rPr>
                <w:sz w:val="20"/>
                <w:szCs w:val="20"/>
                <w:color w:val="auto"/>
              </w:rPr>
            </w:pPr>
            <w:r>
              <w:rPr>
                <w:rFonts w:ascii="Arial" w:cs="Arial" w:eastAsia="Arial" w:hAnsi="Arial"/>
                <w:sz w:val="15"/>
                <w:szCs w:val="15"/>
                <w:b w:val="1"/>
                <w:bCs w:val="1"/>
                <w:color w:val="auto"/>
              </w:rPr>
              <w:t>January 31, 2011</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April 30, 2010</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Property and Equipment</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Property and Equipment</w:t>
            </w:r>
          </w:p>
        </w:tc>
        <w:tc>
          <w:tcPr>
            <w:tcW w:w="1740" w:type="dxa"/>
            <w:vAlign w:val="bottom"/>
            <w:gridSpan w:val="2"/>
          </w:tcPr>
          <w:p>
            <w:pPr>
              <w:ind w:left="148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1,846,910</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1,767,078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Accumulated depreciation and amortization</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(1,303,424)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(1,056,515)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543,486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710,563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Patents</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Patents</w:t>
            </w:r>
          </w:p>
        </w:tc>
        <w:tc>
          <w:tcPr>
            <w:tcW w:w="1740" w:type="dxa"/>
            <w:vAlign w:val="bottom"/>
            <w:gridSpan w:val="2"/>
          </w:tcPr>
          <w:p>
            <w:pPr>
              <w:ind w:left="148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1,452,799</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1,322,335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Accumulated amortization</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(320,257)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(285,454)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1,132,542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1,036,881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Accrued Expenses</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Project costs</w:t>
            </w:r>
          </w:p>
        </w:tc>
        <w:tc>
          <w:tcPr>
            <w:tcW w:w="1740" w:type="dxa"/>
            <w:vAlign w:val="bottom"/>
            <w:gridSpan w:val="2"/>
          </w:tcPr>
          <w:p>
            <w:pPr>
              <w:ind w:left="148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738,333</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1,072,635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Contract loss reserves</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785,000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785,000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Employee incentive payments</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564,752</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682,400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209,826</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308,514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Payroll-related costs</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608,054</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865,829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Investment in joint venture</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181,152</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176,121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5"/>
                <w:szCs w:val="15"/>
                <w:color w:val="auto"/>
              </w:rPr>
              <w:t>Legal and accounting fees</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181,880</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154,567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Value-added tax</w:t>
            </w:r>
          </w:p>
        </w:tc>
        <w:tc>
          <w:tcPr>
            <w:tcW w:w="14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37,880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47,047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40" w:type="dxa"/>
            <w:vAlign w:val="bottom"/>
            <w:gridSpan w:val="2"/>
          </w:tcPr>
          <w:p>
            <w:pPr>
              <w:ind w:left="148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3,306,877</w:t>
            </w:r>
          </w:p>
        </w:tc>
        <w:tc>
          <w:tcPr>
            <w:tcW w:w="1120" w:type="dxa"/>
            <w:vAlign w:val="bottom"/>
            <w:gridSpan w:val="3"/>
          </w:tcPr>
          <w:p>
            <w:pPr>
              <w:jc w:val="right"/>
              <w:ind w:right="80"/>
              <w:spacing w:after="0"/>
              <w:rPr>
                <w:sz w:val="20"/>
                <w:szCs w:val="20"/>
                <w:color w:val="auto"/>
              </w:rPr>
            </w:pPr>
            <w:r>
              <w:rPr>
                <w:rFonts w:ascii="Arial" w:cs="Arial" w:eastAsia="Arial" w:hAnsi="Arial"/>
                <w:sz w:val="15"/>
                <w:szCs w:val="15"/>
                <w:color w:val="auto"/>
              </w:rPr>
              <w:t>4,092,113</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(5) Related Party Transactions</w:t>
            </w:r>
          </w:p>
        </w:tc>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30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60" w:right="1799"/>
        <w:spacing w:after="0" w:line="256" w:lineRule="auto"/>
        <w:rPr>
          <w:sz w:val="20"/>
          <w:szCs w:val="20"/>
          <w:color w:val="auto"/>
        </w:rPr>
      </w:pPr>
      <w:r>
        <w:rPr>
          <w:rFonts w:ascii="Arial" w:cs="Arial" w:eastAsia="Arial" w:hAnsi="Arial"/>
          <w:sz w:val="15"/>
          <w:szCs w:val="15"/>
          <w:color w:val="auto"/>
        </w:rPr>
        <w:t>In August 1999, the Company entered into a consulting agreement with an individual for marketing services. Currently, this agreement is at a rate of $950 per day of services provided. The individual became a member of the board of directors in June 2006. Under this consulting agreement, the Company expensed approximately $21,000 during each of the three month periods ended January 31, 2011 and 2010, and $63,000 and $51,000 during the nine months ended January 31, 2011 and 2010, respectively. In addition, this individual is also the chief executive officer of a company that provided engineering and technical services to the Company. The Company incurred expenses of approximately $146,000 and $129,000 for such services during the nine months ended January 31, 2011 and 2010, respectively.</w:t>
      </w:r>
    </w:p>
    <w:p>
      <w:pPr>
        <w:spacing w:after="0" w:line="200" w:lineRule="exact"/>
        <w:rPr>
          <w:sz w:val="20"/>
          <w:szCs w:val="20"/>
          <w:color w:val="auto"/>
        </w:rPr>
      </w:pPr>
    </w:p>
    <w:p>
      <w:pPr>
        <w:spacing w:after="0" w:line="271"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53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2" w:lineRule="exact"/>
        <w:rPr>
          <w:sz w:val="20"/>
          <w:szCs w:val="20"/>
          <w:color w:val="auto"/>
        </w:rPr>
      </w:pPr>
    </w:p>
    <w:p>
      <w:pPr>
        <w:jc w:val="center"/>
        <w:ind w:right="15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jc w:val="center"/>
        <w:ind w:right="1539"/>
        <w:spacing w:after="0"/>
        <w:rPr>
          <w:sz w:val="20"/>
          <w:szCs w:val="20"/>
          <w:color w:val="auto"/>
        </w:rPr>
      </w:pPr>
      <w:r>
        <w:rPr>
          <w:rFonts w:ascii="Arial" w:cs="Arial" w:eastAsia="Arial" w:hAnsi="Arial"/>
          <w:sz w:val="15"/>
          <w:szCs w:val="15"/>
          <w:b w:val="1"/>
          <w:bCs w:val="1"/>
          <w:color w:val="auto"/>
        </w:rPr>
        <w:t>(Unaudited)</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(6) Debt</w:t>
      </w:r>
    </w:p>
    <w:p>
      <w:pPr>
        <w:spacing w:after="0" w:line="161" w:lineRule="exact"/>
        <w:rPr>
          <w:sz w:val="20"/>
          <w:szCs w:val="20"/>
          <w:color w:val="auto"/>
        </w:rPr>
      </w:pPr>
    </w:p>
    <w:p>
      <w:pPr>
        <w:ind w:left="260" w:right="1839"/>
        <w:spacing w:after="0" w:line="256" w:lineRule="auto"/>
        <w:rPr>
          <w:sz w:val="20"/>
          <w:szCs w:val="20"/>
          <w:color w:val="auto"/>
        </w:rPr>
      </w:pPr>
      <w:r>
        <w:rPr>
          <w:rFonts w:ascii="Arial" w:cs="Arial" w:eastAsia="Arial" w:hAnsi="Arial"/>
          <w:sz w:val="15"/>
          <w:szCs w:val="15"/>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must repay the amount funded, without interest, by January 15, 2012. The amounts to be repaid each year are determined as a percentage of revenues (as defined in the loan agreement) the Company receives that year from its customer contracts that meet criteria specified in the loan agreement. Based upon the terms of the award, the Company has repaid approximately $161,000. As of January 31, 2011, the remaining amount due of $89,000 was included in current portion of long-term debt on the accompanying consolidated balance sheet.</w:t>
      </w:r>
    </w:p>
    <w:p>
      <w:pPr>
        <w:spacing w:after="0" w:line="128" w:lineRule="exact"/>
        <w:rPr>
          <w:sz w:val="20"/>
          <w:szCs w:val="20"/>
          <w:color w:val="auto"/>
        </w:rPr>
      </w:pPr>
    </w:p>
    <w:p>
      <w:pPr>
        <w:ind w:left="260" w:right="1859"/>
        <w:spacing w:after="0" w:line="304" w:lineRule="auto"/>
        <w:rPr>
          <w:sz w:val="20"/>
          <w:szCs w:val="20"/>
          <w:color w:val="auto"/>
        </w:rPr>
      </w:pPr>
      <w:r>
        <w:rPr>
          <w:rFonts w:ascii="Arial" w:cs="Arial" w:eastAsia="Arial" w:hAnsi="Arial"/>
          <w:sz w:val="13"/>
          <w:szCs w:val="13"/>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As of January 31, 2011, $25,000 was included in current portion of long-term debt on the accompanying consolidated balance sheet. The terms also required the Company to assign to the NJBPU a certificate of deposit in an amount equal to the outstanding grant balance. The Company received $250,000, representing the first half of the grant, during the year ended April 30, 2010, and the remaining $250,000 was received in June 2010. See Note 2(c).</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(7) Deferred Credits</w:t>
      </w:r>
    </w:p>
    <w:p>
      <w:pPr>
        <w:spacing w:after="0" w:line="161" w:lineRule="exact"/>
        <w:rPr>
          <w:sz w:val="20"/>
          <w:szCs w:val="20"/>
          <w:color w:val="auto"/>
        </w:rPr>
      </w:pPr>
    </w:p>
    <w:p>
      <w:pPr>
        <w:ind w:left="260" w:right="1819"/>
        <w:spacing w:after="0" w:line="299" w:lineRule="auto"/>
        <w:rPr>
          <w:sz w:val="20"/>
          <w:szCs w:val="20"/>
          <w:color w:val="auto"/>
        </w:rPr>
      </w:pPr>
      <w:r>
        <w:rPr>
          <w:rFonts w:ascii="Arial" w:cs="Arial" w:eastAsia="Arial" w:hAnsi="Arial"/>
          <w:sz w:val="13"/>
          <w:szCs w:val="13"/>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in the accompanying consolidated balance sheets as of January 31, 2011 and April 30, 2010.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(8) Share-Based Compensation</w:t>
      </w:r>
    </w:p>
    <w:p>
      <w:pPr>
        <w:spacing w:after="0" w:line="172" w:lineRule="exact"/>
        <w:rPr>
          <w:sz w:val="20"/>
          <w:szCs w:val="20"/>
          <w:color w:val="auto"/>
        </w:rPr>
      </w:pPr>
    </w:p>
    <w:p>
      <w:pPr>
        <w:ind w:left="260" w:right="1919"/>
        <w:spacing w:after="0" w:line="257" w:lineRule="auto"/>
        <w:rPr>
          <w:sz w:val="20"/>
          <w:szCs w:val="20"/>
          <w:color w:val="auto"/>
        </w:rPr>
      </w:pPr>
      <w:r>
        <w:rPr>
          <w:rFonts w:ascii="Arial" w:cs="Arial" w:eastAsia="Arial" w:hAnsi="Arial"/>
          <w:sz w:val="15"/>
          <w:szCs w:val="15"/>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related to all share-based transactions recorded in the consolidated statements of operations was approximately $954,000 and $872,000 for the nine months ended January 31, 2011 and 2010, respectively.</w:t>
      </w:r>
    </w:p>
    <w:p>
      <w:pPr>
        <w:spacing w:after="0" w:line="200" w:lineRule="exact"/>
        <w:rPr>
          <w:sz w:val="20"/>
          <w:szCs w:val="20"/>
          <w:color w:val="auto"/>
        </w:rPr>
      </w:pPr>
    </w:p>
    <w:p>
      <w:pPr>
        <w:spacing w:after="0" w:line="257"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2"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jc w:val="center"/>
        <w:ind w:right="1519"/>
        <w:spacing w:after="0"/>
        <w:rPr>
          <w:sz w:val="20"/>
          <w:szCs w:val="20"/>
          <w:color w:val="auto"/>
        </w:rPr>
      </w:pPr>
      <w:r>
        <w:rPr>
          <w:rFonts w:ascii="Arial" w:cs="Arial" w:eastAsia="Arial" w:hAnsi="Arial"/>
          <w:sz w:val="15"/>
          <w:szCs w:val="15"/>
          <w:b w:val="1"/>
          <w:bCs w:val="1"/>
          <w:color w:val="auto"/>
        </w:rPr>
        <w:t>(Unaudited)</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(a) Stock Options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Valuation Assumptions for Options Granted During the Nine Months Ended January 31, 2011 and 2010</w:t>
      </w:r>
    </w:p>
    <w:p>
      <w:pPr>
        <w:spacing w:after="0" w:line="161" w:lineRule="exact"/>
        <w:rPr>
          <w:sz w:val="20"/>
          <w:szCs w:val="20"/>
          <w:color w:val="auto"/>
        </w:rPr>
      </w:pPr>
    </w:p>
    <w:p>
      <w:pPr>
        <w:ind w:left="260" w:right="1779"/>
        <w:spacing w:after="0" w:line="279" w:lineRule="auto"/>
        <w:rPr>
          <w:sz w:val="20"/>
          <w:szCs w:val="20"/>
          <w:color w:val="auto"/>
        </w:rPr>
      </w:pPr>
      <w:r>
        <w:rPr>
          <w:rFonts w:ascii="Arial" w:cs="Arial" w:eastAsia="Arial" w:hAnsi="Arial"/>
          <w:sz w:val="14"/>
          <w:szCs w:val="14"/>
          <w:color w:val="auto"/>
        </w:rPr>
        <w:t xml:space="preserve">The fair value of each stock option granted during the nine months ended January 31, 2011 and 2010 were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4"/>
          <w:szCs w:val="14"/>
          <w:i w:val="1"/>
          <w:iCs w:val="1"/>
          <w:color w:val="auto"/>
        </w:rPr>
        <w:t>Share-Based Payment.</w:t>
      </w:r>
      <w:r>
        <w:rPr>
          <w:rFonts w:ascii="Arial" w:cs="Arial" w:eastAsia="Arial" w:hAnsi="Arial"/>
          <w:sz w:val="14"/>
          <w:szCs w:val="14"/>
          <w:color w:val="auto"/>
        </w:rPr>
        <w:t xml:space="preserve"> Expected volatility was based on historical volatility for a peer group of companies for a period equal to the stock option’s expected life, calculated on a daily basis.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5920" w:type="dxa"/>
            <w:vAlign w:val="bottom"/>
          </w:tcPr>
          <w:p>
            <w:pPr>
              <w:spacing w:after="0"/>
              <w:rPr>
                <w:sz w:val="16"/>
                <w:szCs w:val="16"/>
                <w:color w:val="auto"/>
              </w:rPr>
            </w:pPr>
          </w:p>
        </w:tc>
        <w:tc>
          <w:tcPr>
            <w:tcW w:w="2260" w:type="dxa"/>
            <w:vAlign w:val="bottom"/>
            <w:gridSpan w:val="4"/>
          </w:tcPr>
          <w:p>
            <w:pPr>
              <w:jc w:val="right"/>
              <w:ind w:right="160"/>
              <w:spacing w:after="0"/>
              <w:rPr>
                <w:sz w:val="20"/>
                <w:szCs w:val="20"/>
                <w:color w:val="auto"/>
              </w:rPr>
            </w:pPr>
            <w:r>
              <w:rPr>
                <w:rFonts w:ascii="Arial" w:cs="Arial" w:eastAsia="Arial" w:hAnsi="Arial"/>
                <w:sz w:val="15"/>
                <w:szCs w:val="15"/>
                <w:b w:val="1"/>
                <w:bCs w:val="1"/>
                <w:color w:val="auto"/>
                <w:w w:val="91"/>
              </w:rPr>
              <w:t>Nine Months Ended January 31,</w:t>
            </w:r>
          </w:p>
        </w:tc>
      </w:tr>
      <w:tr>
        <w:trPr>
          <w:trHeight w:val="174"/>
        </w:trPr>
        <w:tc>
          <w:tcPr>
            <w:tcW w:w="59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2011</w:t>
            </w:r>
          </w:p>
        </w:tc>
        <w:tc>
          <w:tcPr>
            <w:tcW w:w="400" w:type="dxa"/>
            <w:vAlign w:val="bottom"/>
            <w:tcBorders>
              <w:top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5"/>
                <w:szCs w:val="15"/>
                <w:color w:val="auto"/>
              </w:rPr>
            </w:pPr>
          </w:p>
        </w:tc>
      </w:tr>
      <w:tr>
        <w:trPr>
          <w:trHeight w:val="173"/>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w:t>
            </w:r>
          </w:p>
        </w:tc>
      </w:tr>
      <w:tr>
        <w:trPr>
          <w:trHeight w:val="182"/>
        </w:trPr>
        <w:tc>
          <w:tcPr>
            <w:tcW w:w="592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0.0%</w:t>
            </w: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0.0%</w:t>
            </w:r>
          </w:p>
        </w:tc>
      </w:tr>
      <w:tr>
        <w:trPr>
          <w:trHeight w:val="182"/>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Expected life</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6.4 years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 years</w:t>
            </w:r>
          </w:p>
        </w:tc>
      </w:tr>
      <w:tr>
        <w:trPr>
          <w:trHeight w:val="191"/>
        </w:trPr>
        <w:tc>
          <w:tcPr>
            <w:tcW w:w="5920" w:type="dxa"/>
            <w:vAlign w:val="bottom"/>
          </w:tcPr>
          <w:p>
            <w:pPr>
              <w:spacing w:after="0"/>
              <w:rPr>
                <w:sz w:val="20"/>
                <w:szCs w:val="20"/>
                <w:color w:val="auto"/>
              </w:rPr>
            </w:pPr>
            <w:r>
              <w:rPr>
                <w:rFonts w:ascii="Arial" w:cs="Arial" w:eastAsia="Arial" w:hAnsi="Arial"/>
                <w:sz w:val="15"/>
                <w:szCs w:val="15"/>
                <w:color w:val="auto"/>
              </w:rPr>
              <w:t>Expected volatility</w:t>
            </w: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93.8%</w:t>
            </w: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81.7%</w:t>
            </w:r>
          </w:p>
        </w:tc>
      </w:tr>
    </w:tbl>
    <w:p>
      <w:pPr>
        <w:spacing w:after="0" w:line="139" w:lineRule="exact"/>
        <w:rPr>
          <w:sz w:val="20"/>
          <w:szCs w:val="20"/>
          <w:color w:val="auto"/>
        </w:rPr>
      </w:pPr>
    </w:p>
    <w:p>
      <w:pPr>
        <w:ind w:left="260" w:right="1839"/>
        <w:spacing w:after="0" w:line="277" w:lineRule="auto"/>
        <w:rPr>
          <w:sz w:val="20"/>
          <w:szCs w:val="20"/>
          <w:color w:val="auto"/>
        </w:rPr>
      </w:pPr>
      <w:r>
        <w:rPr>
          <w:rFonts w:ascii="Arial" w:cs="Arial" w:eastAsia="Arial" w:hAnsi="Arial"/>
          <w:sz w:val="15"/>
          <w:szCs w:val="15"/>
          <w:color w:val="auto"/>
        </w:rPr>
        <w:t>The above assumptions were used to determine the weighted average per share fair value of $5.36 and $4.42 for stock options granted during the nine months ended January 31, 2011 and 2010, respectively.</w:t>
      </w:r>
    </w:p>
    <w:p>
      <w:pPr>
        <w:spacing w:after="0" w:line="112" w:lineRule="exact"/>
        <w:rPr>
          <w:sz w:val="20"/>
          <w:szCs w:val="20"/>
          <w:color w:val="auto"/>
        </w:rPr>
      </w:pPr>
    </w:p>
    <w:tbl>
      <w:tblPr>
        <w:tblLayout w:type="fixed"/>
        <w:tblInd w:w="260" w:type="dxa"/>
        <w:tblCellMar>
          <w:top w:w="0" w:type="dxa"/>
          <w:left w:w="0" w:type="dxa"/>
          <w:bottom w:w="0" w:type="dxa"/>
          <w:right w:w="0" w:type="dxa"/>
        </w:tblCellMar>
      </w:tblPr>
      <w:tr>
        <w:trPr>
          <w:trHeight w:val="191"/>
        </w:trPr>
        <w:tc>
          <w:tcPr>
            <w:tcW w:w="5000" w:type="dxa"/>
            <w:vAlign w:val="bottom"/>
            <w:gridSpan w:val="2"/>
          </w:tcPr>
          <w:p>
            <w:pPr>
              <w:spacing w:after="0"/>
              <w:rPr>
                <w:sz w:val="20"/>
                <w:szCs w:val="20"/>
                <w:color w:val="auto"/>
              </w:rPr>
            </w:pPr>
            <w:r>
              <w:rPr>
                <w:rFonts w:ascii="Arial" w:cs="Arial" w:eastAsia="Arial" w:hAnsi="Arial"/>
                <w:sz w:val="15"/>
                <w:szCs w:val="15"/>
                <w:color w:val="auto"/>
              </w:rPr>
              <w:t>A summary of stock options under the plans is as follows:</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Weighted</w:t>
            </w:r>
          </w:p>
        </w:tc>
        <w:tc>
          <w:tcPr>
            <w:tcW w:w="9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Average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3"/>
              </w:rPr>
              <w:t>Shares</w:t>
            </w:r>
          </w:p>
        </w:tc>
        <w:tc>
          <w:tcPr>
            <w:tcW w:w="11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Average</w:t>
            </w:r>
          </w:p>
        </w:tc>
        <w:tc>
          <w:tcPr>
            <w:tcW w:w="9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Remaining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Underlying</w:t>
            </w: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Exercise</w:t>
            </w:r>
          </w:p>
        </w:tc>
        <w:tc>
          <w:tcPr>
            <w:tcW w:w="9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3"/>
              </w:rPr>
              <w:t>Contractual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Options</w:t>
            </w: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Price</w:t>
            </w:r>
          </w:p>
        </w:tc>
        <w:tc>
          <w:tcPr>
            <w:tcW w:w="9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2"/>
              </w:rPr>
              <w:t>Term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(In Years)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Outstanding April 30, 2010</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1,375,453</w:t>
            </w:r>
          </w:p>
        </w:tc>
        <w:tc>
          <w:tcPr>
            <w:tcW w:w="3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11.87</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5"/>
                <w:szCs w:val="15"/>
                <w:color w:val="auto"/>
              </w:rPr>
              <w:t>Forfeited</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(121,211)</w:t>
            </w:r>
          </w:p>
        </w:tc>
        <w:tc>
          <w:tcPr>
            <w:tcW w:w="1120" w:type="dxa"/>
            <w:vAlign w:val="bottom"/>
            <w:gridSpan w:val="2"/>
          </w:tcPr>
          <w:p>
            <w:pPr>
              <w:jc w:val="right"/>
              <w:ind w:right="320"/>
              <w:spacing w:after="0"/>
              <w:rPr>
                <w:sz w:val="20"/>
                <w:szCs w:val="20"/>
                <w:color w:val="auto"/>
              </w:rPr>
            </w:pPr>
            <w:r>
              <w:rPr>
                <w:rFonts w:ascii="Arial" w:cs="Arial" w:eastAsia="Arial" w:hAnsi="Arial"/>
                <w:sz w:val="15"/>
                <w:szCs w:val="15"/>
                <w:color w:val="auto"/>
              </w:rPr>
              <w:t>11.16</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Arial" w:cs="Arial" w:eastAsia="Arial" w:hAnsi="Arial"/>
                <w:sz w:val="15"/>
                <w:szCs w:val="15"/>
                <w:color w:val="auto"/>
              </w:rPr>
              <w:t>Granted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283,705</w:t>
            </w:r>
          </w:p>
        </w:tc>
        <w:tc>
          <w:tcPr>
            <w:tcW w:w="34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color w:val="auto"/>
              </w:rPr>
              <w:t>5.36</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Outstanding January 31, 2011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1,537,947</w:t>
            </w:r>
          </w:p>
        </w:tc>
        <w:tc>
          <w:tcPr>
            <w:tcW w:w="3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10.73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5"/>
                <w:szCs w:val="15"/>
                <w:color w:val="auto"/>
              </w:rPr>
              <w:t>Exercisable January 31, 2011</w:t>
            </w: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12.91</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3.3</w:t>
            </w:r>
          </w:p>
        </w:tc>
        <w:tc>
          <w:tcPr>
            <w:tcW w:w="0" w:type="dxa"/>
            <w:vAlign w:val="bottom"/>
          </w:tcPr>
          <w:p>
            <w:pPr>
              <w:spacing w:after="0" w:line="20" w:lineRule="exact"/>
              <w:rPr>
                <w:sz w:val="1"/>
                <w:szCs w:val="1"/>
                <w:color w:val="auto"/>
              </w:rPr>
            </w:pPr>
          </w:p>
        </w:tc>
      </w:tr>
      <w:tr>
        <w:trPr>
          <w:trHeight w:val="166"/>
        </w:trPr>
        <w:tc>
          <w:tcPr>
            <w:tcW w:w="5000" w:type="dxa"/>
            <w:vAlign w:val="bottom"/>
            <w:gridSpan w:val="2"/>
            <w:vMerge w:val="continue"/>
          </w:tcPr>
          <w:p>
            <w:pPr>
              <w:spacing w:after="0"/>
              <w:rPr>
                <w:sz w:val="14"/>
                <w:szCs w:val="14"/>
                <w:color w:val="auto"/>
              </w:rPr>
            </w:pP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978,265</w:t>
            </w:r>
          </w:p>
        </w:tc>
        <w:tc>
          <w:tcPr>
            <w:tcW w:w="3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right="1799"/>
        <w:spacing w:after="0" w:line="304" w:lineRule="auto"/>
        <w:rPr>
          <w:sz w:val="20"/>
          <w:szCs w:val="20"/>
          <w:color w:val="auto"/>
        </w:rPr>
      </w:pPr>
      <w:r>
        <w:rPr>
          <w:rFonts w:ascii="Arial" w:cs="Arial" w:eastAsia="Arial" w:hAnsi="Arial"/>
          <w:sz w:val="13"/>
          <w:szCs w:val="13"/>
          <w:color w:val="auto"/>
        </w:rPr>
        <w:t>The total intrinsic value of outstanding and exercisable options as of January 31, 2011 was $13,000. As of January 31, 2011, approximately 560,000 additional options are expected to vest, which have $32,000 intrinsic value and a weighted average remaining contractual term of 8.7 years. There was approximately $753,000 of total recognized compensation cost for the nine months ended January 31, 2011 related to stock options. As of January 31, 2011, there was approximately $2,090,000 of total unrecognized compensation cost related to non-vested stock options granted under the plans. This cost is expected to be recognized over a weighted-average period of 3.4 years. The Company normally issues new shares to satisfy option exercises under these plans.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(b) Restricted Stock</w:t>
      </w:r>
    </w:p>
    <w:p>
      <w:pPr>
        <w:spacing w:after="0" w:line="157" w:lineRule="exact"/>
        <w:rPr>
          <w:sz w:val="20"/>
          <w:szCs w:val="20"/>
          <w:color w:val="auto"/>
        </w:rPr>
      </w:pPr>
    </w:p>
    <w:p>
      <w:pPr>
        <w:ind w:left="260" w:right="1899"/>
        <w:spacing w:after="0" w:line="261" w:lineRule="auto"/>
        <w:rPr>
          <w:sz w:val="20"/>
          <w:szCs w:val="20"/>
          <w:color w:val="auto"/>
        </w:rPr>
      </w:pPr>
      <w:r>
        <w:rPr>
          <w:rFonts w:ascii="Arial" w:cs="Arial" w:eastAsia="Arial" w:hAnsi="Arial"/>
          <w:sz w:val="15"/>
          <w:szCs w:val="15"/>
          <w:color w:val="auto"/>
        </w:rPr>
        <w:t>Compensation expense for non-vested restricted stock was historically recorded based on its market value on the date of grant and recognized over the associated service and performance period. During the nine months ended January 31, 2011, there were 33,620 shares of non-vested restricted stock granted to employees and non-employee board members with service and/or performance-based vesting requirements.</w:t>
      </w:r>
    </w:p>
    <w:p>
      <w:pPr>
        <w:spacing w:after="0" w:line="200" w:lineRule="exact"/>
        <w:rPr>
          <w:sz w:val="20"/>
          <w:szCs w:val="20"/>
          <w:color w:val="auto"/>
        </w:rPr>
      </w:pPr>
    </w:p>
    <w:p>
      <w:pPr>
        <w:spacing w:after="0" w:line="264"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2"/>
        </w:trPr>
        <w:tc>
          <w:tcPr>
            <w:tcW w:w="6400" w:type="dxa"/>
            <w:vAlign w:val="bottom"/>
            <w:gridSpan w:val="3"/>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400" w:type="dxa"/>
            <w:vAlign w:val="bottom"/>
            <w:gridSpan w:val="3"/>
          </w:tcPr>
          <w:p>
            <w:pPr>
              <w:ind w:left="260"/>
              <w:spacing w:after="0"/>
              <w:rPr>
                <w:sz w:val="20"/>
                <w:szCs w:val="20"/>
                <w:color w:val="auto"/>
              </w:rPr>
            </w:pPr>
            <w:r>
              <w:rPr>
                <w:rFonts w:ascii="Arial" w:cs="Arial" w:eastAsia="Arial" w:hAnsi="Arial"/>
                <w:sz w:val="15"/>
                <w:szCs w:val="15"/>
                <w:color w:val="auto"/>
              </w:rPr>
              <w:t>A summary of non-vested restricted stock under the plans is as follows: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Average</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Number</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Price per</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of Shares</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Share</w:t>
            </w:r>
          </w:p>
        </w:tc>
        <w:tc>
          <w:tcPr>
            <w:tcW w:w="0" w:type="dxa"/>
            <w:vAlign w:val="bottom"/>
          </w:tcPr>
          <w:p>
            <w:pPr>
              <w:spacing w:after="0"/>
              <w:rPr>
                <w:sz w:val="1"/>
                <w:szCs w:val="1"/>
                <w:color w:val="auto"/>
              </w:rPr>
            </w:pPr>
          </w:p>
        </w:tc>
      </w:tr>
      <w:tr>
        <w:trPr>
          <w:trHeight w:val="174"/>
        </w:trPr>
        <w:tc>
          <w:tcPr>
            <w:tcW w:w="26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Issued and unvested at April 30, 2010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157,124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6.35</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614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33,620</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5.32</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Forfeited</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(5,000)</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6.40</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6140" w:type="dxa"/>
            <w:vAlign w:val="bottom"/>
            <w:gridSpan w:val="2"/>
          </w:tcPr>
          <w:p>
            <w:pPr>
              <w:spacing w:after="0"/>
              <w:rPr>
                <w:sz w:val="20"/>
                <w:szCs w:val="20"/>
                <w:color w:val="auto"/>
              </w:rPr>
            </w:pPr>
            <w:r>
              <w:rPr>
                <w:rFonts w:ascii="Arial" w:cs="Arial" w:eastAsia="Arial" w:hAnsi="Arial"/>
                <w:sz w:val="15"/>
                <w:szCs w:val="15"/>
                <w:color w:val="auto"/>
              </w:rPr>
              <w:t>Vested</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(31,791)</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6.14</w:t>
            </w:r>
          </w:p>
        </w:tc>
        <w:tc>
          <w:tcPr>
            <w:tcW w:w="0" w:type="dxa"/>
            <w:vAlign w:val="bottom"/>
          </w:tcPr>
          <w:p>
            <w:pPr>
              <w:spacing w:after="0"/>
              <w:rPr>
                <w:sz w:val="1"/>
                <w:szCs w:val="1"/>
                <w:color w:val="auto"/>
              </w:rPr>
            </w:pPr>
          </w:p>
        </w:tc>
      </w:tr>
      <w:tr>
        <w:trPr>
          <w:trHeight w:val="23"/>
        </w:trPr>
        <w:tc>
          <w:tcPr>
            <w:tcW w:w="26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 w:type="dxa"/>
            <w:vAlign w:val="bottom"/>
            <w:vMerge w:val="continue"/>
          </w:tcPr>
          <w:p>
            <w:pPr>
              <w:spacing w:after="0"/>
              <w:rPr>
                <w:sz w:val="15"/>
                <w:szCs w:val="15"/>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Issued and unvested at January 31, 2011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153,953</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260" w:right="1999"/>
        <w:spacing w:after="0" w:line="324" w:lineRule="auto"/>
        <w:rPr>
          <w:sz w:val="20"/>
          <w:szCs w:val="20"/>
          <w:color w:val="auto"/>
        </w:rPr>
      </w:pPr>
      <w:r>
        <w:rPr>
          <w:rFonts w:ascii="Arial" w:cs="Arial" w:eastAsia="Arial" w:hAnsi="Arial"/>
          <w:sz w:val="13"/>
          <w:szCs w:val="13"/>
          <w:color w:val="auto"/>
        </w:rPr>
        <w:t>There was approximately $201,000 of total recognized compensation cost for the nine months ended January 31, 2011 related to restricted stock. As of January 31, 2011, there was approximately $801,000 of total unrecognized compensation cost related to non-vested restricted stock granted under the plans. This cost is expected to be recognized over a weighted average period of 2.2 years.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(c)Treasury Stock</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During the three months ended January 31, 2011, 5,601 shares of common stock were purchased by the Company.</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(9) Commitments and Contingencies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Litigation</w:t>
      </w:r>
    </w:p>
    <w:p>
      <w:pPr>
        <w:spacing w:after="0" w:line="157" w:lineRule="exact"/>
        <w:rPr>
          <w:sz w:val="20"/>
          <w:szCs w:val="20"/>
          <w:color w:val="auto"/>
        </w:rPr>
      </w:pPr>
    </w:p>
    <w:p>
      <w:pPr>
        <w:jc w:val="both"/>
        <w:ind w:left="260" w:right="1959"/>
        <w:spacing w:after="0" w:line="357" w:lineRule="auto"/>
        <w:rPr>
          <w:sz w:val="20"/>
          <w:szCs w:val="20"/>
          <w:color w:val="auto"/>
        </w:rPr>
      </w:pPr>
      <w:r>
        <w:rPr>
          <w:rFonts w:ascii="Arial" w:cs="Arial" w:eastAsia="Arial" w:hAnsi="Arial"/>
          <w:sz w:val="13"/>
          <w:szCs w:val="13"/>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Spain Construction Agreement</w:t>
      </w:r>
    </w:p>
    <w:p>
      <w:pPr>
        <w:spacing w:after="0" w:line="157" w:lineRule="exact"/>
        <w:rPr>
          <w:sz w:val="20"/>
          <w:szCs w:val="20"/>
          <w:color w:val="auto"/>
        </w:rPr>
      </w:pPr>
    </w:p>
    <w:p>
      <w:pPr>
        <w:ind w:left="260" w:right="1859"/>
        <w:spacing w:after="0" w:line="277" w:lineRule="auto"/>
        <w:rPr>
          <w:sz w:val="20"/>
          <w:szCs w:val="20"/>
          <w:color w:val="auto"/>
        </w:rPr>
      </w:pPr>
      <w:r>
        <w:rPr>
          <w:rFonts w:ascii="Arial" w:cs="Arial" w:eastAsia="Arial" w:hAnsi="Arial"/>
          <w:sz w:val="14"/>
          <w:szCs w:val="14"/>
          <w:color w:val="auto"/>
        </w:rPr>
        <w:t>The Company is currently engaged with Iberdrola Energias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January 31, 2011, the Company does not believe that the outcome of this matter will have a material adverse effect on the Company’s financial position or results of operations.</w:t>
      </w:r>
    </w:p>
    <w:p>
      <w:pPr>
        <w:spacing w:after="0" w:line="200" w:lineRule="exact"/>
        <w:rPr>
          <w:sz w:val="20"/>
          <w:szCs w:val="20"/>
          <w:color w:val="auto"/>
        </w:rPr>
      </w:pPr>
    </w:p>
    <w:p>
      <w:pPr>
        <w:spacing w:after="0" w:line="258"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jc w:val="center"/>
        <w:ind w:right="2740"/>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2" w:lineRule="exact"/>
        <w:rPr>
          <w:sz w:val="20"/>
          <w:szCs w:val="20"/>
          <w:color w:val="auto"/>
        </w:rPr>
      </w:pPr>
    </w:p>
    <w:p>
      <w:pPr>
        <w:jc w:val="center"/>
        <w:ind w:right="27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jc w:val="center"/>
        <w:ind w:right="2740"/>
        <w:spacing w:after="0"/>
        <w:rPr>
          <w:sz w:val="20"/>
          <w:szCs w:val="20"/>
          <w:color w:val="auto"/>
        </w:rPr>
      </w:pPr>
      <w:r>
        <w:rPr>
          <w:rFonts w:ascii="Arial" w:cs="Arial" w:eastAsia="Arial" w:hAnsi="Arial"/>
          <w:sz w:val="15"/>
          <w:szCs w:val="15"/>
          <w:b w:val="1"/>
          <w:bCs w:val="1"/>
          <w:color w:val="auto"/>
        </w:rPr>
        <w:t>(Unaudited)</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(10) Income Taxes</w:t>
      </w:r>
    </w:p>
    <w:p>
      <w:pPr>
        <w:spacing w:after="0" w:line="161" w:lineRule="exact"/>
        <w:rPr>
          <w:sz w:val="20"/>
          <w:szCs w:val="20"/>
          <w:color w:val="auto"/>
        </w:rPr>
      </w:pPr>
    </w:p>
    <w:p>
      <w:pPr>
        <w:ind w:left="260" w:right="3040"/>
        <w:spacing w:after="0" w:line="277" w:lineRule="auto"/>
        <w:rPr>
          <w:sz w:val="20"/>
          <w:szCs w:val="20"/>
          <w:color w:val="auto"/>
        </w:rPr>
      </w:pPr>
      <w:r>
        <w:rPr>
          <w:rFonts w:ascii="Arial" w:cs="Arial" w:eastAsia="Arial" w:hAnsi="Arial"/>
          <w:sz w:val="15"/>
          <w:szCs w:val="15"/>
          <w:color w:val="auto"/>
        </w:rPr>
        <w:t>During the three months ended January 31, 2011, the Company recorded an income tax benefit of $364,105, representing the proceeds from the sale of $4,446,000 of New Jersey net operating loss carryforwards.</w:t>
      </w:r>
    </w:p>
    <w:p>
      <w:pPr>
        <w:spacing w:after="0" w:line="112" w:lineRule="exact"/>
        <w:rPr>
          <w:sz w:val="20"/>
          <w:szCs w:val="20"/>
          <w:color w:val="auto"/>
        </w:rPr>
      </w:pPr>
    </w:p>
    <w:p>
      <w:pPr>
        <w:ind w:left="260" w:right="3160"/>
        <w:spacing w:after="0" w:line="313" w:lineRule="auto"/>
        <w:rPr>
          <w:sz w:val="20"/>
          <w:szCs w:val="20"/>
          <w:color w:val="auto"/>
        </w:rPr>
      </w:pPr>
      <w:r>
        <w:rPr>
          <w:rFonts w:ascii="Arial" w:cs="Arial" w:eastAsia="Arial" w:hAnsi="Arial"/>
          <w:sz w:val="13"/>
          <w:szCs w:val="13"/>
          <w:color w:val="auto"/>
        </w:rPr>
        <w:t>Other than as a result of the sale of New Jersey net operating loss carryforwards, the Company did not recognize any consolidated income tax benefit (expense) for the three and nine month periods ended January 31, 2011 and 2010.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During the nine months ended January 31, 2011, the Company had no material changes in uncertain tax positions.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(11) Operating Segments and Geographic Information</w:t>
      </w:r>
    </w:p>
    <w:p>
      <w:pPr>
        <w:spacing w:after="0" w:line="161" w:lineRule="exact"/>
        <w:rPr>
          <w:sz w:val="20"/>
          <w:szCs w:val="20"/>
          <w:color w:val="auto"/>
        </w:rPr>
      </w:pPr>
    </w:p>
    <w:p>
      <w:pPr>
        <w:ind w:left="260" w:right="3080"/>
        <w:spacing w:after="0" w:line="261" w:lineRule="auto"/>
        <w:rPr>
          <w:sz w:val="20"/>
          <w:szCs w:val="20"/>
          <w:color w:val="auto"/>
        </w:rPr>
      </w:pPr>
      <w:r>
        <w:rPr>
          <w:rFonts w:ascii="Arial" w:cs="Arial" w:eastAsia="Arial" w:hAnsi="Arial"/>
          <w:sz w:val="15"/>
          <w:szCs w:val="15"/>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Australia, respectively. Revenues are generally attributed to the operating unit that bills the customers.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0" w:type="dxa"/>
            <w:vAlign w:val="bottom"/>
            <w:gridSpan w:val="2"/>
          </w:tcPr>
          <w:p>
            <w:pPr>
              <w:ind w:left="260"/>
              <w:spacing w:after="0"/>
              <w:rPr>
                <w:sz w:val="20"/>
                <w:szCs w:val="20"/>
                <w:color w:val="auto"/>
              </w:rPr>
            </w:pPr>
            <w:r>
              <w:rPr>
                <w:rFonts w:ascii="Arial" w:cs="Arial" w:eastAsia="Arial" w:hAnsi="Arial"/>
                <w:sz w:val="15"/>
                <w:szCs w:val="15"/>
                <w:color w:val="auto"/>
              </w:rPr>
              <w:t>Geographic information is as follows: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5"/>
                <w:szCs w:val="15"/>
                <w:b w:val="1"/>
                <w:bCs w:val="1"/>
                <w:color w:val="auto"/>
              </w:rPr>
              <w:t>North America</w:t>
            </w:r>
          </w:p>
        </w:tc>
        <w:tc>
          <w:tcPr>
            <w:tcW w:w="114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Europe</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Australia</w:t>
            </w:r>
          </w:p>
        </w:tc>
        <w:tc>
          <w:tcPr>
            <w:tcW w:w="9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 w:type="dxa"/>
            <w:vAlign w:val="bottom"/>
            <w:vMerge w:val="restart"/>
          </w:tcPr>
          <w:p>
            <w:pPr>
              <w:spacing w:after="0"/>
              <w:rPr>
                <w:sz w:val="15"/>
                <w:szCs w:val="15"/>
                <w:color w:val="auto"/>
              </w:rPr>
            </w:pPr>
          </w:p>
        </w:tc>
        <w:tc>
          <w:tcPr>
            <w:tcW w:w="37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Three months ended January 31, 2011</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Revenues from external customers</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1,194,094</w:t>
            </w:r>
          </w:p>
        </w:tc>
        <w:tc>
          <w:tcPr>
            <w:tcW w:w="820" w:type="dxa"/>
            <w:vAlign w:val="bottom"/>
          </w:tcPr>
          <w:p>
            <w:pPr>
              <w:jc w:val="right"/>
              <w:spacing w:after="0"/>
              <w:rPr>
                <w:sz w:val="20"/>
                <w:szCs w:val="20"/>
                <w:color w:val="auto"/>
              </w:rPr>
            </w:pPr>
            <w:r>
              <w:rPr>
                <w:rFonts w:ascii="Arial" w:cs="Arial" w:eastAsia="Arial" w:hAnsi="Arial"/>
                <w:sz w:val="15"/>
                <w:szCs w:val="15"/>
                <w:color w:val="auto"/>
              </w:rPr>
              <w:t>329,208</w:t>
            </w:r>
          </w:p>
        </w:tc>
        <w:tc>
          <w:tcPr>
            <w:tcW w:w="32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color w:val="auto"/>
              </w:rPr>
              <w:t>299</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1,523,601</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(3,422,876)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(374,869)</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(43,337)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(3,841,082)</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4000" w:type="dxa"/>
            <w:vAlign w:val="bottom"/>
            <w:gridSpan w:val="2"/>
          </w:tcPr>
          <w:p>
            <w:pPr>
              <w:ind w:left="260"/>
              <w:spacing w:after="0"/>
              <w:rPr>
                <w:sz w:val="20"/>
                <w:szCs w:val="20"/>
                <w:color w:val="auto"/>
              </w:rPr>
            </w:pPr>
            <w:r>
              <w:rPr>
                <w:rFonts w:ascii="Arial" w:cs="Arial" w:eastAsia="Arial" w:hAnsi="Arial"/>
                <w:sz w:val="15"/>
                <w:szCs w:val="15"/>
                <w:b w:val="1"/>
                <w:bCs w:val="1"/>
                <w:color w:val="auto"/>
              </w:rPr>
              <w:t>Three months ended January 31, 2010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external customers</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807,091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46,857</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2,534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856,482</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Operating loss</w:t>
            </w:r>
          </w:p>
        </w:tc>
        <w:tc>
          <w:tcPr>
            <w:tcW w:w="16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(5,831,992)</w:t>
            </w: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(193,985)</w:t>
            </w:r>
          </w:p>
        </w:tc>
        <w:tc>
          <w:tcPr>
            <w:tcW w:w="1120" w:type="dxa"/>
            <w:vAlign w:val="bottom"/>
            <w:gridSpan w:val="2"/>
          </w:tcPr>
          <w:p>
            <w:pPr>
              <w:jc w:val="right"/>
              <w:ind w:right="280"/>
              <w:spacing w:after="0"/>
              <w:rPr>
                <w:sz w:val="20"/>
                <w:szCs w:val="20"/>
                <w:color w:val="auto"/>
              </w:rPr>
            </w:pPr>
            <w:r>
              <w:rPr>
                <w:rFonts w:ascii="Arial" w:cs="Arial" w:eastAsia="Arial" w:hAnsi="Arial"/>
                <w:sz w:val="15"/>
                <w:szCs w:val="15"/>
                <w:color w:val="auto"/>
              </w:rPr>
              <w:t>(47,680)</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(6,073,657)</w:t>
            </w: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60" w:type="dxa"/>
            <w:vAlign w:val="bottom"/>
            <w:vMerge w:val="restart"/>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Nine months ended January 31, 2011</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Revenues from external customers</w:t>
            </w:r>
          </w:p>
        </w:tc>
        <w:tc>
          <w:tcPr>
            <w:tcW w:w="1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4,224,222</w:t>
            </w:r>
          </w:p>
        </w:tc>
        <w:tc>
          <w:tcPr>
            <w:tcW w:w="820" w:type="dxa"/>
            <w:vAlign w:val="bottom"/>
          </w:tcPr>
          <w:p>
            <w:pPr>
              <w:jc w:val="right"/>
              <w:spacing w:after="0"/>
              <w:rPr>
                <w:sz w:val="20"/>
                <w:szCs w:val="20"/>
                <w:color w:val="auto"/>
              </w:rPr>
            </w:pPr>
            <w:r>
              <w:rPr>
                <w:rFonts w:ascii="Arial" w:cs="Arial" w:eastAsia="Arial" w:hAnsi="Arial"/>
                <w:sz w:val="15"/>
                <w:szCs w:val="15"/>
                <w:color w:val="auto"/>
              </w:rPr>
              <w:t>528,860</w:t>
            </w:r>
          </w:p>
        </w:tc>
        <w:tc>
          <w:tcPr>
            <w:tcW w:w="32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color w:val="auto"/>
              </w:rPr>
              <w:t>9,333</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4,762,415</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(14,477,206)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(1,215,246)</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(156,053)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8"/>
              </w:rPr>
              <w:t>(15,848,505)</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4000" w:type="dxa"/>
            <w:vAlign w:val="bottom"/>
            <w:gridSpan w:val="2"/>
          </w:tcPr>
          <w:p>
            <w:pPr>
              <w:ind w:left="260"/>
              <w:spacing w:after="0"/>
              <w:rPr>
                <w:sz w:val="20"/>
                <w:szCs w:val="20"/>
                <w:color w:val="auto"/>
              </w:rPr>
            </w:pPr>
            <w:r>
              <w:rPr>
                <w:rFonts w:ascii="Arial" w:cs="Arial" w:eastAsia="Arial" w:hAnsi="Arial"/>
                <w:sz w:val="15"/>
                <w:szCs w:val="15"/>
                <w:b w:val="1"/>
                <w:bCs w:val="1"/>
                <w:color w:val="auto"/>
              </w:rPr>
              <w:t>Nine months ended January 31, 2010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external customers</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2,324,319</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346,209</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78,766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2,749,294</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Operating loss</w:t>
            </w:r>
          </w:p>
        </w:tc>
        <w:tc>
          <w:tcPr>
            <w:tcW w:w="16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w w:val="98"/>
              </w:rPr>
              <w:t>(14,081,449)</w:t>
            </w: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(655,730)</w:t>
            </w:r>
          </w:p>
        </w:tc>
        <w:tc>
          <w:tcPr>
            <w:tcW w:w="1120" w:type="dxa"/>
            <w:vAlign w:val="bottom"/>
            <w:gridSpan w:val="2"/>
          </w:tcPr>
          <w:p>
            <w:pPr>
              <w:jc w:val="right"/>
              <w:ind w:right="280"/>
              <w:spacing w:after="0"/>
              <w:rPr>
                <w:sz w:val="20"/>
                <w:szCs w:val="20"/>
                <w:color w:val="auto"/>
              </w:rPr>
            </w:pPr>
            <w:r>
              <w:rPr>
                <w:rFonts w:ascii="Arial" w:cs="Arial" w:eastAsia="Arial" w:hAnsi="Arial"/>
                <w:sz w:val="15"/>
                <w:szCs w:val="15"/>
                <w:color w:val="auto"/>
              </w:rPr>
              <w:t>(140,293)</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w w:val="98"/>
              </w:rPr>
              <w:t>(14,877,472)</w:t>
            </w: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60" w:type="dxa"/>
            <w:vAlign w:val="bottom"/>
            <w:vMerge w:val="restart"/>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January 31, 2011</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Long-lived assets</w:t>
            </w:r>
          </w:p>
        </w:tc>
        <w:tc>
          <w:tcPr>
            <w:tcW w:w="1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351,205</w:t>
            </w:r>
          </w:p>
        </w:tc>
        <w:tc>
          <w:tcPr>
            <w:tcW w:w="820" w:type="dxa"/>
            <w:vAlign w:val="bottom"/>
          </w:tcPr>
          <w:p>
            <w:pPr>
              <w:jc w:val="right"/>
              <w:spacing w:after="0"/>
              <w:rPr>
                <w:sz w:val="20"/>
                <w:szCs w:val="20"/>
                <w:color w:val="auto"/>
              </w:rPr>
            </w:pPr>
            <w:r>
              <w:rPr>
                <w:rFonts w:ascii="Arial" w:cs="Arial" w:eastAsia="Arial" w:hAnsi="Arial"/>
                <w:sz w:val="15"/>
                <w:szCs w:val="15"/>
                <w:color w:val="auto"/>
              </w:rPr>
              <w:t>192,281</w:t>
            </w:r>
          </w:p>
        </w:tc>
        <w:tc>
          <w:tcPr>
            <w:tcW w:w="32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543,486</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49,707,581</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6,744,156</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860,113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57,311,850</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4000" w:type="dxa"/>
            <w:vAlign w:val="bottom"/>
            <w:gridSpan w:val="2"/>
          </w:tcPr>
          <w:p>
            <w:pPr>
              <w:ind w:left="260"/>
              <w:spacing w:after="0"/>
              <w:rPr>
                <w:sz w:val="20"/>
                <w:szCs w:val="20"/>
                <w:color w:val="auto"/>
              </w:rPr>
            </w:pPr>
            <w:r>
              <w:rPr>
                <w:rFonts w:ascii="Arial" w:cs="Arial" w:eastAsia="Arial" w:hAnsi="Arial"/>
                <w:sz w:val="15"/>
                <w:szCs w:val="15"/>
                <w:b w:val="1"/>
                <w:bCs w:val="1"/>
                <w:color w:val="auto"/>
              </w:rPr>
              <w:t>April 30, 2010</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Long-lived assets</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448,022</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262,541</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710,563</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Total assets</w:t>
            </w: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67,424,387</w:t>
            </w:r>
          </w:p>
        </w:tc>
        <w:tc>
          <w:tcPr>
            <w:tcW w:w="820" w:type="dxa"/>
            <w:vAlign w:val="bottom"/>
          </w:tcPr>
          <w:p>
            <w:pPr>
              <w:jc w:val="right"/>
              <w:spacing w:after="0"/>
              <w:rPr>
                <w:sz w:val="20"/>
                <w:szCs w:val="20"/>
                <w:color w:val="auto"/>
              </w:rPr>
            </w:pPr>
            <w:r>
              <w:rPr>
                <w:rFonts w:ascii="Arial" w:cs="Arial" w:eastAsia="Arial" w:hAnsi="Arial"/>
                <w:sz w:val="15"/>
                <w:szCs w:val="15"/>
                <w:color w:val="auto"/>
              </w:rPr>
              <w:t>4,684,104</w:t>
            </w:r>
          </w:p>
        </w:tc>
        <w:tc>
          <w:tcPr>
            <w:tcW w:w="32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color w:val="auto"/>
              </w:rPr>
              <w:t>869,702</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72,978,193</w:t>
            </w: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7"/>
        </w:trPr>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484"/>
              <w:spacing w:after="0"/>
              <w:rPr>
                <w:sz w:val="20"/>
                <w:szCs w:val="20"/>
                <w:color w:val="auto"/>
              </w:rPr>
            </w:pPr>
            <w:r>
              <w:rPr>
                <w:rFonts w:ascii="Arial" w:cs="Arial" w:eastAsia="Arial" w:hAnsi="Arial"/>
                <w:sz w:val="15"/>
                <w:szCs w:val="15"/>
                <w:color w:val="auto"/>
              </w:rPr>
              <w:t>16</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0" w:type="dxa"/>
            <w:vAlign w:val="bottom"/>
            <w:tcBorders>
              <w:bottom w:val="single" w:sz="8" w:color="808080"/>
            </w:tcBorders>
          </w:tcPr>
          <w:p>
            <w:pPr>
              <w:spacing w:after="0"/>
              <w:rPr>
                <w:sz w:val="16"/>
                <w:szCs w:val="16"/>
                <w:color w:val="auto"/>
              </w:rPr>
            </w:pPr>
          </w:p>
        </w:tc>
        <w:tc>
          <w:tcPr>
            <w:tcW w:w="37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30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900" w:right="1799" w:hanging="646"/>
        <w:spacing w:after="0" w:line="277" w:lineRule="auto"/>
        <w:tabs>
          <w:tab w:leader="none" w:pos="88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8" w:lineRule="exact"/>
        <w:rPr>
          <w:sz w:val="20"/>
          <w:szCs w:val="20"/>
          <w:color w:val="auto"/>
        </w:rPr>
      </w:pPr>
    </w:p>
    <w:p>
      <w:pPr>
        <w:ind w:left="260" w:right="1819"/>
        <w:spacing w:after="0" w:line="265" w:lineRule="auto"/>
        <w:rPr>
          <w:sz w:val="20"/>
          <w:szCs w:val="20"/>
          <w:color w:val="auto"/>
        </w:rPr>
      </w:pPr>
      <w:r>
        <w:rPr>
          <w:rFonts w:ascii="Arial" w:cs="Arial" w:eastAsia="Arial" w:hAnsi="Arial"/>
          <w:sz w:val="15"/>
          <w:szCs w:val="15"/>
          <w:color w:val="auto"/>
        </w:rPr>
        <w:t>The following discussion and analysis should be read in conjunction with the accompanying unaudited consolidated financial statements and related notes included in this Quarterly Report on Form 10-Q. References to a fiscal year in this Form 10-Q refer to the year ended April 30 of that year (e.g., fiscal 2011 refers to the year ending April 30, 2011).</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Overview</w:t>
      </w:r>
    </w:p>
    <w:p>
      <w:pPr>
        <w:spacing w:after="0" w:line="161" w:lineRule="exact"/>
        <w:rPr>
          <w:sz w:val="20"/>
          <w:szCs w:val="20"/>
          <w:color w:val="auto"/>
        </w:rPr>
      </w:pPr>
    </w:p>
    <w:p>
      <w:pPr>
        <w:ind w:left="260" w:right="1819"/>
        <w:spacing w:after="0" w:line="279" w:lineRule="auto"/>
        <w:rPr>
          <w:sz w:val="20"/>
          <w:szCs w:val="20"/>
          <w:color w:val="auto"/>
        </w:rPr>
      </w:pPr>
      <w:r>
        <w:rPr>
          <w:rFonts w:ascii="Arial" w:cs="Arial" w:eastAsia="Arial" w:hAnsi="Arial"/>
          <w:sz w:val="14"/>
          <w:szCs w:val="14"/>
          <w:color w:val="auto"/>
        </w:rPr>
        <w:t xml:space="preserve">We develop and are commercializing proprietary systems that generate electricity by harnessing the renewable energy of ocean waves. Our PowerBuoy </w:t>
      </w:r>
      <w:r>
        <w:rPr>
          <w:rFonts w:ascii="Arial" w:cs="Arial" w:eastAsia="Arial" w:hAnsi="Arial"/>
          <w:sz w:val="11"/>
          <w:szCs w:val="11"/>
          <w:color w:val="auto"/>
        </w:rPr>
        <w:t>®</w:t>
      </w:r>
      <w:r>
        <w:rPr>
          <w:rFonts w:ascii="Arial" w:cs="Arial" w:eastAsia="Arial" w:hAnsi="Arial"/>
          <w:sz w:val="14"/>
          <w:szCs w:val="14"/>
          <w:color w:val="auto"/>
        </w:rPr>
        <w:t xml:space="preserve">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which are expected to provide a source of recurring revenues. In addition, we market our undersea substation pod and undersea power connection infrastructure services to other companies in the marine energy sector.</w:t>
      </w:r>
    </w:p>
    <w:p>
      <w:pPr>
        <w:spacing w:after="0" w:line="125" w:lineRule="exact"/>
        <w:rPr>
          <w:sz w:val="20"/>
          <w:szCs w:val="20"/>
          <w:color w:val="auto"/>
        </w:rPr>
      </w:pPr>
    </w:p>
    <w:p>
      <w:pPr>
        <w:ind w:left="260" w:right="1799"/>
        <w:spacing w:after="0" w:line="307" w:lineRule="auto"/>
        <w:rPr>
          <w:sz w:val="20"/>
          <w:szCs w:val="20"/>
          <w:color w:val="auto"/>
        </w:rPr>
      </w:pPr>
      <w:r>
        <w:rPr>
          <w:rFonts w:ascii="Arial" w:cs="Arial" w:eastAsia="Arial" w:hAnsi="Arial"/>
          <w:sz w:val="13"/>
          <w:szCs w:val="13"/>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99" w:lineRule="exact"/>
        <w:rPr>
          <w:sz w:val="20"/>
          <w:szCs w:val="20"/>
          <w:color w:val="auto"/>
        </w:rPr>
      </w:pPr>
    </w:p>
    <w:p>
      <w:pPr>
        <w:ind w:left="260" w:right="1819"/>
        <w:spacing w:after="0" w:line="261" w:lineRule="auto"/>
        <w:rPr>
          <w:sz w:val="20"/>
          <w:szCs w:val="20"/>
          <w:color w:val="auto"/>
        </w:rPr>
      </w:pPr>
      <w:r>
        <w:rPr>
          <w:rFonts w:ascii="Arial" w:cs="Arial" w:eastAsia="Arial" w:hAnsi="Arial"/>
          <w:sz w:val="15"/>
          <w:szCs w:val="15"/>
          <w:color w:val="auto"/>
        </w:rPr>
        <w:t>We were incorporated in New Jersey in April 1984, began commercial operations in 1994, and were re-incorporated in Delaware in 2007. We currently have three wholly-owned subsidiaries, which include Ocean Power Technologies Ltd., Reedsport OPT Wave Park LLC, and Oregon Wave Energy Partners I, LLC, and we own approximately 88% of the ordinary shares of Ocean Power Technologies (Australasia) Pty Ltd.</w:t>
      </w:r>
    </w:p>
    <w:p>
      <w:pPr>
        <w:spacing w:after="0" w:line="123" w:lineRule="exact"/>
        <w:rPr>
          <w:sz w:val="20"/>
          <w:szCs w:val="20"/>
          <w:color w:val="auto"/>
        </w:rPr>
      </w:pPr>
    </w:p>
    <w:p>
      <w:pPr>
        <w:ind w:left="260" w:right="1799"/>
        <w:spacing w:after="0" w:line="302" w:lineRule="auto"/>
        <w:rPr>
          <w:sz w:val="20"/>
          <w:szCs w:val="20"/>
          <w:color w:val="auto"/>
        </w:rPr>
      </w:pPr>
      <w:r>
        <w:rPr>
          <w:rFonts w:ascii="Arial" w:cs="Arial" w:eastAsia="Arial" w:hAnsi="Arial"/>
          <w:sz w:val="13"/>
          <w:szCs w:val="13"/>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still on-going project for the development and testing of our wave power systems at the US Marine Corps Base in Oahu, Hawaii. We generated our first revenue relating to our autonomous PowerBuoy system from contracts with Lockheed Martin Corporation, or Lockheed Martin, in fiscal 2003, and we entered into our first development and construction contract with Lockheed Martin in fiscal 2004 for the development and construction of a prototype demonstration autonomous PowerBuoy system.</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January 31, 2011, our backlog was $5.8 million, a decrease of $1.7 million from October 31, 2010.</w:t>
      </w:r>
    </w:p>
    <w:p>
      <w:pPr>
        <w:spacing w:after="0" w:line="157" w:lineRule="exact"/>
        <w:rPr>
          <w:sz w:val="20"/>
          <w:szCs w:val="20"/>
          <w:color w:val="auto"/>
        </w:rPr>
      </w:pPr>
    </w:p>
    <w:p>
      <w:pPr>
        <w:ind w:left="260" w:right="1879"/>
        <w:spacing w:after="0" w:line="275" w:lineRule="auto"/>
        <w:rPr>
          <w:sz w:val="20"/>
          <w:szCs w:val="20"/>
          <w:color w:val="auto"/>
        </w:rPr>
      </w:pPr>
      <w:r>
        <w:rPr>
          <w:rFonts w:ascii="Arial" w:cs="Arial" w:eastAsia="Arial" w:hAnsi="Arial"/>
          <w:sz w:val="14"/>
          <w:szCs w:val="14"/>
          <w:color w:val="auto"/>
        </w:rPr>
        <w:t>For the three months ended January 31, 2011, we generated revenues of $1.5 million and incurred a net loss attributable to Ocean Power Technologies, Inc. of $3.4 million, compared to revenues of $0.9 million and a net loss attributable to Ocean Power Technologies, Inc. of $5.6 million for the three months ended January 31, 2010. For the nine months ended January 31, 2011, we generated revenues of $4.8 million and incurred a net loss attributable to Ocean Power Technologies, Inc. of $15.1 million, compared to revenues of $2.7 million and a net loss attributable to Ocean Power Technologies, Inc. of $12.9 million for the nine months ended January 31, 2010. As of January 31, 2011, our accumulated deficit was $105.5 million. We have not been profitable since inception, and we do not know whether or when we will become profitable because of the significant uncertainties with respect to our ability to successfully commercialize our PowerBuoy systems in the emerging renewable energy market. Since fiscal 2002, the US Navy has accounted for a significant portion of our revenues. We expect that, over time, revenues derived from utilities and other non-government commercial customers will increase more rapidly than sales to government customers and may, over time, represent the majority of our revenues.</w:t>
      </w:r>
    </w:p>
    <w:p>
      <w:pPr>
        <w:spacing w:after="0" w:line="115" w:lineRule="exact"/>
        <w:rPr>
          <w:sz w:val="20"/>
          <w:szCs w:val="20"/>
          <w:color w:val="auto"/>
        </w:rPr>
      </w:pPr>
    </w:p>
    <w:p>
      <w:pPr>
        <w:ind w:left="260" w:right="1959"/>
        <w:spacing w:after="0" w:line="277" w:lineRule="auto"/>
        <w:rPr>
          <w:sz w:val="20"/>
          <w:szCs w:val="20"/>
          <w:color w:val="auto"/>
        </w:rPr>
      </w:pPr>
      <w:r>
        <w:rPr>
          <w:rFonts w:ascii="Arial" w:cs="Arial" w:eastAsia="Arial" w:hAnsi="Arial"/>
          <w:sz w:val="14"/>
          <w:szCs w:val="14"/>
          <w:color w:val="auto"/>
        </w:rPr>
        <w:t>The marine energy industry, including wave, tidal and ocean current energy technologies, is expected to benefit from various legislative initiatives that have been undertaken or are planned by state and federal agencies. For example, the US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legislation enables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200" w:lineRule="exact"/>
        <w:rPr>
          <w:sz w:val="20"/>
          <w:szCs w:val="20"/>
          <w:color w:val="auto"/>
        </w:rPr>
      </w:pPr>
    </w:p>
    <w:p>
      <w:pPr>
        <w:spacing w:after="0" w:line="258"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260" w:right="1819"/>
        <w:spacing w:after="0" w:line="299" w:lineRule="auto"/>
        <w:rPr>
          <w:sz w:val="20"/>
          <w:szCs w:val="20"/>
          <w:color w:val="auto"/>
        </w:rPr>
      </w:pPr>
      <w:r>
        <w:rPr>
          <w:rFonts w:ascii="Arial" w:cs="Arial" w:eastAsia="Arial" w:hAnsi="Arial"/>
          <w:sz w:val="13"/>
          <w:szCs w:val="13"/>
          <w:color w:val="auto"/>
        </w:rPr>
        <w:t>Further, it is expected that the US federal and state governments will continue to increase their investments in the renewable energy sector under various economic stimulus measures. The American Recovery and Reinvestment Act of 2009 provides significant grants, tax incentives and policy initiatives to stimulate investment and innovation in the “cleantech” sector. The US Department of Energy (DOE) has also accepted proposals to be funded under government programs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uncertainties surrounding the scope and size of these government programs, there can be no assurances as to whether we will be successful in obtaining significant additional government funding or as to the terms and conditions of any such funding.</w:t>
      </w:r>
    </w:p>
    <w:p>
      <w:pPr>
        <w:spacing w:after="0" w:line="116" w:lineRule="exact"/>
        <w:rPr>
          <w:sz w:val="20"/>
          <w:szCs w:val="20"/>
          <w:color w:val="auto"/>
        </w:rPr>
      </w:pPr>
    </w:p>
    <w:p>
      <w:pPr>
        <w:ind w:left="260" w:right="1839"/>
        <w:spacing w:after="0" w:line="276" w:lineRule="auto"/>
        <w:rPr>
          <w:sz w:val="20"/>
          <w:szCs w:val="20"/>
          <w:color w:val="auto"/>
        </w:rPr>
      </w:pPr>
      <w:r>
        <w:rPr>
          <w:rFonts w:ascii="Arial" w:cs="Arial" w:eastAsia="Arial" w:hAnsi="Arial"/>
          <w:sz w:val="14"/>
          <w:szCs w:val="14"/>
          <w:color w:val="auto"/>
        </w:rPr>
        <w:t>The recent global economic downturn may have a negative effect on our business, financial condition and results of operations because the utility companies with which we contract or propose to contract may decrease their investment in new power generation equipment in response to the downturn.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downturn will have a material negative impact on our sources of supply, as our products incorporate what are substantially non-custom, standard parts found in many regions of the world.</w:t>
      </w:r>
    </w:p>
    <w:p>
      <w:pPr>
        <w:spacing w:after="0" w:line="118" w:lineRule="exact"/>
        <w:rPr>
          <w:sz w:val="20"/>
          <w:szCs w:val="20"/>
          <w:color w:val="auto"/>
        </w:rPr>
      </w:pPr>
    </w:p>
    <w:p>
      <w:pPr>
        <w:jc w:val="both"/>
        <w:ind w:left="260" w:right="1839"/>
        <w:spacing w:after="0" w:line="324" w:lineRule="auto"/>
        <w:rPr>
          <w:sz w:val="20"/>
          <w:szCs w:val="20"/>
          <w:color w:val="auto"/>
        </w:rPr>
      </w:pPr>
      <w:r>
        <w:rPr>
          <w:rFonts w:ascii="Arial" w:cs="Arial" w:eastAsia="Arial" w:hAnsi="Arial"/>
          <w:sz w:val="13"/>
          <w:szCs w:val="13"/>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200" w:lineRule="exact"/>
        <w:rPr>
          <w:sz w:val="20"/>
          <w:szCs w:val="20"/>
          <w:color w:val="auto"/>
        </w:rPr>
      </w:pPr>
    </w:p>
    <w:p>
      <w:pPr>
        <w:spacing w:after="0" w:line="227"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Financial Operations Overview</w:t>
      </w:r>
    </w:p>
    <w:p>
      <w:pPr>
        <w:spacing w:after="0" w:line="172" w:lineRule="exact"/>
        <w:rPr>
          <w:sz w:val="20"/>
          <w:szCs w:val="20"/>
          <w:color w:val="auto"/>
        </w:rPr>
      </w:pPr>
    </w:p>
    <w:p>
      <w:pPr>
        <w:ind w:left="260" w:right="2379"/>
        <w:spacing w:after="0" w:line="277" w:lineRule="auto"/>
        <w:rPr>
          <w:sz w:val="20"/>
          <w:szCs w:val="20"/>
          <w:color w:val="auto"/>
        </w:rPr>
      </w:pPr>
      <w:r>
        <w:rPr>
          <w:rFonts w:ascii="Arial" w:cs="Arial" w:eastAsia="Arial" w:hAnsi="Arial"/>
          <w:sz w:val="15"/>
          <w:szCs w:val="15"/>
          <w:color w:val="auto"/>
        </w:rPr>
        <w:t>The following describes certain line items in our consolidated statements of operations and some of the factors that affect our operating results.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Revenues</w:t>
      </w:r>
    </w:p>
    <w:p>
      <w:pPr>
        <w:spacing w:after="0" w:line="157" w:lineRule="exact"/>
        <w:rPr>
          <w:sz w:val="20"/>
          <w:szCs w:val="20"/>
          <w:color w:val="auto"/>
        </w:rPr>
      </w:pPr>
    </w:p>
    <w:p>
      <w:pPr>
        <w:ind w:left="260" w:right="1799"/>
        <w:spacing w:after="0" w:line="302"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113" w:lineRule="exact"/>
        <w:rPr>
          <w:sz w:val="20"/>
          <w:szCs w:val="20"/>
          <w:color w:val="auto"/>
        </w:rPr>
      </w:pPr>
    </w:p>
    <w:p>
      <w:pPr>
        <w:ind w:left="260" w:right="1819"/>
        <w:spacing w:after="0" w:line="275" w:lineRule="auto"/>
        <w:rPr>
          <w:sz w:val="20"/>
          <w:szCs w:val="20"/>
          <w:color w:val="auto"/>
        </w:rPr>
      </w:pPr>
      <w:r>
        <w:rPr>
          <w:rFonts w:ascii="Arial" w:cs="Arial" w:eastAsia="Arial" w:hAnsi="Arial"/>
          <w:sz w:val="14"/>
          <w:szCs w:val="14"/>
          <w:color w:val="auto"/>
        </w:rPr>
        <w:t>Generally our contracts are either cost plus or fixed price contracts. Under cost plus contracts, we bill the customer for actual expenses incurred plus an agreed upon fee. Revenue is typically recorded using percentage-of-completion based on the maximum awarded contract amount. In certain cases, we may choose to incur costs in excess of the maximum awarded contract amount resulting in a loss on the contract. Currently, we have two types of fixed price contracts, firm fixed price and cost sharing. Under firm fixed price contracts, we receive an agreed upon amount for providing products and services that are specified in the contract. Revenue is typically recorded using percentage-of-completion based on the contract amount. Depending on whether actual costs are more or less than the agreed upon amount, there is a profit or loss on the project. Under cost sharing contracts, the fixed amount agreed upon with the customer is only intended to fund a portion of the costs on a specific project. We fund the remainder of the costs as part of our product development efforts. Revenue is typically recorded using percentage-of-completion based on the amount agreed upon with the customer. An amount corresponding to the revenue is recorded in cost of revenues resulting in gross profit on these contracts of zero. Our share of the costs is recorded as product development expense.</w:t>
      </w:r>
    </w:p>
    <w:p>
      <w:pPr>
        <w:spacing w:after="0" w:line="115" w:lineRule="exact"/>
        <w:rPr>
          <w:sz w:val="20"/>
          <w:szCs w:val="20"/>
          <w:color w:val="auto"/>
        </w:rPr>
      </w:pPr>
    </w:p>
    <w:p>
      <w:pPr>
        <w:ind w:left="260" w:right="1839"/>
        <w:spacing w:after="0" w:line="261" w:lineRule="auto"/>
        <w:rPr>
          <w:sz w:val="20"/>
          <w:szCs w:val="20"/>
          <w:color w:val="auto"/>
        </w:rPr>
      </w:pPr>
      <w:r>
        <w:rPr>
          <w:rFonts w:ascii="Arial" w:cs="Arial" w:eastAsia="Arial" w:hAnsi="Arial"/>
          <w:sz w:val="15"/>
          <w:szCs w:val="15"/>
          <w:color w:val="auto"/>
        </w:rPr>
        <w:t>The US Navy has been our largest customer since fiscal 2002. The US Navy accounted for approximately 33% and 53% of our revenues for the three and nine months ended January 31, 2011, respectively, and approximately 79% and 82% of our revenues for the three and nine months ended January 31, 2010, respectively. We anticipate that, if our commercialization efforts are successful, the relative contribution of the US Navy to our revenue may decline in the future.</w:t>
      </w:r>
    </w:p>
    <w:p>
      <w:pPr>
        <w:spacing w:after="0" w:line="123" w:lineRule="exact"/>
        <w:rPr>
          <w:sz w:val="20"/>
          <w:szCs w:val="20"/>
          <w:color w:val="auto"/>
        </w:rPr>
      </w:pPr>
    </w:p>
    <w:p>
      <w:pPr>
        <w:ind w:left="260" w:right="1799"/>
        <w:spacing w:after="0" w:line="277" w:lineRule="auto"/>
        <w:rPr>
          <w:sz w:val="20"/>
          <w:szCs w:val="20"/>
          <w:color w:val="auto"/>
        </w:rPr>
      </w:pPr>
      <w:r>
        <w:rPr>
          <w:rFonts w:ascii="Arial" w:cs="Arial" w:eastAsia="Arial" w:hAnsi="Arial"/>
          <w:sz w:val="15"/>
          <w:szCs w:val="15"/>
          <w:color w:val="auto"/>
        </w:rPr>
        <w:t>The following table provides information regarding the breakdown of our revenues by customer for the nine months ended January 31, 2011 and 2010:</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500" w:type="dxa"/>
            <w:vAlign w:val="bottom"/>
            <w:gridSpan w:val="8"/>
          </w:tcPr>
          <w:p>
            <w:pPr>
              <w:ind w:left="240"/>
              <w:spacing w:after="0"/>
              <w:rPr>
                <w:sz w:val="20"/>
                <w:szCs w:val="20"/>
                <w:color w:val="auto"/>
              </w:rPr>
            </w:pPr>
            <w:r>
              <w:rPr>
                <w:rFonts w:ascii="Arial" w:cs="Arial" w:eastAsia="Arial" w:hAnsi="Arial"/>
                <w:sz w:val="15"/>
                <w:szCs w:val="15"/>
                <w:b w:val="1"/>
                <w:bCs w:val="1"/>
                <w:color w:val="auto"/>
                <w:w w:val="95"/>
              </w:rPr>
              <w:t>Three months ended January 31,</w:t>
            </w:r>
          </w:p>
        </w:tc>
        <w:tc>
          <w:tcPr>
            <w:tcW w:w="2240" w:type="dxa"/>
            <w:vAlign w:val="bottom"/>
            <w:gridSpan w:val="8"/>
          </w:tcPr>
          <w:p>
            <w:pPr>
              <w:ind w:left="140"/>
              <w:spacing w:after="0"/>
              <w:rPr>
                <w:sz w:val="20"/>
                <w:szCs w:val="20"/>
                <w:color w:val="auto"/>
              </w:rPr>
            </w:pPr>
            <w:r>
              <w:rPr>
                <w:rFonts w:ascii="Arial" w:cs="Arial" w:eastAsia="Arial" w:hAnsi="Arial"/>
                <w:sz w:val="15"/>
                <w:szCs w:val="15"/>
                <w:b w:val="1"/>
                <w:bCs w:val="1"/>
                <w:color w:val="auto"/>
                <w:w w:val="92"/>
              </w:rPr>
              <w:t>Nine months ended January 31,</w:t>
            </w:r>
          </w:p>
        </w:tc>
        <w:tc>
          <w:tcPr>
            <w:tcW w:w="0" w:type="dxa"/>
            <w:vAlign w:val="bottom"/>
          </w:tcPr>
          <w:p>
            <w:pPr>
              <w:spacing w:after="0"/>
              <w:rPr>
                <w:sz w:val="1"/>
                <w:szCs w:val="1"/>
                <w:color w:val="auto"/>
              </w:rPr>
            </w:pPr>
          </w:p>
        </w:tc>
      </w:tr>
      <w:tr>
        <w:trPr>
          <w:trHeight w:val="174"/>
        </w:trPr>
        <w:tc>
          <w:tcPr>
            <w:tcW w:w="34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Customer</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5"/>
                <w:szCs w:val="15"/>
                <w:color w:val="auto"/>
              </w:rPr>
              <w:t>($ millions)</w:t>
            </w:r>
          </w:p>
        </w:tc>
        <w:tc>
          <w:tcPr>
            <w:tcW w:w="64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5"/>
                <w:szCs w:val="15"/>
                <w:color w:val="auto"/>
              </w:rPr>
              <w:t>($ millions)</w:t>
            </w:r>
          </w:p>
        </w:tc>
        <w:tc>
          <w:tcPr>
            <w:tcW w:w="6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2011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Arial" w:cs="Arial" w:eastAsia="Arial" w:hAnsi="Arial"/>
                <w:sz w:val="15"/>
                <w:szCs w:val="15"/>
                <w:b w:val="1"/>
                <w:bCs w:val="1"/>
                <w:color w:val="auto"/>
              </w:rPr>
              <w:t>2010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84"/>
              <w:spacing w:after="0"/>
              <w:rPr>
                <w:sz w:val="20"/>
                <w:szCs w:val="20"/>
                <w:color w:val="auto"/>
              </w:rPr>
            </w:pPr>
            <w:r>
              <w:rPr>
                <w:rFonts w:ascii="Arial" w:cs="Arial" w:eastAsia="Arial" w:hAnsi="Arial"/>
                <w:sz w:val="15"/>
                <w:szCs w:val="15"/>
                <w:b w:val="1"/>
                <w:bCs w:val="1"/>
                <w:color w:val="auto"/>
              </w:rPr>
              <w:t>2011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2010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4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US Navy</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US Department of Energy</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0.6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0.1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South West of England Regional Development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Authority</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0.3</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0.6</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Iberdrola</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Scottish Government</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0.2</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0.1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0.1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0.2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260" w:right="2119"/>
        <w:spacing w:after="0" w:line="277" w:lineRule="auto"/>
        <w:rPr>
          <w:sz w:val="20"/>
          <w:szCs w:val="20"/>
          <w:color w:val="auto"/>
        </w:rPr>
      </w:pPr>
      <w:r>
        <w:rPr>
          <w:rFonts w:ascii="Arial" w:cs="Arial" w:eastAsia="Arial" w:hAnsi="Arial"/>
          <w:sz w:val="15"/>
          <w:szCs w:val="15"/>
          <w:color w:val="auto"/>
        </w:rPr>
        <w:t>During the nine months ended January 31, 2011, the Company reduced revenue by approximately $0.2 million due to a change in estimated revenue to be recognized in connection with the Spain construction agreement.</w:t>
      </w:r>
    </w:p>
    <w:p>
      <w:pPr>
        <w:spacing w:after="0" w:line="200" w:lineRule="exact"/>
        <w:rPr>
          <w:sz w:val="20"/>
          <w:szCs w:val="20"/>
          <w:color w:val="auto"/>
        </w:rPr>
      </w:pPr>
    </w:p>
    <w:p>
      <w:pPr>
        <w:spacing w:after="0" w:line="241"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260" w:right="1999"/>
        <w:spacing w:after="0" w:line="265" w:lineRule="auto"/>
        <w:rPr>
          <w:sz w:val="20"/>
          <w:szCs w:val="20"/>
          <w:color w:val="auto"/>
        </w:rPr>
      </w:pPr>
      <w:r>
        <w:rPr>
          <w:rFonts w:ascii="Arial" w:cs="Arial" w:eastAsia="Arial" w:hAnsi="Arial"/>
          <w:sz w:val="15"/>
          <w:szCs w:val="15"/>
          <w:color w:val="auto"/>
        </w:rPr>
        <w:t>We currently focus our sales and marketing efforts on North America, the west coast of Europe, Australia and Japan. The following table provides information regarding the breakdown of our revenues by geographical location of our customers for the nine months ended January 31, 2011 and 2010:</w:t>
      </w:r>
    </w:p>
    <w:p>
      <w:pPr>
        <w:spacing w:after="0" w:line="151"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200" w:type="dxa"/>
            <w:vAlign w:val="bottom"/>
            <w:gridSpan w:val="4"/>
          </w:tcPr>
          <w:p>
            <w:pPr>
              <w:jc w:val="right"/>
              <w:ind w:right="160"/>
              <w:spacing w:after="0"/>
              <w:rPr>
                <w:sz w:val="20"/>
                <w:szCs w:val="20"/>
                <w:color w:val="auto"/>
              </w:rPr>
            </w:pPr>
            <w:r>
              <w:rPr>
                <w:rFonts w:ascii="Arial" w:cs="Arial" w:eastAsia="Arial" w:hAnsi="Arial"/>
                <w:sz w:val="15"/>
                <w:szCs w:val="15"/>
                <w:b w:val="1"/>
                <w:bCs w:val="1"/>
                <w:color w:val="auto"/>
                <w:w w:val="89"/>
              </w:rPr>
              <w:t>Nine months ended 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2011</w:t>
            </w:r>
          </w:p>
        </w:tc>
        <w:tc>
          <w:tcPr>
            <w:tcW w:w="40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5"/>
                <w:szCs w:val="15"/>
                <w:color w:val="auto"/>
              </w:rPr>
              <w:t>Europe</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11%</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Australia</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100%</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Cost of revenues</w:t>
      </w:r>
    </w:p>
    <w:p>
      <w:pPr>
        <w:spacing w:after="0" w:line="157" w:lineRule="exact"/>
        <w:rPr>
          <w:sz w:val="20"/>
          <w:szCs w:val="20"/>
          <w:color w:val="auto"/>
        </w:rPr>
      </w:pPr>
    </w:p>
    <w:p>
      <w:pPr>
        <w:ind w:left="260" w:right="1799"/>
        <w:spacing w:after="0" w:line="261" w:lineRule="auto"/>
        <w:rPr>
          <w:sz w:val="20"/>
          <w:szCs w:val="20"/>
          <w:color w:val="auto"/>
        </w:rPr>
      </w:pPr>
      <w:r>
        <w:rPr>
          <w:rFonts w:ascii="Arial" w:cs="Arial" w:eastAsia="Arial" w:hAnsi="Arial"/>
          <w:sz w:val="15"/>
          <w:szCs w:val="15"/>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123" w:lineRule="exact"/>
        <w:rPr>
          <w:sz w:val="20"/>
          <w:szCs w:val="20"/>
          <w:color w:val="auto"/>
        </w:rPr>
      </w:pPr>
    </w:p>
    <w:p>
      <w:pPr>
        <w:jc w:val="both"/>
        <w:ind w:left="260" w:right="1979"/>
        <w:spacing w:after="0" w:line="285" w:lineRule="auto"/>
        <w:rPr>
          <w:sz w:val="20"/>
          <w:szCs w:val="20"/>
          <w:color w:val="auto"/>
        </w:rPr>
      </w:pPr>
      <w:r>
        <w:rPr>
          <w:rFonts w:ascii="Arial" w:cs="Arial" w:eastAsia="Arial" w:hAnsi="Arial"/>
          <w:sz w:val="14"/>
          <w:szCs w:val="14"/>
          <w:color w:val="auto"/>
        </w:rPr>
        <w:t>We operated at a gross profit of $0.1 million and a gross loss of $0.1 million for the three and nine months ended January 31, 2011, respectively, and a gross profit of $0.2 million and $0.5 million for the three and nine months ended January 31, 2010, respectively. Our ability to generate a gross profit will depend on the nature of future contracts, our success at increasing sales of our PowerBuoy systems and on our ability to manage costs incurred on fixed price commercial contracts.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Product development costs</w:t>
      </w:r>
    </w:p>
    <w:p>
      <w:pPr>
        <w:spacing w:after="0" w:line="157" w:lineRule="exact"/>
        <w:rPr>
          <w:sz w:val="20"/>
          <w:szCs w:val="20"/>
          <w:color w:val="auto"/>
        </w:rPr>
      </w:pPr>
    </w:p>
    <w:p>
      <w:pPr>
        <w:ind w:left="260" w:right="2019"/>
        <w:spacing w:after="0" w:line="277" w:lineRule="auto"/>
        <w:rPr>
          <w:sz w:val="20"/>
          <w:szCs w:val="20"/>
          <w:color w:val="auto"/>
        </w:rPr>
      </w:pPr>
      <w:r>
        <w:rPr>
          <w:rFonts w:ascii="Arial" w:cs="Arial" w:eastAsia="Arial" w:hAnsi="Arial"/>
          <w:sz w:val="14"/>
          <w:szCs w:val="14"/>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output of our utility PowerBuoy system, primarily the 150kW PowerBuoy system, and to our research and development of new products, product applications and complementary technologies. We expense all of our product development costs as incurred, except for external patent costs, which we capitalize and amortize over a 17-year period commencing with the issuance date of each patent. Patents are reviewed for impairment whenever events or changes in circumstances indicate that the carrying amount of the patent may not be recoverable.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Selling, general and administrative costs</w:t>
      </w:r>
    </w:p>
    <w:p>
      <w:pPr>
        <w:spacing w:after="0" w:line="168" w:lineRule="exact"/>
        <w:rPr>
          <w:sz w:val="20"/>
          <w:szCs w:val="20"/>
          <w:color w:val="auto"/>
        </w:rPr>
      </w:pPr>
    </w:p>
    <w:p>
      <w:pPr>
        <w:ind w:left="260" w:right="1819"/>
        <w:spacing w:after="0" w:line="265" w:lineRule="auto"/>
        <w:rPr>
          <w:sz w:val="20"/>
          <w:szCs w:val="20"/>
          <w:color w:val="auto"/>
        </w:rPr>
      </w:pPr>
      <w:r>
        <w:rPr>
          <w:rFonts w:ascii="Arial" w:cs="Arial" w:eastAsia="Arial" w:hAnsi="Arial"/>
          <w:sz w:val="15"/>
          <w:szCs w:val="15"/>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Interest income</w:t>
      </w:r>
    </w:p>
    <w:p>
      <w:pPr>
        <w:spacing w:after="0" w:line="157" w:lineRule="exact"/>
        <w:rPr>
          <w:sz w:val="20"/>
          <w:szCs w:val="20"/>
          <w:color w:val="auto"/>
        </w:rPr>
      </w:pPr>
    </w:p>
    <w:p>
      <w:pPr>
        <w:ind w:left="260" w:right="1879"/>
        <w:spacing w:after="0" w:line="258" w:lineRule="auto"/>
        <w:rPr>
          <w:sz w:val="20"/>
          <w:szCs w:val="20"/>
          <w:color w:val="auto"/>
        </w:rPr>
      </w:pPr>
      <w:r>
        <w:rPr>
          <w:rFonts w:ascii="Arial" w:cs="Arial" w:eastAsia="Arial" w:hAnsi="Arial"/>
          <w:sz w:val="15"/>
          <w:szCs w:val="15"/>
          <w:color w:val="auto"/>
        </w:rPr>
        <w:t>Interest income consists of interest received on cash and cash equivalents, investments in commercial bank-issued certificates of deposit and US Treasury bills and notes. Total cash, cash equivalents, restricted cash, and marketable securities were $52.8 million as of January 31, 2011, compared to $71.3 million as of January 31, 2010. Interest income in the nine months ended January 31, 2011 decreased compared to the nine months ended January 31, 2010 due to a decline in interest rates and a decline in cash, cash equivalents and marketable securities.</w:t>
      </w:r>
    </w:p>
    <w:p>
      <w:pPr>
        <w:spacing w:after="0" w:line="139" w:lineRule="exact"/>
        <w:rPr>
          <w:sz w:val="20"/>
          <w:szCs w:val="20"/>
          <w:color w:val="auto"/>
        </w:rPr>
      </w:pPr>
    </w:p>
    <w:p>
      <w:pPr>
        <w:ind w:left="260" w:right="1879"/>
        <w:spacing w:after="0" w:line="277" w:lineRule="auto"/>
        <w:rPr>
          <w:sz w:val="20"/>
          <w:szCs w:val="20"/>
          <w:color w:val="auto"/>
        </w:rPr>
      </w:pPr>
      <w:r>
        <w:rPr>
          <w:rFonts w:ascii="Arial" w:cs="Arial" w:eastAsia="Arial" w:hAnsi="Arial"/>
          <w:sz w:val="15"/>
          <w:szCs w:val="15"/>
          <w:color w:val="auto"/>
        </w:rPr>
        <w:t>We anticipate that our interest income reported in fiscal 2011 will continue to be lower than the comparable periods of the prior fiscal year as a result of the decrease in invested cash.</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Other income</w:t>
      </w:r>
    </w:p>
    <w:p>
      <w:pPr>
        <w:spacing w:after="0" w:line="157" w:lineRule="exact"/>
        <w:rPr>
          <w:sz w:val="20"/>
          <w:szCs w:val="20"/>
          <w:color w:val="auto"/>
        </w:rPr>
      </w:pPr>
    </w:p>
    <w:p>
      <w:pPr>
        <w:ind w:left="260" w:right="1839"/>
        <w:spacing w:after="0" w:line="265" w:lineRule="auto"/>
        <w:rPr>
          <w:sz w:val="20"/>
          <w:szCs w:val="20"/>
          <w:color w:val="auto"/>
        </w:rPr>
      </w:pPr>
      <w:r>
        <w:rPr>
          <w:rFonts w:ascii="Arial" w:cs="Arial" w:eastAsia="Arial" w:hAnsi="Arial"/>
          <w:sz w:val="15"/>
          <w:szCs w:val="15"/>
          <w:color w:val="auto"/>
        </w:rPr>
        <w:t>Other income consists of transactions that we consider to be outside the normal scope of our operations and operating activities. In the nine months ended January 31, 2010, we recognized other income of $0.5 million in connection with the settlement of a claim which we had against a supplier that provided engineering services to us.</w:t>
      </w:r>
    </w:p>
    <w:p>
      <w:pPr>
        <w:spacing w:after="0" w:line="200" w:lineRule="exact"/>
        <w:rPr>
          <w:sz w:val="20"/>
          <w:szCs w:val="20"/>
          <w:color w:val="auto"/>
        </w:rPr>
      </w:pPr>
    </w:p>
    <w:p>
      <w:pPr>
        <w:spacing w:after="0" w:line="261"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Foreign exchange gain (loss)</w:t>
      </w:r>
    </w:p>
    <w:p>
      <w:pPr>
        <w:spacing w:after="0" w:line="168" w:lineRule="exact"/>
        <w:rPr>
          <w:sz w:val="20"/>
          <w:szCs w:val="20"/>
          <w:color w:val="auto"/>
        </w:rPr>
      </w:pPr>
    </w:p>
    <w:p>
      <w:pPr>
        <w:ind w:left="260" w:right="1819"/>
        <w:spacing w:after="0" w:line="258" w:lineRule="auto"/>
        <w:rPr>
          <w:sz w:val="20"/>
          <w:szCs w:val="20"/>
          <w:color w:val="auto"/>
        </w:rPr>
      </w:pPr>
      <w:r>
        <w:rPr>
          <w:rFonts w:ascii="Arial" w:cs="Arial" w:eastAsia="Arial" w:hAnsi="Arial"/>
          <w:sz w:val="15"/>
          <w:szCs w:val="15"/>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invest in certificates of deposit and maintain cash accounts that are denominated in British pounds, Euros and Australian dollars.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foreign-denominated certificates of deposit and cash accounts had a balance of $6.8 million as of January 31, 2011 and</w:t>
      </w:r>
    </w:p>
    <w:p>
      <w:pPr>
        <w:spacing w:after="0" w:line="21" w:lineRule="exact"/>
        <w:rPr>
          <w:sz w:val="20"/>
          <w:szCs w:val="20"/>
          <w:color w:val="auto"/>
        </w:rPr>
      </w:pPr>
    </w:p>
    <w:p>
      <w:pPr>
        <w:jc w:val="both"/>
        <w:ind w:left="260" w:right="1879"/>
        <w:spacing w:after="0" w:line="317" w:lineRule="auto"/>
        <w:rPr>
          <w:sz w:val="20"/>
          <w:szCs w:val="20"/>
          <w:color w:val="auto"/>
        </w:rPr>
      </w:pPr>
      <w:r>
        <w:rPr>
          <w:rFonts w:ascii="Arial" w:cs="Arial" w:eastAsia="Arial" w:hAnsi="Arial"/>
          <w:sz w:val="13"/>
          <w:szCs w:val="13"/>
          <w:color w:val="auto"/>
        </w:rPr>
        <w:t>$5.6 million as of January 31, 2010, compared to our total cash, cash equivalents, restricted cash, and marketable security balances of $52.8 million as of January 31, 2011 and $71.3 million as of January 31, 2010. These foreign currency balances are translated at each month end to our functional currency, the US dollar, and any resulting gain or loss is recognized in our results of operations.</w:t>
      </w:r>
    </w:p>
    <w:p>
      <w:pPr>
        <w:spacing w:after="0" w:line="90" w:lineRule="exact"/>
        <w:rPr>
          <w:sz w:val="20"/>
          <w:szCs w:val="20"/>
          <w:color w:val="auto"/>
        </w:rPr>
      </w:pPr>
    </w:p>
    <w:p>
      <w:pPr>
        <w:ind w:left="260" w:right="2079"/>
        <w:spacing w:after="0" w:line="279" w:lineRule="auto"/>
        <w:rPr>
          <w:sz w:val="20"/>
          <w:szCs w:val="20"/>
          <w:color w:val="auto"/>
        </w:rPr>
      </w:pPr>
      <w:r>
        <w:rPr>
          <w:rFonts w:ascii="Arial" w:cs="Arial" w:eastAsia="Arial" w:hAnsi="Arial"/>
          <w:sz w:val="14"/>
          <w:szCs w:val="14"/>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and nine months ended January 31, 2011 and 2010 were recorded in Euros, British pounds sterling or Australian dollars.</w:t>
      </w:r>
    </w:p>
    <w:p>
      <w:pPr>
        <w:spacing w:after="0" w:line="125" w:lineRule="exact"/>
        <w:rPr>
          <w:sz w:val="20"/>
          <w:szCs w:val="20"/>
          <w:color w:val="auto"/>
        </w:rPr>
      </w:pPr>
    </w:p>
    <w:p>
      <w:pPr>
        <w:ind w:left="260" w:right="1959"/>
        <w:spacing w:after="0" w:line="258" w:lineRule="auto"/>
        <w:rPr>
          <w:sz w:val="20"/>
          <w:szCs w:val="20"/>
          <w:color w:val="auto"/>
        </w:rPr>
      </w:pPr>
      <w:r>
        <w:rPr>
          <w:rFonts w:ascii="Arial" w:cs="Arial" w:eastAsia="Arial" w:hAnsi="Arial"/>
          <w:sz w:val="15"/>
          <w:szCs w:val="15"/>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57"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Results of Operations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Three Months Ended January 31, 2011 Compared to Three Months Ended January 31, 2010</w:t>
      </w:r>
    </w:p>
    <w:p>
      <w:pPr>
        <w:spacing w:after="0" w:line="157" w:lineRule="exact"/>
        <w:rPr>
          <w:sz w:val="20"/>
          <w:szCs w:val="20"/>
          <w:color w:val="auto"/>
        </w:rPr>
      </w:pPr>
    </w:p>
    <w:p>
      <w:pPr>
        <w:ind w:left="260" w:right="1859"/>
        <w:spacing w:after="0" w:line="277" w:lineRule="auto"/>
        <w:rPr>
          <w:sz w:val="20"/>
          <w:szCs w:val="20"/>
          <w:color w:val="auto"/>
        </w:rPr>
      </w:pPr>
      <w:r>
        <w:rPr>
          <w:rFonts w:ascii="Arial" w:cs="Arial" w:eastAsia="Arial" w:hAnsi="Arial"/>
          <w:sz w:val="15"/>
          <w:szCs w:val="15"/>
          <w:color w:val="auto"/>
        </w:rPr>
        <w:t>The following table contains selected statement of operations information, which serves as the basis of the discussion of our results of operations for the three months ended January 31, 2011 and 2010:</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right"/>
              <w:ind w:right="56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680"/>
              <w:spacing w:after="0"/>
              <w:rPr>
                <w:sz w:val="20"/>
                <w:szCs w:val="20"/>
                <w:color w:val="auto"/>
              </w:rPr>
            </w:pPr>
            <w:r>
              <w:rPr>
                <w:rFonts w:ascii="Arial" w:cs="Arial" w:eastAsia="Arial" w:hAnsi="Arial"/>
                <w:sz w:val="15"/>
                <w:szCs w:val="15"/>
                <w:b w:val="1"/>
                <w:bCs w:val="1"/>
                <w:color w:val="auto"/>
              </w:rPr>
              <w:t>Three Months Ended</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5"/>
          </w:tcPr>
          <w:p>
            <w:pPr>
              <w:jc w:val="right"/>
              <w:ind w:right="700"/>
              <w:spacing w:after="0"/>
              <w:rPr>
                <w:sz w:val="20"/>
                <w:szCs w:val="20"/>
                <w:color w:val="auto"/>
              </w:rPr>
            </w:pPr>
            <w:r>
              <w:rPr>
                <w:rFonts w:ascii="Arial" w:cs="Arial" w:eastAsia="Arial" w:hAnsi="Arial"/>
                <w:sz w:val="15"/>
                <w:szCs w:val="15"/>
                <w:b w:val="1"/>
                <w:bCs w:val="1"/>
                <w:color w:val="auto"/>
              </w:rPr>
              <w:t>January 31, 2011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4"/>
          </w:tcPr>
          <w:p>
            <w:pPr>
              <w:jc w:val="right"/>
              <w:ind w:right="800"/>
              <w:spacing w:after="0"/>
              <w:rPr>
                <w:sz w:val="20"/>
                <w:szCs w:val="20"/>
                <w:color w:val="auto"/>
              </w:rPr>
            </w:pPr>
            <w:r>
              <w:rPr>
                <w:rFonts w:ascii="Arial" w:cs="Arial" w:eastAsia="Arial" w:hAnsi="Arial"/>
                <w:sz w:val="15"/>
                <w:szCs w:val="15"/>
                <w:b w:val="1"/>
                <w:bCs w:val="1"/>
                <w:color w:val="auto"/>
              </w:rPr>
              <w:t>January 31, 2010</w:t>
            </w:r>
          </w:p>
        </w:tc>
        <w:tc>
          <w:tcPr>
            <w:tcW w:w="10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3"/>
              </w:rPr>
              <w:t>% Change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
              <w:spacing w:after="0" w:line="159" w:lineRule="exact"/>
              <w:rPr>
                <w:sz w:val="20"/>
                <w:szCs w:val="20"/>
                <w:color w:val="auto"/>
              </w:rPr>
            </w:pPr>
            <w:r>
              <w:rPr>
                <w:rFonts w:ascii="Arial" w:cs="Arial" w:eastAsia="Arial" w:hAnsi="Arial"/>
                <w:sz w:val="15"/>
                <w:szCs w:val="15"/>
                <w:b w:val="1"/>
                <w:bCs w:val="1"/>
                <w:color w:val="auto"/>
              </w:rPr>
              <w:t>As a % of</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4"/>
              <w:spacing w:after="0" w:line="159" w:lineRule="exact"/>
              <w:rPr>
                <w:sz w:val="20"/>
                <w:szCs w:val="20"/>
                <w:color w:val="auto"/>
              </w:rPr>
            </w:pPr>
            <w:r>
              <w:rPr>
                <w:rFonts w:ascii="Arial" w:cs="Arial" w:eastAsia="Arial" w:hAnsi="Arial"/>
                <w:sz w:val="15"/>
                <w:szCs w:val="15"/>
                <w:b w:val="1"/>
                <w:bCs w:val="1"/>
                <w:color w:val="auto"/>
              </w:rPr>
              <w:t>As a % of</w:t>
            </w:r>
          </w:p>
        </w:tc>
        <w:tc>
          <w:tcPr>
            <w:tcW w:w="400" w:type="dxa"/>
            <w:vAlign w:val="bottom"/>
          </w:tcPr>
          <w:p>
            <w:pPr>
              <w:spacing w:after="0"/>
              <w:rPr>
                <w:sz w:val="13"/>
                <w:szCs w:val="13"/>
                <w:color w:val="auto"/>
              </w:rPr>
            </w:pPr>
          </w:p>
        </w:tc>
        <w:tc>
          <w:tcPr>
            <w:tcW w:w="1060" w:type="dxa"/>
            <w:vAlign w:val="bottom"/>
            <w:gridSpan w:val="2"/>
          </w:tcPr>
          <w:p>
            <w:pPr>
              <w:jc w:val="center"/>
              <w:ind w:right="140"/>
              <w:spacing w:after="0" w:line="159" w:lineRule="exact"/>
              <w:rPr>
                <w:sz w:val="20"/>
                <w:szCs w:val="20"/>
                <w:color w:val="auto"/>
              </w:rPr>
            </w:pPr>
            <w:r>
              <w:rPr>
                <w:rFonts w:ascii="Arial" w:cs="Arial" w:eastAsia="Arial" w:hAnsi="Arial"/>
                <w:sz w:val="15"/>
                <w:szCs w:val="15"/>
                <w:b w:val="1"/>
                <w:bCs w:val="1"/>
                <w:color w:val="auto"/>
                <w:w w:val="89"/>
              </w:rPr>
              <w:t>2011 Period to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Amount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87"/>
              </w:rPr>
              <w:t>Revenues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5"/>
              </w:rPr>
              <w:t>Amount</w:t>
            </w:r>
          </w:p>
        </w:tc>
        <w:tc>
          <w:tcPr>
            <w:tcW w:w="12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5"/>
              </w:rPr>
              <w:t>Revenues (1)</w:t>
            </w:r>
          </w:p>
        </w:tc>
        <w:tc>
          <w:tcPr>
            <w:tcW w:w="10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2010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1,523,601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856,482</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Arial" w:cs="Arial" w:eastAsia="Arial" w:hAnsi="Arial"/>
                <w:sz w:val="15"/>
                <w:szCs w:val="15"/>
                <w:color w:val="auto"/>
              </w:rPr>
              <w:t>Cost of revenues</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1,453,397</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95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691,090</w:t>
            </w:r>
          </w:p>
        </w:tc>
        <w:tc>
          <w:tcPr>
            <w:tcW w:w="1220" w:type="dxa"/>
            <w:vAlign w:val="bottom"/>
            <w:gridSpan w:val="2"/>
          </w:tcPr>
          <w:p>
            <w:pPr>
              <w:jc w:val="right"/>
              <w:ind w:right="400"/>
              <w:spacing w:after="0"/>
              <w:rPr>
                <w:sz w:val="20"/>
                <w:szCs w:val="20"/>
                <w:color w:val="auto"/>
              </w:rPr>
            </w:pPr>
            <w:r>
              <w:rPr>
                <w:rFonts w:ascii="Arial" w:cs="Arial" w:eastAsia="Arial" w:hAnsi="Arial"/>
                <w:sz w:val="15"/>
                <w:szCs w:val="15"/>
                <w:color w:val="auto"/>
              </w:rPr>
              <w:t>81</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Gross profit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70,204</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165,392</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19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364"/>
        </w:trPr>
        <w:tc>
          <w:tcPr>
            <w:tcW w:w="248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Product development costs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2,026,336</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133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3,681,118</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430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ind w:left="160"/>
              <w:spacing w:after="0" w:line="171" w:lineRule="exact"/>
              <w:rPr>
                <w:sz w:val="20"/>
                <w:szCs w:val="20"/>
                <w:color w:val="auto"/>
              </w:rPr>
            </w:pPr>
            <w:r>
              <w:rPr>
                <w:rFonts w:ascii="Arial" w:cs="Arial" w:eastAsia="Arial" w:hAnsi="Arial"/>
                <w:sz w:val="15"/>
                <w:szCs w:val="15"/>
                <w:color w:val="auto"/>
              </w:rPr>
              <w:t>Selling, general and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60" w:type="dxa"/>
            <w:vAlign w:val="bottom"/>
          </w:tcPr>
          <w:p>
            <w:pPr>
              <w:ind w:left="320"/>
              <w:spacing w:after="0"/>
              <w:rPr>
                <w:sz w:val="20"/>
                <w:szCs w:val="20"/>
                <w:color w:val="auto"/>
              </w:rPr>
            </w:pPr>
            <w:r>
              <w:rPr>
                <w:rFonts w:ascii="Arial" w:cs="Arial" w:eastAsia="Arial" w:hAnsi="Arial"/>
                <w:sz w:val="15"/>
                <w:szCs w:val="15"/>
                <w:color w:val="auto"/>
              </w:rPr>
              <w:t>administrative costs</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1,884,950</w:t>
            </w:r>
          </w:p>
        </w:tc>
        <w:tc>
          <w:tcPr>
            <w:tcW w:w="1240" w:type="dxa"/>
            <w:vAlign w:val="bottom"/>
            <w:gridSpan w:val="3"/>
          </w:tcPr>
          <w:p>
            <w:pPr>
              <w:jc w:val="right"/>
              <w:ind w:right="300"/>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2,557,931</w:t>
            </w:r>
          </w:p>
        </w:tc>
        <w:tc>
          <w:tcPr>
            <w:tcW w:w="1220" w:type="dxa"/>
            <w:vAlign w:val="bottom"/>
            <w:gridSpan w:val="2"/>
          </w:tcPr>
          <w:p>
            <w:pPr>
              <w:jc w:val="right"/>
              <w:ind w:right="400"/>
              <w:spacing w:after="0"/>
              <w:rPr>
                <w:sz w:val="20"/>
                <w:szCs w:val="20"/>
                <w:color w:val="auto"/>
              </w:rPr>
            </w:pPr>
            <w:r>
              <w:rPr>
                <w:rFonts w:ascii="Arial" w:cs="Arial" w:eastAsia="Arial" w:hAnsi="Arial"/>
                <w:sz w:val="15"/>
                <w:szCs w:val="15"/>
                <w:color w:val="auto"/>
              </w:rPr>
              <w:t>299</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3,911,286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6,239,049</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728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480" w:type="dxa"/>
            <w:vAlign w:val="bottom"/>
            <w:gridSpan w:val="2"/>
          </w:tcPr>
          <w:p>
            <w:pPr>
              <w:spacing w:after="0"/>
              <w:rPr>
                <w:sz w:val="20"/>
                <w:szCs w:val="20"/>
                <w:color w:val="auto"/>
              </w:rPr>
            </w:pPr>
            <w:r>
              <w:rPr>
                <w:rFonts w:ascii="Arial" w:cs="Arial" w:eastAsia="Arial" w:hAnsi="Arial"/>
                <w:sz w:val="15"/>
                <w:szCs w:val="15"/>
                <w:color w:val="auto"/>
              </w:rPr>
              <w:t>Operating loss</w:t>
            </w: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(3,841,082)</w:t>
            </w:r>
          </w:p>
        </w:tc>
        <w:tc>
          <w:tcPr>
            <w:tcW w:w="1240" w:type="dxa"/>
            <w:vAlign w:val="bottom"/>
            <w:gridSpan w:val="3"/>
          </w:tcPr>
          <w:p>
            <w:pPr>
              <w:jc w:val="right"/>
              <w:ind w:right="240"/>
              <w:spacing w:after="0"/>
              <w:rPr>
                <w:sz w:val="20"/>
                <w:szCs w:val="20"/>
                <w:color w:val="auto"/>
              </w:rPr>
            </w:pPr>
            <w:r>
              <w:rPr>
                <w:rFonts w:ascii="Arial" w:cs="Arial" w:eastAsia="Arial" w:hAnsi="Arial"/>
                <w:sz w:val="15"/>
                <w:szCs w:val="15"/>
                <w:color w:val="auto"/>
              </w:rPr>
              <w:t>(252)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w w:val="96"/>
              </w:rPr>
              <w:t>(6,073,657)</w:t>
            </w:r>
          </w:p>
        </w:tc>
        <w:tc>
          <w:tcPr>
            <w:tcW w:w="1220" w:type="dxa"/>
            <w:vAlign w:val="bottom"/>
            <w:gridSpan w:val="2"/>
          </w:tcPr>
          <w:p>
            <w:pPr>
              <w:jc w:val="right"/>
              <w:ind w:right="360"/>
              <w:spacing w:after="0"/>
              <w:rPr>
                <w:sz w:val="20"/>
                <w:szCs w:val="20"/>
                <w:color w:val="auto"/>
              </w:rPr>
            </w:pPr>
            <w:r>
              <w:rPr>
                <w:rFonts w:ascii="Arial" w:cs="Arial" w:eastAsia="Arial" w:hAnsi="Arial"/>
                <w:sz w:val="15"/>
                <w:szCs w:val="15"/>
                <w:color w:val="auto"/>
              </w:rPr>
              <w:t>(709)</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148,480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231,683</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27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362"/>
        </w:trPr>
        <w:tc>
          <w:tcPr>
            <w:tcW w:w="2480" w:type="dxa"/>
            <w:vAlign w:val="bottom"/>
            <w:gridSpan w:val="2"/>
          </w:tcPr>
          <w:p>
            <w:pPr>
              <w:spacing w:after="0"/>
              <w:rPr>
                <w:sz w:val="20"/>
                <w:szCs w:val="20"/>
                <w:color w:val="auto"/>
              </w:rPr>
            </w:pPr>
            <w:r>
              <w:rPr>
                <w:rFonts w:ascii="Arial" w:cs="Arial" w:eastAsia="Arial" w:hAnsi="Arial"/>
                <w:sz w:val="15"/>
                <w:szCs w:val="15"/>
                <w:color w:val="auto"/>
              </w:rPr>
              <w:t>Other income</w:t>
            </w:r>
          </w:p>
        </w:tc>
        <w:tc>
          <w:tcPr>
            <w:tcW w:w="1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17,668</w:t>
            </w:r>
          </w:p>
        </w:tc>
        <w:tc>
          <w:tcPr>
            <w:tcW w:w="1220" w:type="dxa"/>
            <w:vAlign w:val="bottom"/>
            <w:gridSpan w:val="2"/>
          </w:tcPr>
          <w:p>
            <w:pPr>
              <w:jc w:val="right"/>
              <w:ind w:right="400"/>
              <w:spacing w:after="0"/>
              <w:rPr>
                <w:sz w:val="20"/>
                <w:szCs w:val="20"/>
                <w:color w:val="auto"/>
              </w:rPr>
            </w:pPr>
            <w:r>
              <w:rPr>
                <w:rFonts w:ascii="Arial" w:cs="Arial" w:eastAsia="Arial" w:hAnsi="Arial"/>
                <w:sz w:val="15"/>
                <w:szCs w:val="15"/>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 gain</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(38,014)</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172,128</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20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480" w:type="dxa"/>
            <w:vAlign w:val="bottom"/>
            <w:gridSpan w:val="2"/>
          </w:tcPr>
          <w:p>
            <w:pPr>
              <w:spacing w:after="0"/>
              <w:rPr>
                <w:sz w:val="20"/>
                <w:szCs w:val="20"/>
                <w:color w:val="auto"/>
              </w:rPr>
            </w:pPr>
            <w:r>
              <w:rPr>
                <w:rFonts w:ascii="Arial" w:cs="Arial" w:eastAsia="Arial" w:hAnsi="Arial"/>
                <w:sz w:val="15"/>
                <w:szCs w:val="15"/>
                <w:color w:val="auto"/>
              </w:rPr>
              <w:t>Loss before income taxes</w:t>
            </w: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(3,730,616)</w:t>
            </w:r>
          </w:p>
        </w:tc>
        <w:tc>
          <w:tcPr>
            <w:tcW w:w="1240" w:type="dxa"/>
            <w:vAlign w:val="bottom"/>
            <w:gridSpan w:val="3"/>
          </w:tcPr>
          <w:p>
            <w:pPr>
              <w:jc w:val="right"/>
              <w:ind w:right="240"/>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w w:val="96"/>
              </w:rPr>
              <w:t>(5,652,178)</w:t>
            </w:r>
          </w:p>
        </w:tc>
        <w:tc>
          <w:tcPr>
            <w:tcW w:w="1220" w:type="dxa"/>
            <w:vAlign w:val="bottom"/>
            <w:gridSpan w:val="2"/>
          </w:tcPr>
          <w:p>
            <w:pPr>
              <w:jc w:val="right"/>
              <w:ind w:right="360"/>
              <w:spacing w:after="0"/>
              <w:rPr>
                <w:sz w:val="20"/>
                <w:szCs w:val="20"/>
                <w:color w:val="auto"/>
              </w:rPr>
            </w:pPr>
            <w:r>
              <w:rPr>
                <w:rFonts w:ascii="Arial" w:cs="Arial" w:eastAsia="Arial" w:hAnsi="Arial"/>
                <w:sz w:val="15"/>
                <w:szCs w:val="15"/>
                <w:color w:val="auto"/>
              </w:rPr>
              <w:t>(660)</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364,105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48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(3,366,511)</w:t>
            </w:r>
          </w:p>
        </w:tc>
        <w:tc>
          <w:tcPr>
            <w:tcW w:w="1240" w:type="dxa"/>
            <w:vAlign w:val="bottom"/>
            <w:gridSpan w:val="3"/>
          </w:tcPr>
          <w:p>
            <w:pPr>
              <w:jc w:val="right"/>
              <w:ind w:right="240"/>
              <w:spacing w:after="0"/>
              <w:rPr>
                <w:sz w:val="20"/>
                <w:szCs w:val="20"/>
                <w:color w:val="auto"/>
              </w:rPr>
            </w:pPr>
            <w:r>
              <w:rPr>
                <w:rFonts w:ascii="Arial" w:cs="Arial" w:eastAsia="Arial" w:hAnsi="Arial"/>
                <w:sz w:val="15"/>
                <w:szCs w:val="15"/>
                <w:color w:val="auto"/>
              </w:rPr>
              <w:t>(221)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w w:val="96"/>
              </w:rPr>
              <w:t>(5,652,178)</w:t>
            </w:r>
          </w:p>
        </w:tc>
        <w:tc>
          <w:tcPr>
            <w:tcW w:w="1220" w:type="dxa"/>
            <w:vAlign w:val="bottom"/>
            <w:gridSpan w:val="2"/>
          </w:tcPr>
          <w:p>
            <w:pPr>
              <w:jc w:val="right"/>
              <w:ind w:right="360"/>
              <w:spacing w:after="0"/>
              <w:rPr>
                <w:sz w:val="20"/>
                <w:szCs w:val="20"/>
                <w:color w:val="auto"/>
              </w:rPr>
            </w:pPr>
            <w:r>
              <w:rPr>
                <w:rFonts w:ascii="Arial" w:cs="Arial" w:eastAsia="Arial" w:hAnsi="Arial"/>
                <w:sz w:val="15"/>
                <w:szCs w:val="15"/>
                <w:color w:val="auto"/>
              </w:rPr>
              <w:t>(660)</w:t>
            </w:r>
          </w:p>
        </w:tc>
        <w:tc>
          <w:tcPr>
            <w:tcW w:w="920" w:type="dxa"/>
            <w:vAlign w:val="bottom"/>
          </w:tcPr>
          <w:p>
            <w:pPr>
              <w:jc w:val="right"/>
              <w:spacing w:after="0"/>
              <w:rPr>
                <w:sz w:val="20"/>
                <w:szCs w:val="20"/>
                <w:color w:val="auto"/>
              </w:rPr>
            </w:pPr>
            <w:r>
              <w:rPr>
                <w:rFonts w:ascii="Arial" w:cs="Arial" w:eastAsia="Arial" w:hAnsi="Arial"/>
                <w:sz w:val="15"/>
                <w:szCs w:val="15"/>
                <w:color w:val="auto"/>
              </w:rPr>
              <w:t>40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shd w:val="clear" w:color="auto" w:fill="CCEEFF"/>
          </w:tcPr>
          <w:p>
            <w:pPr>
              <w:ind w:left="160"/>
              <w:spacing w:after="0" w:line="171" w:lineRule="exact"/>
              <w:rPr>
                <w:sz w:val="20"/>
                <w:szCs w:val="20"/>
                <w:color w:val="auto"/>
              </w:rPr>
            </w:pPr>
            <w:r>
              <w:rPr>
                <w:rFonts w:ascii="Arial" w:cs="Arial" w:eastAsia="Arial" w:hAnsi="Arial"/>
                <w:sz w:val="15"/>
                <w:szCs w:val="15"/>
                <w:color w:val="auto"/>
              </w:rPr>
              <w:t>Less: Net loss attributable to the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noncontrolling interest in</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Ocean Power Technologies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(Australasia) Pty Ltd</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3,693</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2,682</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355"/>
        </w:trPr>
        <w:tc>
          <w:tcPr>
            <w:tcW w:w="2480" w:type="dxa"/>
            <w:vAlign w:val="bottom"/>
            <w:gridSpan w:val="2"/>
          </w:tcPr>
          <w:p>
            <w:pPr>
              <w:spacing w:after="0"/>
              <w:rPr>
                <w:sz w:val="20"/>
                <w:szCs w:val="20"/>
                <w:color w:val="auto"/>
              </w:rPr>
            </w:pPr>
            <w:r>
              <w:rPr>
                <w:rFonts w:ascii="Arial" w:cs="Arial" w:eastAsia="Arial" w:hAnsi="Arial"/>
                <w:sz w:val="15"/>
                <w:szCs w:val="15"/>
                <w:color w:val="auto"/>
              </w:rPr>
              <w:t>Net loss attributable to Ocean Power</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60" w:type="dxa"/>
            <w:vAlign w:val="bottom"/>
          </w:tcPr>
          <w:p>
            <w:pPr>
              <w:ind w:left="160"/>
              <w:spacing w:after="0"/>
              <w:rPr>
                <w:sz w:val="20"/>
                <w:szCs w:val="20"/>
                <w:color w:val="auto"/>
              </w:rPr>
            </w:pPr>
            <w:r>
              <w:rPr>
                <w:rFonts w:ascii="Arial" w:cs="Arial" w:eastAsia="Arial" w:hAnsi="Arial"/>
                <w:sz w:val="15"/>
                <w:szCs w:val="15"/>
                <w:color w:val="auto"/>
              </w:rPr>
              <w:t>Technologies,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(3,362,818)</w:t>
            </w:r>
          </w:p>
        </w:tc>
        <w:tc>
          <w:tcPr>
            <w:tcW w:w="1240" w:type="dxa"/>
            <w:vAlign w:val="bottom"/>
            <w:gridSpan w:val="3"/>
          </w:tcPr>
          <w:p>
            <w:pPr>
              <w:jc w:val="right"/>
              <w:ind w:right="120"/>
              <w:spacing w:after="0"/>
              <w:rPr>
                <w:sz w:val="20"/>
                <w:szCs w:val="20"/>
                <w:color w:val="auto"/>
              </w:rPr>
            </w:pPr>
            <w:r>
              <w:rPr>
                <w:rFonts w:ascii="Arial" w:cs="Arial" w:eastAsia="Arial" w:hAnsi="Arial"/>
                <w:sz w:val="15"/>
                <w:szCs w:val="15"/>
                <w:color w:val="auto"/>
              </w:rPr>
              <w:t>(221)%</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w w:val="96"/>
              </w:rPr>
              <w:t>(5,649,496)</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(660)%</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0" w:hanging="337"/>
        <w:spacing w:after="0"/>
        <w:tabs>
          <w:tab w:leader="none" w:pos="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Certain subtotals may not add due to rounding.</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Revenues</w:t>
      </w:r>
    </w:p>
    <w:p>
      <w:pPr>
        <w:spacing w:after="0" w:line="168" w:lineRule="exact"/>
        <w:rPr>
          <w:sz w:val="20"/>
          <w:szCs w:val="20"/>
          <w:color w:val="auto"/>
        </w:rPr>
      </w:pPr>
    </w:p>
    <w:p>
      <w:pPr>
        <w:ind w:left="260" w:right="1879"/>
        <w:spacing w:after="0" w:line="314" w:lineRule="auto"/>
        <w:rPr>
          <w:sz w:val="20"/>
          <w:szCs w:val="20"/>
          <w:color w:val="auto"/>
        </w:rPr>
      </w:pPr>
      <w:r>
        <w:rPr>
          <w:rFonts w:ascii="Arial" w:cs="Arial" w:eastAsia="Arial" w:hAnsi="Arial"/>
          <w:sz w:val="14"/>
          <w:szCs w:val="14"/>
          <w:color w:val="auto"/>
        </w:rPr>
        <w:t>Revenues increased by $0.6 million in the three months ended January 31, 2011, or 78%, to $1.5 million, as compared to $0.9 million in the three months ended January 31, 2010. The change in revenues was attributable to the following factors:</w:t>
      </w:r>
    </w:p>
    <w:p>
      <w:pPr>
        <w:spacing w:after="0" w:line="89" w:lineRule="exact"/>
        <w:rPr>
          <w:sz w:val="20"/>
          <w:szCs w:val="20"/>
          <w:color w:val="auto"/>
        </w:rPr>
      </w:pPr>
    </w:p>
    <w:p>
      <w:pPr>
        <w:jc w:val="both"/>
        <w:ind w:left="580" w:right="1799" w:hanging="317"/>
        <w:spacing w:after="0" w:line="265" w:lineRule="auto"/>
        <w:tabs>
          <w:tab w:leader="none" w:pos="58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Revenues relating to our utility PowerBuoy system increased by $0.7 million due primarily to an increase in billable work on our PB500 PowerBuoy development project and the 150kW PowerBuoy project off the coast of Reedsport, Oregon. This was partially offset by a decrease in revenue related to our Hawaii project for the US Navy.</w:t>
      </w:r>
    </w:p>
    <w:p>
      <w:pPr>
        <w:spacing w:after="0" w:line="97" w:lineRule="exact"/>
        <w:rPr>
          <w:rFonts w:ascii="Arial" w:cs="Arial" w:eastAsia="Arial" w:hAnsi="Arial"/>
          <w:sz w:val="15"/>
          <w:szCs w:val="15"/>
          <w:b w:val="1"/>
          <w:bCs w:val="1"/>
          <w:color w:val="auto"/>
        </w:rPr>
      </w:pPr>
    </w:p>
    <w:p>
      <w:pPr>
        <w:ind w:left="580" w:right="1799" w:hanging="317"/>
        <w:spacing w:after="0" w:line="277" w:lineRule="auto"/>
        <w:tabs>
          <w:tab w:leader="none" w:pos="58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Revenues relating to our autonomous PowerBuoy system decreased by $0.1 million as a result of a decrease in billable work on the US Navy’s Deep Water Active Detection System or DWADS, as this project neared completion.</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Cost of revenues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Cost of revenues increased by $0.8 million, or 110%, to $1.5 million in the three months ended January 31, 2011, as compared to</w:t>
      </w:r>
    </w:p>
    <w:p>
      <w:pPr>
        <w:spacing w:after="0" w:line="30" w:lineRule="exact"/>
        <w:rPr>
          <w:sz w:val="20"/>
          <w:szCs w:val="20"/>
          <w:color w:val="auto"/>
        </w:rPr>
      </w:pPr>
    </w:p>
    <w:p>
      <w:pPr>
        <w:ind w:left="260" w:right="1919"/>
        <w:spacing w:after="0" w:line="258" w:lineRule="auto"/>
        <w:rPr>
          <w:sz w:val="20"/>
          <w:szCs w:val="20"/>
          <w:color w:val="auto"/>
        </w:rPr>
      </w:pPr>
      <w:r>
        <w:rPr>
          <w:rFonts w:ascii="Arial" w:cs="Arial" w:eastAsia="Arial" w:hAnsi="Arial"/>
          <w:sz w:val="15"/>
          <w:szCs w:val="15"/>
          <w:color w:val="auto"/>
        </w:rPr>
        <w:t>$0.7 million in the three months ended January 31, 2010. This increase in the cost of revenues reflected the increased activity related to our PB500 PowerBuoy development project and the 150kW PowerBuoy project off the coast of Reedsport, Oregon. This was partially offset by a lower level of activity on our Hawaii project for the US Navy.</w:t>
      </w:r>
    </w:p>
    <w:p>
      <w:pPr>
        <w:spacing w:after="0" w:line="200" w:lineRule="exact"/>
        <w:rPr>
          <w:sz w:val="20"/>
          <w:szCs w:val="20"/>
          <w:color w:val="auto"/>
        </w:rPr>
      </w:pPr>
    </w:p>
    <w:p>
      <w:pPr>
        <w:spacing w:after="0" w:line="256"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260" w:right="1999"/>
        <w:spacing w:after="0" w:line="300" w:lineRule="auto"/>
        <w:rPr>
          <w:sz w:val="20"/>
          <w:szCs w:val="20"/>
          <w:color w:val="auto"/>
        </w:rPr>
      </w:pPr>
      <w:r>
        <w:rPr>
          <w:rFonts w:ascii="Arial" w:cs="Arial" w:eastAsia="Arial" w:hAnsi="Arial"/>
          <w:sz w:val="13"/>
          <w:szCs w:val="13"/>
          <w:color w:val="auto"/>
        </w:rPr>
        <w:t>We operated at a gross profit of $0.1 million and $0.2 million in the three months ended January 31, 2011 and 2010, respectively. Certain of our projects in the three months ended January 31, 2011 and 2010 were under cost sharing contracts. Under cost sharing contracts, we receive a fixed amount agreed upon with the customer that is only intended to fund a portion of the costs on a specific project. We fund the remainder of the costs as part of our product development efforts. Revenue is typically recorded using percentage-of-completion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fixed price commercial contracts.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Product development costs</w:t>
      </w:r>
    </w:p>
    <w:p>
      <w:pPr>
        <w:spacing w:after="0" w:line="157" w:lineRule="exact"/>
        <w:rPr>
          <w:sz w:val="20"/>
          <w:szCs w:val="20"/>
          <w:color w:val="auto"/>
        </w:rPr>
      </w:pPr>
    </w:p>
    <w:p>
      <w:pPr>
        <w:ind w:left="260" w:right="1859"/>
        <w:spacing w:after="0" w:line="276" w:lineRule="auto"/>
        <w:rPr>
          <w:sz w:val="20"/>
          <w:szCs w:val="20"/>
          <w:color w:val="auto"/>
        </w:rPr>
      </w:pPr>
      <w:r>
        <w:rPr>
          <w:rFonts w:ascii="Arial" w:cs="Arial" w:eastAsia="Arial" w:hAnsi="Arial"/>
          <w:sz w:val="14"/>
          <w:szCs w:val="14"/>
          <w:color w:val="auto"/>
        </w:rPr>
        <w:t>Product development costs decreased by $1.7 million, or 45%, to $2.0 million in the three months ended January 31, 2011, as compared to $3.7 million in the three months ended January 31, 2010. Product development costs were primarily attributable to our efforts to increase the power output and reliability of our utility PowerBuoy system, especially the 150kW PowerBuoy system. The decrease in product development costs is primarily related to a decrease in spending related to our 150kW PowerBuoy project off the coast of Scotland, as the construction phase of the project neared completion. It is our intent to fund the majority of our research and development expenses over the next several years with sources of external funding. If we are unable to obtain external funding, we may curtail our research and development expenses or we may decide to self-fund significant research and development expenses, in which case our product development costs may continue to increase. During the three months ended January 31, 2011, the majority of funding for our PB500 PowerBuoy development project was from external sources.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Selling, general and administrative costs</w:t>
      </w:r>
    </w:p>
    <w:p>
      <w:pPr>
        <w:spacing w:after="0" w:line="168" w:lineRule="exact"/>
        <w:rPr>
          <w:sz w:val="20"/>
          <w:szCs w:val="20"/>
          <w:color w:val="auto"/>
        </w:rPr>
      </w:pPr>
    </w:p>
    <w:p>
      <w:pPr>
        <w:ind w:left="260" w:right="1839"/>
        <w:spacing w:after="0" w:line="265" w:lineRule="auto"/>
        <w:rPr>
          <w:sz w:val="20"/>
          <w:szCs w:val="20"/>
          <w:color w:val="auto"/>
        </w:rPr>
      </w:pPr>
      <w:r>
        <w:rPr>
          <w:rFonts w:ascii="Arial" w:cs="Arial" w:eastAsia="Arial" w:hAnsi="Arial"/>
          <w:sz w:val="15"/>
          <w:szCs w:val="15"/>
          <w:color w:val="auto"/>
        </w:rPr>
        <w:t>Selling, general and administrative costs decreased $0.7 million, or 26%, to $1.9 million for the three months ended January 31, 2011, as compared to $2.6 million for the three months ended January 31, 2010. The decrease was primarily attributable to a decrease in compensation and recruiting fees.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Interest income</w:t>
      </w:r>
    </w:p>
    <w:p>
      <w:pPr>
        <w:spacing w:after="0" w:line="157" w:lineRule="exact"/>
        <w:rPr>
          <w:sz w:val="20"/>
          <w:szCs w:val="20"/>
          <w:color w:val="auto"/>
        </w:rPr>
      </w:pPr>
    </w:p>
    <w:p>
      <w:pPr>
        <w:ind w:left="260" w:right="1799"/>
        <w:spacing w:after="0" w:line="292" w:lineRule="auto"/>
        <w:rPr>
          <w:sz w:val="20"/>
          <w:szCs w:val="20"/>
          <w:color w:val="auto"/>
        </w:rPr>
      </w:pPr>
      <w:r>
        <w:rPr>
          <w:rFonts w:ascii="Arial" w:cs="Arial" w:eastAsia="Arial" w:hAnsi="Arial"/>
          <w:sz w:val="14"/>
          <w:szCs w:val="14"/>
          <w:color w:val="auto"/>
        </w:rPr>
        <w:t>Interest income decreased approximately $0.1 million, or 36%, to $0.1 million for the three months ended January 31, 2011, due to a decrease in cash, cash equivalents and marketable securities and average yield. The average yield was approximately 1.07% during the three months ended January 31, 2011 and 1.25% during the three months ended January 31, 2010.</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Foreign exchange (loss) gain</w:t>
      </w:r>
    </w:p>
    <w:p>
      <w:pPr>
        <w:spacing w:after="0" w:line="157" w:lineRule="exact"/>
        <w:rPr>
          <w:sz w:val="20"/>
          <w:szCs w:val="20"/>
          <w:color w:val="auto"/>
        </w:rPr>
      </w:pPr>
    </w:p>
    <w:p>
      <w:pPr>
        <w:ind w:left="260" w:right="1819"/>
        <w:spacing w:after="0" w:line="265" w:lineRule="auto"/>
        <w:rPr>
          <w:sz w:val="20"/>
          <w:szCs w:val="20"/>
          <w:color w:val="auto"/>
        </w:rPr>
      </w:pPr>
      <w:r>
        <w:rPr>
          <w:rFonts w:ascii="Arial" w:cs="Arial" w:eastAsia="Arial" w:hAnsi="Arial"/>
          <w:sz w:val="15"/>
          <w:szCs w:val="15"/>
          <w:color w:val="auto"/>
        </w:rPr>
        <w:t>Foreign exchange loss was $38,000 for the three months ended January 31, 2011, compared to a foreign exchange gain of $0.2 million for the three months ended January 31, 2010. The difference was primarily attributable to the relative change in value of the British pound sterling, Euro and Australian dollar compared to the US dollar during the two periods.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Income tax benefit</w:t>
      </w:r>
    </w:p>
    <w:p>
      <w:pPr>
        <w:spacing w:after="0" w:line="168" w:lineRule="exact"/>
        <w:rPr>
          <w:sz w:val="20"/>
          <w:szCs w:val="20"/>
          <w:color w:val="auto"/>
        </w:rPr>
      </w:pPr>
    </w:p>
    <w:p>
      <w:pPr>
        <w:ind w:left="260" w:right="1919"/>
        <w:spacing w:after="0" w:line="277" w:lineRule="auto"/>
        <w:rPr>
          <w:sz w:val="20"/>
          <w:szCs w:val="20"/>
          <w:color w:val="auto"/>
        </w:rPr>
      </w:pPr>
      <w:r>
        <w:rPr>
          <w:rFonts w:ascii="Arial" w:cs="Arial" w:eastAsia="Arial" w:hAnsi="Arial"/>
          <w:sz w:val="15"/>
          <w:szCs w:val="15"/>
          <w:color w:val="auto"/>
        </w:rPr>
        <w:t>During the three months ended January 31, 2011, we sold New Jersey net operating tax loss carryforwards resulting in an income tax benefit of $0.4 million.</w:t>
      </w:r>
    </w:p>
    <w:p>
      <w:pPr>
        <w:spacing w:after="0" w:line="200" w:lineRule="exact"/>
        <w:rPr>
          <w:sz w:val="20"/>
          <w:szCs w:val="20"/>
          <w:color w:val="auto"/>
        </w:rPr>
      </w:pPr>
    </w:p>
    <w:p>
      <w:pPr>
        <w:spacing w:after="0" w:line="241"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Nine Months Ended January 31, 2011 Compared to Nine Months Ended January 31, 2010</w:t>
      </w:r>
    </w:p>
    <w:p>
      <w:pPr>
        <w:spacing w:after="0" w:line="168" w:lineRule="exact"/>
        <w:rPr>
          <w:sz w:val="20"/>
          <w:szCs w:val="20"/>
          <w:color w:val="auto"/>
        </w:rPr>
      </w:pPr>
    </w:p>
    <w:p>
      <w:pPr>
        <w:ind w:left="260" w:right="1859"/>
        <w:spacing w:after="0" w:line="277" w:lineRule="auto"/>
        <w:rPr>
          <w:sz w:val="20"/>
          <w:szCs w:val="20"/>
          <w:color w:val="auto"/>
        </w:rPr>
      </w:pPr>
      <w:r>
        <w:rPr>
          <w:rFonts w:ascii="Arial" w:cs="Arial" w:eastAsia="Arial" w:hAnsi="Arial"/>
          <w:sz w:val="15"/>
          <w:szCs w:val="15"/>
          <w:color w:val="auto"/>
        </w:rPr>
        <w:t>The following table contains selected statement of operations information, which serves as the basis of the discussion of our results of operations for the nine months ended January 31, 2011 and 2010:</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4"/>
          </w:tcPr>
          <w:p>
            <w:pPr>
              <w:jc w:val="right"/>
              <w:ind w:right="480"/>
              <w:spacing w:after="0"/>
              <w:rPr>
                <w:sz w:val="20"/>
                <w:szCs w:val="20"/>
                <w:color w:val="auto"/>
              </w:rPr>
            </w:pPr>
            <w:r>
              <w:rPr>
                <w:rFonts w:ascii="Arial" w:cs="Arial" w:eastAsia="Arial" w:hAnsi="Arial"/>
                <w:sz w:val="15"/>
                <w:szCs w:val="15"/>
                <w:b w:val="1"/>
                <w:bCs w:val="1"/>
                <w:color w:val="auto"/>
              </w:rPr>
              <w:t>Nine Months Ended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5"/>
                <w:szCs w:val="15"/>
                <w:b w:val="1"/>
                <w:bCs w:val="1"/>
                <w:color w:val="auto"/>
              </w:rPr>
              <w:t>Nine Months Ended</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4"/>
          </w:tcPr>
          <w:p>
            <w:pPr>
              <w:jc w:val="right"/>
              <w:ind w:right="580"/>
              <w:spacing w:after="0"/>
              <w:rPr>
                <w:sz w:val="20"/>
                <w:szCs w:val="20"/>
                <w:color w:val="auto"/>
              </w:rPr>
            </w:pPr>
            <w:r>
              <w:rPr>
                <w:rFonts w:ascii="Arial" w:cs="Arial" w:eastAsia="Arial" w:hAnsi="Arial"/>
                <w:sz w:val="15"/>
                <w:szCs w:val="15"/>
                <w:b w:val="1"/>
                <w:bCs w:val="1"/>
                <w:color w:val="auto"/>
              </w:rPr>
              <w:t>January 31, 2011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5"/>
                <w:szCs w:val="15"/>
                <w:b w:val="1"/>
                <w:bCs w:val="1"/>
                <w:color w:val="auto"/>
              </w:rPr>
              <w:t>January 31, 2010</w:t>
            </w:r>
          </w:p>
        </w:tc>
        <w:tc>
          <w:tcPr>
            <w:tcW w:w="11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4"/>
              <w:spacing w:after="0" w:line="159" w:lineRule="exact"/>
              <w:rPr>
                <w:sz w:val="20"/>
                <w:szCs w:val="20"/>
                <w:color w:val="auto"/>
              </w:rPr>
            </w:pPr>
            <w:r>
              <w:rPr>
                <w:rFonts w:ascii="Arial" w:cs="Arial" w:eastAsia="Arial" w:hAnsi="Arial"/>
                <w:sz w:val="15"/>
                <w:szCs w:val="15"/>
                <w:b w:val="1"/>
                <w:bCs w:val="1"/>
                <w:color w:val="auto"/>
              </w:rPr>
              <w:t>As a % of</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4"/>
              <w:spacing w:after="0" w:line="159" w:lineRule="exact"/>
              <w:rPr>
                <w:sz w:val="20"/>
                <w:szCs w:val="20"/>
                <w:color w:val="auto"/>
              </w:rPr>
            </w:pPr>
            <w:r>
              <w:rPr>
                <w:rFonts w:ascii="Arial" w:cs="Arial" w:eastAsia="Arial" w:hAnsi="Arial"/>
                <w:sz w:val="15"/>
                <w:szCs w:val="15"/>
                <w:b w:val="1"/>
                <w:bCs w:val="1"/>
                <w:color w:val="auto"/>
              </w:rPr>
              <w:t>As a % of</w:t>
            </w:r>
          </w:p>
        </w:tc>
        <w:tc>
          <w:tcPr>
            <w:tcW w:w="280" w:type="dxa"/>
            <w:vAlign w:val="bottom"/>
          </w:tcPr>
          <w:p>
            <w:pPr>
              <w:spacing w:after="0"/>
              <w:rPr>
                <w:sz w:val="13"/>
                <w:szCs w:val="13"/>
                <w:color w:val="auto"/>
              </w:rPr>
            </w:pPr>
          </w:p>
        </w:tc>
        <w:tc>
          <w:tcPr>
            <w:tcW w:w="1100" w:type="dxa"/>
            <w:vAlign w:val="bottom"/>
            <w:gridSpan w:val="2"/>
          </w:tcPr>
          <w:p>
            <w:pPr>
              <w:jc w:val="center"/>
              <w:ind w:right="180"/>
              <w:spacing w:after="0" w:line="159" w:lineRule="exact"/>
              <w:rPr>
                <w:sz w:val="20"/>
                <w:szCs w:val="20"/>
                <w:color w:val="auto"/>
              </w:rPr>
            </w:pPr>
            <w:r>
              <w:rPr>
                <w:rFonts w:ascii="Arial" w:cs="Arial" w:eastAsia="Arial" w:hAnsi="Arial"/>
                <w:sz w:val="15"/>
                <w:szCs w:val="15"/>
                <w:b w:val="1"/>
                <w:bCs w:val="1"/>
                <w:color w:val="auto"/>
                <w:w w:val="89"/>
              </w:rPr>
              <w:t>2011 Period to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85"/>
              </w:rPr>
              <w:t xml:space="preserve">Revenues </w:t>
            </w:r>
            <w:r>
              <w:rPr>
                <w:rFonts w:ascii="Arial" w:cs="Arial" w:eastAsia="Arial" w:hAnsi="Arial"/>
                <w:sz w:val="15"/>
                <w:szCs w:val="15"/>
                <w:color w:val="auto"/>
                <w:w w:val="85"/>
              </w:rPr>
              <w:t>(</w:t>
            </w:r>
            <w:r>
              <w:rPr>
                <w:rFonts w:ascii="Arial" w:cs="Arial" w:eastAsia="Arial" w:hAnsi="Arial"/>
                <w:sz w:val="15"/>
                <w:szCs w:val="15"/>
                <w:b w:val="1"/>
                <w:bCs w:val="1"/>
                <w:color w:val="auto"/>
                <w:w w:val="85"/>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Amount</w:t>
            </w:r>
          </w:p>
        </w:tc>
        <w:tc>
          <w:tcPr>
            <w:tcW w:w="114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2"/>
              </w:rPr>
              <w:t xml:space="preserve">Revenues </w:t>
            </w:r>
            <w:r>
              <w:rPr>
                <w:rFonts w:ascii="Arial" w:cs="Arial" w:eastAsia="Arial" w:hAnsi="Arial"/>
                <w:sz w:val="15"/>
                <w:szCs w:val="15"/>
                <w:color w:val="auto"/>
                <w:w w:val="92"/>
              </w:rPr>
              <w:t>(</w:t>
            </w:r>
            <w:r>
              <w:rPr>
                <w:rFonts w:ascii="Arial" w:cs="Arial" w:eastAsia="Arial" w:hAnsi="Arial"/>
                <w:sz w:val="15"/>
                <w:szCs w:val="15"/>
                <w:b w:val="1"/>
                <w:bCs w:val="1"/>
                <w:color w:val="auto"/>
                <w:w w:val="92"/>
              </w:rPr>
              <w:t>1)</w:t>
            </w:r>
          </w:p>
        </w:tc>
        <w:tc>
          <w:tcPr>
            <w:tcW w:w="11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2010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4,762,415</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2,749,294</w:t>
            </w:r>
          </w:p>
        </w:tc>
        <w:tc>
          <w:tcPr>
            <w:tcW w:w="1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Arial" w:cs="Arial" w:eastAsia="Arial" w:hAnsi="Arial"/>
                <w:sz w:val="15"/>
                <w:szCs w:val="15"/>
                <w:color w:val="auto"/>
              </w:rPr>
              <w:t>Cost of revenues</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4,818,623</w:t>
            </w:r>
          </w:p>
        </w:tc>
        <w:tc>
          <w:tcPr>
            <w:tcW w:w="16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101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2,243,465</w:t>
            </w:r>
          </w:p>
        </w:tc>
        <w:tc>
          <w:tcPr>
            <w:tcW w:w="1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82</w:t>
            </w:r>
          </w:p>
        </w:tc>
        <w:tc>
          <w:tcPr>
            <w:tcW w:w="2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Gross (loss) profit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(56,208)</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505,829</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296"/>
        </w:trPr>
        <w:tc>
          <w:tcPr>
            <w:tcW w:w="29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Product development costs</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9,731,592</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8,467,866</w:t>
            </w:r>
          </w:p>
        </w:tc>
        <w:tc>
          <w:tcPr>
            <w:tcW w:w="1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308</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tcPr>
          <w:p>
            <w:pPr>
              <w:ind w:left="160"/>
              <w:spacing w:after="0"/>
              <w:rPr>
                <w:sz w:val="20"/>
                <w:szCs w:val="20"/>
                <w:color w:val="auto"/>
              </w:rPr>
            </w:pPr>
            <w:r>
              <w:rPr>
                <w:rFonts w:ascii="Arial" w:cs="Arial" w:eastAsia="Arial" w:hAnsi="Arial"/>
                <w:sz w:val="15"/>
                <w:szCs w:val="15"/>
                <w:color w:val="auto"/>
              </w:rPr>
              <w:t>Selling, general and administrative costs</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6,060,705</w:t>
            </w:r>
          </w:p>
        </w:tc>
        <w:tc>
          <w:tcPr>
            <w:tcW w:w="16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127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6,915,435</w:t>
            </w:r>
          </w:p>
        </w:tc>
        <w:tc>
          <w:tcPr>
            <w:tcW w:w="100" w:type="dxa"/>
            <w:vAlign w:val="bottom"/>
          </w:tcPr>
          <w:p>
            <w:pPr>
              <w:spacing w:after="0"/>
              <w:rPr>
                <w:sz w:val="15"/>
                <w:szCs w:val="15"/>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5"/>
                <w:szCs w:val="15"/>
                <w:color w:val="auto"/>
              </w:rPr>
              <w:t>252</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15,792,297</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15,383,301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560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29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960" w:type="dxa"/>
            <w:vAlign w:val="bottom"/>
            <w:gridSpan w:val="2"/>
          </w:tcPr>
          <w:p>
            <w:pPr>
              <w:spacing w:after="0"/>
              <w:rPr>
                <w:sz w:val="20"/>
                <w:szCs w:val="20"/>
                <w:color w:val="auto"/>
              </w:rPr>
            </w:pPr>
            <w:r>
              <w:rPr>
                <w:rFonts w:ascii="Arial" w:cs="Arial" w:eastAsia="Arial" w:hAnsi="Arial"/>
                <w:sz w:val="15"/>
                <w:szCs w:val="15"/>
                <w:color w:val="auto"/>
              </w:rPr>
              <w:t>Operating loss</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(15,848,505)</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(333)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(14,877,472)</w:t>
            </w:r>
          </w:p>
        </w:tc>
        <w:tc>
          <w:tcPr>
            <w:tcW w:w="1140" w:type="dxa"/>
            <w:vAlign w:val="bottom"/>
            <w:gridSpan w:val="3"/>
          </w:tcPr>
          <w:p>
            <w:pPr>
              <w:jc w:val="right"/>
              <w:ind w:right="220"/>
              <w:spacing w:after="0"/>
              <w:rPr>
                <w:sz w:val="20"/>
                <w:szCs w:val="20"/>
                <w:color w:val="auto"/>
              </w:rPr>
            </w:pPr>
            <w:r>
              <w:rPr>
                <w:rFonts w:ascii="Arial" w:cs="Arial" w:eastAsia="Arial" w:hAnsi="Arial"/>
                <w:sz w:val="15"/>
                <w:szCs w:val="15"/>
                <w:color w:val="auto"/>
              </w:rPr>
              <w:t>(541)</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546,829</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764,504</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94"/>
        </w:trPr>
        <w:tc>
          <w:tcPr>
            <w:tcW w:w="2960" w:type="dxa"/>
            <w:vAlign w:val="bottom"/>
            <w:gridSpan w:val="2"/>
          </w:tcPr>
          <w:p>
            <w:pPr>
              <w:spacing w:after="0"/>
              <w:rPr>
                <w:sz w:val="20"/>
                <w:szCs w:val="20"/>
                <w:color w:val="auto"/>
              </w:rPr>
            </w:pPr>
            <w:r>
              <w:rPr>
                <w:rFonts w:ascii="Arial" w:cs="Arial" w:eastAsia="Arial" w:hAnsi="Arial"/>
                <w:sz w:val="15"/>
                <w:szCs w:val="15"/>
                <w:color w:val="auto"/>
              </w:rPr>
              <w:t>Other income</w:t>
            </w:r>
          </w:p>
        </w:tc>
        <w:tc>
          <w:tcPr>
            <w:tcW w:w="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549,258</w:t>
            </w: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 gain</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(205,824)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674,517</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0"/>
        </w:trPr>
        <w:tc>
          <w:tcPr>
            <w:tcW w:w="29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960" w:type="dxa"/>
            <w:vAlign w:val="bottom"/>
            <w:gridSpan w:val="2"/>
          </w:tcPr>
          <w:p>
            <w:pPr>
              <w:spacing w:after="0"/>
              <w:rPr>
                <w:sz w:val="20"/>
                <w:szCs w:val="20"/>
                <w:color w:val="auto"/>
              </w:rPr>
            </w:pPr>
            <w:r>
              <w:rPr>
                <w:rFonts w:ascii="Arial" w:cs="Arial" w:eastAsia="Arial" w:hAnsi="Arial"/>
                <w:sz w:val="15"/>
                <w:szCs w:val="15"/>
                <w:color w:val="auto"/>
              </w:rPr>
              <w:t>Loss before income taxes</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(15,507,500)</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(326)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(12,889,193)</w:t>
            </w:r>
          </w:p>
        </w:tc>
        <w:tc>
          <w:tcPr>
            <w:tcW w:w="1140" w:type="dxa"/>
            <w:vAlign w:val="bottom"/>
            <w:gridSpan w:val="3"/>
          </w:tcPr>
          <w:p>
            <w:pPr>
              <w:jc w:val="right"/>
              <w:ind w:right="220"/>
              <w:spacing w:after="0"/>
              <w:rPr>
                <w:sz w:val="20"/>
                <w:szCs w:val="20"/>
                <w:color w:val="auto"/>
              </w:rPr>
            </w:pPr>
            <w:r>
              <w:rPr>
                <w:rFonts w:ascii="Arial" w:cs="Arial" w:eastAsia="Arial" w:hAnsi="Arial"/>
                <w:sz w:val="15"/>
                <w:szCs w:val="15"/>
                <w:color w:val="auto"/>
              </w:rPr>
              <w:t>(469)</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2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364,105</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9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96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(15,143,395)</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(318)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(12,889,193)</w:t>
            </w:r>
          </w:p>
        </w:tc>
        <w:tc>
          <w:tcPr>
            <w:tcW w:w="1140" w:type="dxa"/>
            <w:vAlign w:val="bottom"/>
            <w:gridSpan w:val="3"/>
          </w:tcPr>
          <w:p>
            <w:pPr>
              <w:jc w:val="right"/>
              <w:ind w:right="220"/>
              <w:spacing w:after="0"/>
              <w:rPr>
                <w:sz w:val="20"/>
                <w:szCs w:val="20"/>
                <w:color w:val="auto"/>
              </w:rPr>
            </w:pPr>
            <w:r>
              <w:rPr>
                <w:rFonts w:ascii="Arial" w:cs="Arial" w:eastAsia="Arial" w:hAnsi="Arial"/>
                <w:sz w:val="15"/>
                <w:szCs w:val="15"/>
                <w:color w:val="auto"/>
              </w:rPr>
              <w:t>(469)</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shd w:val="clear" w:color="auto" w:fill="CCEEFF"/>
          </w:tcPr>
          <w:p>
            <w:pPr>
              <w:ind w:left="160"/>
              <w:spacing w:after="0" w:line="171" w:lineRule="exact"/>
              <w:rPr>
                <w:sz w:val="20"/>
                <w:szCs w:val="20"/>
                <w:color w:val="auto"/>
              </w:rPr>
            </w:pPr>
            <w:r>
              <w:rPr>
                <w:rFonts w:ascii="Arial" w:cs="Arial" w:eastAsia="Arial" w:hAnsi="Arial"/>
                <w:sz w:val="15"/>
                <w:szCs w:val="15"/>
                <w:color w:val="auto"/>
                <w:w w:val="99"/>
              </w:rPr>
              <w:t>Less: Net loss (income) attributable to the</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noncontrolling interest in Ocean Power</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Technologies (Australasia) Pty Ltd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14,792</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(50,551)</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287"/>
        </w:trPr>
        <w:tc>
          <w:tcPr>
            <w:tcW w:w="2960" w:type="dxa"/>
            <w:vAlign w:val="bottom"/>
            <w:gridSpan w:val="2"/>
          </w:tcPr>
          <w:p>
            <w:pPr>
              <w:spacing w:after="0"/>
              <w:rPr>
                <w:sz w:val="20"/>
                <w:szCs w:val="20"/>
                <w:color w:val="auto"/>
              </w:rPr>
            </w:pPr>
            <w:r>
              <w:rPr>
                <w:rFonts w:ascii="Arial" w:cs="Arial" w:eastAsia="Arial" w:hAnsi="Arial"/>
                <w:sz w:val="15"/>
                <w:szCs w:val="15"/>
                <w:color w:val="auto"/>
              </w:rPr>
              <w:t>Net loss attributable to Ocean Power</w:t>
            </w: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40" w:type="dxa"/>
            <w:vAlign w:val="bottom"/>
          </w:tcPr>
          <w:p>
            <w:pPr>
              <w:ind w:left="160"/>
              <w:spacing w:after="0"/>
              <w:rPr>
                <w:sz w:val="20"/>
                <w:szCs w:val="20"/>
                <w:color w:val="auto"/>
              </w:rPr>
            </w:pPr>
            <w:r>
              <w:rPr>
                <w:rFonts w:ascii="Arial" w:cs="Arial" w:eastAsia="Arial" w:hAnsi="Arial"/>
                <w:sz w:val="15"/>
                <w:szCs w:val="15"/>
                <w:color w:val="auto"/>
              </w:rPr>
              <w:t>Technologies, Inc</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(15,128,603)</w:t>
            </w:r>
          </w:p>
        </w:tc>
        <w:tc>
          <w:tcPr>
            <w:tcW w:w="1040" w:type="dxa"/>
            <w:vAlign w:val="bottom"/>
            <w:gridSpan w:val="2"/>
          </w:tcPr>
          <w:p>
            <w:pPr>
              <w:jc w:val="right"/>
              <w:ind w:right="40"/>
              <w:spacing w:after="0"/>
              <w:rPr>
                <w:sz w:val="20"/>
                <w:szCs w:val="20"/>
                <w:color w:val="auto"/>
              </w:rPr>
            </w:pPr>
            <w:r>
              <w:rPr>
                <w:rFonts w:ascii="Arial" w:cs="Arial" w:eastAsia="Arial" w:hAnsi="Arial"/>
                <w:sz w:val="15"/>
                <w:szCs w:val="15"/>
                <w:color w:val="auto"/>
              </w:rPr>
              <w:t>(318)%</w:t>
            </w:r>
          </w:p>
        </w:tc>
        <w:tc>
          <w:tcPr>
            <w:tcW w:w="1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(12,939,744)</w:t>
            </w:r>
          </w:p>
        </w:tc>
        <w:tc>
          <w:tcPr>
            <w:tcW w:w="1140" w:type="dxa"/>
            <w:vAlign w:val="bottom"/>
            <w:gridSpan w:val="3"/>
          </w:tcPr>
          <w:p>
            <w:pPr>
              <w:jc w:val="right"/>
              <w:ind w:right="100"/>
              <w:spacing w:after="0"/>
              <w:rPr>
                <w:sz w:val="20"/>
                <w:szCs w:val="20"/>
                <w:color w:val="auto"/>
              </w:rPr>
            </w:pPr>
            <w:r>
              <w:rPr>
                <w:rFonts w:ascii="Arial" w:cs="Arial" w:eastAsia="Arial" w:hAnsi="Arial"/>
                <w:sz w:val="15"/>
                <w:szCs w:val="15"/>
                <w:color w:val="auto"/>
              </w:rPr>
              <w:t>(471)%</w:t>
            </w: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0" w:hanging="337"/>
        <w:spacing w:after="0"/>
        <w:tabs>
          <w:tab w:leader="none" w:pos="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Certain subtotals may not add due to rounding.</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Revenues</w:t>
      </w:r>
    </w:p>
    <w:p>
      <w:pPr>
        <w:spacing w:after="0" w:line="157" w:lineRule="exact"/>
        <w:rPr>
          <w:sz w:val="20"/>
          <w:szCs w:val="20"/>
          <w:color w:val="auto"/>
        </w:rPr>
      </w:pPr>
    </w:p>
    <w:p>
      <w:pPr>
        <w:ind w:left="260" w:right="1919"/>
        <w:spacing w:after="0" w:line="314" w:lineRule="auto"/>
        <w:rPr>
          <w:sz w:val="20"/>
          <w:szCs w:val="20"/>
          <w:color w:val="auto"/>
        </w:rPr>
      </w:pPr>
      <w:r>
        <w:rPr>
          <w:rFonts w:ascii="Arial" w:cs="Arial" w:eastAsia="Arial" w:hAnsi="Arial"/>
          <w:sz w:val="14"/>
          <w:szCs w:val="14"/>
          <w:color w:val="auto"/>
        </w:rPr>
        <w:t>Revenues increased by $2.1 million in the nine months ended January 31, 2011, or 73%, to $4.8 million, as compared to $2.7 million in the nine months ended January 31, 2010. The change in revenues was attributable to the following factors:</w:t>
      </w:r>
    </w:p>
    <w:p>
      <w:pPr>
        <w:spacing w:after="0" w:line="101" w:lineRule="exact"/>
        <w:rPr>
          <w:sz w:val="20"/>
          <w:szCs w:val="20"/>
          <w:color w:val="auto"/>
        </w:rPr>
      </w:pPr>
    </w:p>
    <w:p>
      <w:pPr>
        <w:ind w:left="580" w:right="1899" w:hanging="317"/>
        <w:spacing w:after="0" w:line="292" w:lineRule="auto"/>
        <w:tabs>
          <w:tab w:leader="none" w:pos="58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Revenues relating to our autonomous PowerBuoy system increased by $1.2 million as a result of an increase in billable work on our project to provide our PowerBuoy technology to the US Navy’s Littoral Expeditionary Autonomous PowerBuoy or LEAP program. This was partially offset by a decrease in billable work on the US Navy’s DWADS project.</w:t>
      </w:r>
    </w:p>
    <w:p>
      <w:pPr>
        <w:spacing w:after="0" w:line="81" w:lineRule="exact"/>
        <w:rPr>
          <w:rFonts w:ascii="Arial" w:cs="Arial" w:eastAsia="Arial" w:hAnsi="Arial"/>
          <w:sz w:val="14"/>
          <w:szCs w:val="14"/>
          <w:b w:val="1"/>
          <w:bCs w:val="1"/>
          <w:color w:val="auto"/>
        </w:rPr>
      </w:pPr>
    </w:p>
    <w:p>
      <w:pPr>
        <w:ind w:left="580" w:right="1819" w:hanging="317"/>
        <w:spacing w:after="0" w:line="257" w:lineRule="auto"/>
        <w:tabs>
          <w:tab w:leader="none" w:pos="58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Revenues relating to our utility PowerBuoy system increased by $0.9 million due primarily to an increase in billable work on our PB500 PowerBuoy development project and our 150kW PowerBuoy project off the coast of Reedsport, Oregon. This was partially offset by a decrease in revenue related to our Hawaii project for the US Navy and our wave power project off the coast of Spain, as these projects neared completion. Also, during the nine months ended January 31, 2011, there was a reduction in revenue of approximately $0.2 million due to a change in estimated revenue to be recognized in connection with the Spain construction agreement.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Cost of revenues</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Cost of revenues increased by $2.6 million, or 115%, to $4.8 million in the nine months ended January 31, 2011, as compared to</w:t>
      </w:r>
    </w:p>
    <w:p>
      <w:pPr>
        <w:spacing w:after="0" w:line="30" w:lineRule="exact"/>
        <w:rPr>
          <w:sz w:val="20"/>
          <w:szCs w:val="20"/>
          <w:color w:val="auto"/>
        </w:rPr>
      </w:pPr>
    </w:p>
    <w:p>
      <w:pPr>
        <w:ind w:left="260" w:right="1879"/>
        <w:spacing w:after="0" w:line="255" w:lineRule="auto"/>
        <w:rPr>
          <w:sz w:val="20"/>
          <w:szCs w:val="20"/>
          <w:color w:val="auto"/>
        </w:rPr>
      </w:pPr>
      <w:r>
        <w:rPr>
          <w:rFonts w:ascii="Arial" w:cs="Arial" w:eastAsia="Arial" w:hAnsi="Arial"/>
          <w:sz w:val="15"/>
          <w:szCs w:val="15"/>
          <w:color w:val="auto"/>
        </w:rPr>
        <w:t>$2.2 million in the nine months ended January 31, 2010. This increase in the cost of revenue reflected the increased activity related to the LEAP program, the 150kW PowerBuoy project off the coast of Reedsport, Oregon, and our PB500 PowerBuoy development project. This was partially offset by a lower level of activity on our Hawaii project for the US Navy and our wave power project off the coast of Spain. During the nine months ended January 31, 2010, there was a reduction in cost of revenues resulting from the reversal of $0.4 million in the provision for loss reserves related to our project off the coast of Spain as the reserve was no longer considered necessary as of January 31, 2010.</w:t>
      </w:r>
    </w:p>
    <w:p>
      <w:pPr>
        <w:spacing w:after="0" w:line="200" w:lineRule="exact"/>
        <w:rPr>
          <w:sz w:val="20"/>
          <w:szCs w:val="20"/>
          <w:color w:val="auto"/>
        </w:rPr>
      </w:pPr>
    </w:p>
    <w:p>
      <w:pPr>
        <w:spacing w:after="0" w:line="268"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ind w:left="260" w:right="1799"/>
        <w:spacing w:after="0" w:line="274" w:lineRule="auto"/>
        <w:rPr>
          <w:sz w:val="20"/>
          <w:szCs w:val="20"/>
          <w:color w:val="auto"/>
        </w:rPr>
      </w:pPr>
      <w:r>
        <w:rPr>
          <w:rFonts w:ascii="Arial" w:cs="Arial" w:eastAsia="Arial" w:hAnsi="Arial"/>
          <w:sz w:val="14"/>
          <w:szCs w:val="14"/>
          <w:color w:val="auto"/>
        </w:rPr>
        <w:t>We operated at a gross loss of $56,000 in the nine months ended January 31, 2011 and a gross profit of $0.5 million in the nine months ended January 31, 2010. Certain of our projects in the nine months ended January 31, 2011 and 2010 were under cost sharing contracts. Under cost sharing contracts, we receive a fixed amount agreed upon with the customer that is only intended to fund a portion of the costs on a specific project. We fund the remainder of the costs as part of our product development efforts. Revenue is typically recorded using percentage-of-completion applied to the contractual amount agreed upon with the customer. An equal amount corresponding to the revenue is recorded in cost of revenues resulting in gross profit on these contracts of zero. Our share of the costs is considered to be product development expense. During the nine months ended January 31, 2011, we reduced revenue by approximately $0.2 million due to a change in estimated revenue to be recognized in connection with the Spain construction agreement, and there was no corresponding reduction in cost of revenues. During the nine months ended January 31, 2010, there was a reduction in cost of revenues resulting from the reversal of $0.4 million in the provision for loss reserves related to our project off the coast of Spain as the reserve was no longer considered necessary. Our ability to generate a gross profit will depend on the nature of future contracts, our success at increasing sales of our PowerBuoy systems and on our ability to manage costs incurred on fixed price commercial contracts.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Product development costs</w:t>
      </w:r>
    </w:p>
    <w:p>
      <w:pPr>
        <w:spacing w:after="0" w:line="157" w:lineRule="exact"/>
        <w:rPr>
          <w:sz w:val="20"/>
          <w:szCs w:val="20"/>
          <w:color w:val="auto"/>
        </w:rPr>
      </w:pPr>
    </w:p>
    <w:p>
      <w:pPr>
        <w:ind w:left="260" w:right="1799"/>
        <w:spacing w:after="0" w:line="279" w:lineRule="auto"/>
        <w:rPr>
          <w:sz w:val="20"/>
          <w:szCs w:val="20"/>
          <w:color w:val="auto"/>
        </w:rPr>
      </w:pPr>
      <w:r>
        <w:rPr>
          <w:rFonts w:ascii="Arial" w:cs="Arial" w:eastAsia="Arial" w:hAnsi="Arial"/>
          <w:sz w:val="14"/>
          <w:szCs w:val="14"/>
          <w:color w:val="auto"/>
        </w:rPr>
        <w:t>Product development costs increased by $1.2 million, or 15%, to $9.7 million in the nine months ended January 31, 2011, as compared to $8.5 million in the nine months ended January 31, 2010. Product development costs were primarily attributable to our efforts to increase the power output and reliability of our utility PowerBuoy system, especially the 150kW PowerBuoy system. It is our intent to fund the majority of our research and development expenses over the next several years with sources of external funding. If we are unable to obtain external funding, we may curtail our research and development expenses or we may decide to self-fund significant research and development expenses, in which case our product development costs may continue to increase.</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Selling, general and administrative costs</w:t>
      </w:r>
    </w:p>
    <w:p>
      <w:pPr>
        <w:spacing w:after="0" w:line="168" w:lineRule="exact"/>
        <w:rPr>
          <w:sz w:val="20"/>
          <w:szCs w:val="20"/>
          <w:color w:val="auto"/>
        </w:rPr>
      </w:pPr>
    </w:p>
    <w:p>
      <w:pPr>
        <w:ind w:left="260" w:right="1879"/>
        <w:spacing w:after="0" w:line="265" w:lineRule="auto"/>
        <w:rPr>
          <w:sz w:val="20"/>
          <w:szCs w:val="20"/>
          <w:color w:val="auto"/>
        </w:rPr>
      </w:pPr>
      <w:r>
        <w:rPr>
          <w:rFonts w:ascii="Arial" w:cs="Arial" w:eastAsia="Arial" w:hAnsi="Arial"/>
          <w:sz w:val="15"/>
          <w:szCs w:val="15"/>
          <w:color w:val="auto"/>
        </w:rPr>
        <w:t>Selling, general and administrative costs decreased $0.8 million, or 12%, to $6.1 million for the nine months ended January 31, 2011, as compared to $6.9 million for the nine months ended January 31, 2010. The decrease was primarily attributable to a decrease in compensation and recruiting expenses.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Interest income</w:t>
      </w:r>
    </w:p>
    <w:p>
      <w:pPr>
        <w:spacing w:after="0" w:line="157" w:lineRule="exact"/>
        <w:rPr>
          <w:sz w:val="20"/>
          <w:szCs w:val="20"/>
          <w:color w:val="auto"/>
        </w:rPr>
      </w:pPr>
    </w:p>
    <w:p>
      <w:pPr>
        <w:ind w:left="260" w:right="1859"/>
        <w:spacing w:after="0" w:line="261" w:lineRule="auto"/>
        <w:rPr>
          <w:sz w:val="20"/>
          <w:szCs w:val="20"/>
          <w:color w:val="auto"/>
        </w:rPr>
      </w:pPr>
      <w:r>
        <w:rPr>
          <w:rFonts w:ascii="Arial" w:cs="Arial" w:eastAsia="Arial" w:hAnsi="Arial"/>
          <w:sz w:val="15"/>
          <w:szCs w:val="15"/>
          <w:color w:val="auto"/>
        </w:rPr>
        <w:t>Interest income decreased approximately $0.3 million, or 28%, to $0.5 million for the nine months ended January 31, 2011, compared to $0.8 million for the nine months ended January 31, 2010, primarily due to a decrease in cash, cash equivalents and marketable securities. The average yield was approximately 1.28% during the nine months ended January 31, 2011 and 1.30% during the nine months ended January 31, 2010.</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Other income</w:t>
      </w:r>
    </w:p>
    <w:p>
      <w:pPr>
        <w:spacing w:after="0" w:line="157" w:lineRule="exact"/>
        <w:rPr>
          <w:sz w:val="20"/>
          <w:szCs w:val="20"/>
          <w:color w:val="auto"/>
        </w:rPr>
      </w:pPr>
    </w:p>
    <w:p>
      <w:pPr>
        <w:ind w:left="260" w:right="1879"/>
        <w:spacing w:after="0" w:line="265" w:lineRule="auto"/>
        <w:rPr>
          <w:sz w:val="20"/>
          <w:szCs w:val="20"/>
          <w:color w:val="auto"/>
        </w:rPr>
      </w:pPr>
      <w:r>
        <w:rPr>
          <w:rFonts w:ascii="Arial" w:cs="Arial" w:eastAsia="Arial" w:hAnsi="Arial"/>
          <w:sz w:val="15"/>
          <w:szCs w:val="15"/>
          <w:color w:val="auto"/>
        </w:rPr>
        <w:t>We recognized no other income for the nine months ended January 31, 2011, compared to $0.5 million for the nine months ended January 31, 2010. During the nine months ended January 31, 2010, we settled a claim which we had against a supplier of engineering services, which resulted in a settlement in our favor.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Foreign exchange (loss) gain</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Foreign exchange loss was $0.2 million for the nine months ended January 31, 2011, compared to a foreign exchange gain of</w:t>
      </w:r>
    </w:p>
    <w:p>
      <w:pPr>
        <w:spacing w:after="0" w:line="30" w:lineRule="exact"/>
        <w:rPr>
          <w:sz w:val="20"/>
          <w:szCs w:val="20"/>
          <w:color w:val="auto"/>
        </w:rPr>
      </w:pPr>
    </w:p>
    <w:p>
      <w:pPr>
        <w:ind w:left="260" w:right="1939"/>
        <w:spacing w:after="0" w:line="265" w:lineRule="auto"/>
        <w:rPr>
          <w:sz w:val="20"/>
          <w:szCs w:val="20"/>
          <w:color w:val="auto"/>
        </w:rPr>
      </w:pPr>
      <w:r>
        <w:rPr>
          <w:rFonts w:ascii="Arial" w:cs="Arial" w:eastAsia="Arial" w:hAnsi="Arial"/>
          <w:sz w:val="15"/>
          <w:szCs w:val="15"/>
          <w:color w:val="auto"/>
        </w:rPr>
        <w:t>$0.7 million for the nine months ended January 31, 2010. The difference was primarily attributable to the relative change in value of the British pound sterling, Euro and Australian dollar compared to the US dollar during the two periods.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Income tax benefit</w:t>
      </w:r>
    </w:p>
    <w:p>
      <w:pPr>
        <w:spacing w:after="0" w:line="157" w:lineRule="exact"/>
        <w:rPr>
          <w:sz w:val="20"/>
          <w:szCs w:val="20"/>
          <w:color w:val="auto"/>
        </w:rPr>
      </w:pPr>
    </w:p>
    <w:p>
      <w:pPr>
        <w:ind w:left="260" w:right="1959"/>
        <w:spacing w:after="0" w:line="277" w:lineRule="auto"/>
        <w:rPr>
          <w:sz w:val="20"/>
          <w:szCs w:val="20"/>
          <w:color w:val="auto"/>
        </w:rPr>
      </w:pPr>
      <w:r>
        <w:rPr>
          <w:rFonts w:ascii="Arial" w:cs="Arial" w:eastAsia="Arial" w:hAnsi="Arial"/>
          <w:sz w:val="15"/>
          <w:szCs w:val="15"/>
          <w:color w:val="auto"/>
        </w:rPr>
        <w:t>During the nine months ended January 31, 2011, we sold New Jersey net operating tax loss carryforwards resulting in an income tax benefit of $0.4 million.</w:t>
      </w:r>
    </w:p>
    <w:p>
      <w:pPr>
        <w:spacing w:after="0" w:line="200" w:lineRule="exact"/>
        <w:rPr>
          <w:sz w:val="20"/>
          <w:szCs w:val="20"/>
          <w:color w:val="auto"/>
        </w:rPr>
      </w:pPr>
    </w:p>
    <w:p>
      <w:pPr>
        <w:spacing w:after="0" w:line="253"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Liquidity and Capital Resources</w:t>
      </w:r>
    </w:p>
    <w:p>
      <w:pPr>
        <w:spacing w:after="0" w:line="172" w:lineRule="exact"/>
        <w:rPr>
          <w:sz w:val="20"/>
          <w:szCs w:val="20"/>
          <w:color w:val="auto"/>
        </w:rPr>
      </w:pPr>
    </w:p>
    <w:p>
      <w:pPr>
        <w:ind w:left="260" w:right="1939"/>
        <w:spacing w:after="0" w:line="265" w:lineRule="auto"/>
        <w:rPr>
          <w:sz w:val="20"/>
          <w:szCs w:val="20"/>
          <w:color w:val="auto"/>
        </w:rPr>
      </w:pPr>
      <w:r>
        <w:rPr>
          <w:rFonts w:ascii="Arial" w:cs="Arial" w:eastAsia="Arial" w:hAnsi="Arial"/>
          <w:sz w:val="15"/>
          <w:szCs w:val="15"/>
          <w:color w:val="auto"/>
        </w:rPr>
        <w:t>Since our inception, the cash flows from customer revenues have not been sufficient to fund our operations and provide the capital resources for the planned growth of our business. For the three years ended April 30, 2010, our revenues were $13.9 million, our net losses were $52.1 million and our net cash used in operating activities was $46.1 million.</w:t>
      </w:r>
    </w:p>
    <w:p>
      <w:pPr>
        <w:spacing w:after="0" w:line="151"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540" w:type="dxa"/>
            <w:vAlign w:val="bottom"/>
            <w:gridSpan w:val="7"/>
          </w:tcPr>
          <w:p>
            <w:pPr>
              <w:ind w:left="1380"/>
              <w:spacing w:after="0"/>
              <w:rPr>
                <w:sz w:val="20"/>
                <w:szCs w:val="20"/>
                <w:color w:val="auto"/>
              </w:rPr>
            </w:pPr>
            <w:r>
              <w:rPr>
                <w:rFonts w:ascii="Arial" w:cs="Arial" w:eastAsia="Arial" w:hAnsi="Arial"/>
                <w:sz w:val="15"/>
                <w:szCs w:val="15"/>
                <w:b w:val="1"/>
                <w:bCs w:val="1"/>
                <w:color w:val="auto"/>
                <w:w w:val="94"/>
              </w:rPr>
              <w:t>Nine Months Ended 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2011</w:t>
            </w: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500" w:type="dxa"/>
            <w:vAlign w:val="bottom"/>
            <w:gridSpan w:val="2"/>
            <w:shd w:val="clear" w:color="auto" w:fill="CCEEFF"/>
          </w:tcPr>
          <w:p>
            <w:pPr>
              <w:ind w:left="138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(15,143,395)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(12,889,193)</w:t>
            </w:r>
          </w:p>
        </w:tc>
        <w:tc>
          <w:tcPr>
            <w:tcW w:w="0" w:type="dxa"/>
            <w:vAlign w:val="bottom"/>
          </w:tcPr>
          <w:p>
            <w:pPr>
              <w:spacing w:after="0"/>
              <w:rPr>
                <w:sz w:val="1"/>
                <w:szCs w:val="1"/>
                <w:color w:val="auto"/>
              </w:rPr>
            </w:pPr>
          </w:p>
        </w:tc>
      </w:tr>
      <w:tr>
        <w:trPr>
          <w:trHeight w:val="362"/>
        </w:trPr>
        <w:tc>
          <w:tcPr>
            <w:tcW w:w="4640" w:type="dxa"/>
            <w:vAlign w:val="bottom"/>
            <w:gridSpan w:val="2"/>
          </w:tcPr>
          <w:p>
            <w:pPr>
              <w:spacing w:after="0"/>
              <w:rPr>
                <w:sz w:val="20"/>
                <w:szCs w:val="20"/>
                <w:color w:val="auto"/>
              </w:rPr>
            </w:pPr>
            <w:r>
              <w:rPr>
                <w:rFonts w:ascii="Arial" w:cs="Arial" w:eastAsia="Arial" w:hAnsi="Arial"/>
                <w:sz w:val="15"/>
                <w:szCs w:val="15"/>
                <w:color w:val="auto"/>
              </w:rPr>
              <w:t>Adjustments for noncash operating items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1,488,456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607,143</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Net cash operating loss</w:t>
            </w: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(13,654,939)</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(12,282,050)</w:t>
            </w:r>
          </w:p>
        </w:tc>
        <w:tc>
          <w:tcPr>
            <w:tcW w:w="0" w:type="dxa"/>
            <w:vAlign w:val="bottom"/>
          </w:tcPr>
          <w:p>
            <w:pPr>
              <w:spacing w:after="0"/>
              <w:rPr>
                <w:sz w:val="1"/>
                <w:szCs w:val="1"/>
                <w:color w:val="auto"/>
              </w:rPr>
            </w:pPr>
          </w:p>
        </w:tc>
      </w:tr>
      <w:tr>
        <w:trPr>
          <w:trHeight w:val="362"/>
        </w:trPr>
        <w:tc>
          <w:tcPr>
            <w:tcW w:w="4640" w:type="dxa"/>
            <w:vAlign w:val="bottom"/>
            <w:gridSpan w:val="2"/>
          </w:tcPr>
          <w:p>
            <w:pPr>
              <w:spacing w:after="0"/>
              <w:rPr>
                <w:sz w:val="20"/>
                <w:szCs w:val="20"/>
                <w:color w:val="auto"/>
              </w:rPr>
            </w:pPr>
            <w:r>
              <w:rPr>
                <w:rFonts w:ascii="Arial" w:cs="Arial" w:eastAsia="Arial" w:hAnsi="Arial"/>
                <w:sz w:val="15"/>
                <w:szCs w:val="15"/>
                <w:color w:val="auto"/>
              </w:rPr>
              <w:t>Net change in operating assets and liabilities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(332,324)</w:t>
            </w:r>
          </w:p>
        </w:tc>
        <w:tc>
          <w:tcPr>
            <w:tcW w:w="1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515,618</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(13,987,263)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(11,766,432)</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640" w:type="dxa"/>
            <w:vAlign w:val="bottom"/>
            <w:gridSpan w:val="2"/>
          </w:tcPr>
          <w:p>
            <w:pPr>
              <w:spacing w:after="0"/>
              <w:rPr>
                <w:sz w:val="20"/>
                <w:szCs w:val="20"/>
                <w:color w:val="auto"/>
              </w:rPr>
            </w:pPr>
            <w:r>
              <w:rPr>
                <w:rFonts w:ascii="Arial" w:cs="Arial" w:eastAsia="Arial" w:hAnsi="Arial"/>
                <w:sz w:val="15"/>
                <w:szCs w:val="15"/>
                <w:color w:val="auto"/>
              </w:rPr>
              <w:t>Net cash provided by investing activities</w:t>
            </w:r>
          </w:p>
        </w:tc>
        <w:tc>
          <w:tcPr>
            <w:tcW w:w="1500" w:type="dxa"/>
            <w:vAlign w:val="bottom"/>
            <w:gridSpan w:val="2"/>
          </w:tcPr>
          <w:p>
            <w:pPr>
              <w:ind w:left="13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w w:val="95"/>
              </w:rPr>
              <w:t>18,975,632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7,222,290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4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(used in) by financing activities</w:t>
            </w: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213,133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(93,398)</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640" w:type="dxa"/>
            <w:vAlign w:val="bottom"/>
            <w:gridSpan w:val="2"/>
          </w:tcPr>
          <w:p>
            <w:pPr>
              <w:spacing w:after="0"/>
              <w:rPr>
                <w:sz w:val="20"/>
                <w:szCs w:val="20"/>
                <w:color w:val="auto"/>
              </w:rPr>
            </w:pPr>
            <w:r>
              <w:rPr>
                <w:rFonts w:ascii="Arial" w:cs="Arial" w:eastAsia="Arial" w:hAnsi="Arial"/>
                <w:sz w:val="15"/>
                <w:szCs w:val="15"/>
                <w:color w:val="auto"/>
              </w:rPr>
              <w:t>Effect of exchange rates on cash and cash equivalents</w:t>
            </w:r>
          </w:p>
        </w:tc>
        <w:tc>
          <w:tcPr>
            <w:tcW w:w="1500" w:type="dxa"/>
            <w:vAlign w:val="bottom"/>
            <w:gridSpan w:val="2"/>
          </w:tcPr>
          <w:p>
            <w:pPr>
              <w:ind w:left="13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64,525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837,636</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6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60" w:right="1879"/>
        <w:spacing w:after="0" w:line="265" w:lineRule="auto"/>
        <w:rPr>
          <w:sz w:val="20"/>
          <w:szCs w:val="20"/>
          <w:color w:val="auto"/>
        </w:rPr>
      </w:pPr>
      <w:r>
        <w:rPr>
          <w:rFonts w:ascii="Arial" w:cs="Arial" w:eastAsia="Arial" w:hAnsi="Arial"/>
          <w:sz w:val="15"/>
          <w:szCs w:val="15"/>
          <w:color w:val="auto"/>
        </w:rPr>
        <w:t>Net cash used in operating activities was $14.0 million and $11.8 million for the nine months ended January 31, 2011 and 2010, respectively. The change was the result of an increase in net loss of $2.2 million and in cash used by operating assets and liabilities of $0.8 million, offset by increases in non-cash charges of $0.9 million.</w:t>
      </w:r>
    </w:p>
    <w:p>
      <w:pPr>
        <w:spacing w:after="0" w:line="132" w:lineRule="exact"/>
        <w:rPr>
          <w:sz w:val="20"/>
          <w:szCs w:val="20"/>
          <w:color w:val="auto"/>
        </w:rPr>
      </w:pPr>
    </w:p>
    <w:p>
      <w:pPr>
        <w:ind w:left="260" w:right="1999"/>
        <w:spacing w:after="0" w:line="277" w:lineRule="auto"/>
        <w:rPr>
          <w:sz w:val="20"/>
          <w:szCs w:val="20"/>
          <w:color w:val="auto"/>
        </w:rPr>
      </w:pPr>
      <w:r>
        <w:rPr>
          <w:rFonts w:ascii="Arial" w:cs="Arial" w:eastAsia="Arial" w:hAnsi="Arial"/>
          <w:sz w:val="15"/>
          <w:szCs w:val="15"/>
          <w:color w:val="auto"/>
        </w:rPr>
        <w:t>The change in non-cash charges was primarily due to a change in foreign exchange gains (losses) of $0.9 million resulting from the relative change in the value of the British pound sterling against the US dollar.</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Net cash provided by investing activities</w:t>
      </w:r>
    </w:p>
    <w:p>
      <w:pPr>
        <w:spacing w:after="0" w:line="161" w:lineRule="exact"/>
        <w:rPr>
          <w:sz w:val="20"/>
          <w:szCs w:val="20"/>
          <w:color w:val="auto"/>
        </w:rPr>
      </w:pPr>
    </w:p>
    <w:p>
      <w:pPr>
        <w:ind w:left="260" w:right="1799"/>
        <w:spacing w:after="0" w:line="265" w:lineRule="auto"/>
        <w:rPr>
          <w:sz w:val="20"/>
          <w:szCs w:val="20"/>
          <w:color w:val="auto"/>
        </w:rPr>
      </w:pPr>
      <w:r>
        <w:rPr>
          <w:rFonts w:ascii="Arial" w:cs="Arial" w:eastAsia="Arial" w:hAnsi="Arial"/>
          <w:sz w:val="15"/>
          <w:szCs w:val="15"/>
          <w:color w:val="auto"/>
        </w:rPr>
        <w:t>Net cash provided by investing activities was $19.0 million and $7.2 million for the nine months ended January 31, 2011 and 2010, respectively. The change was primarily the result of a net decrease in purchases of securities during the nine months ended January 31, 2011.</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Net cash provided by (used in) financing activities</w:t>
      </w:r>
    </w:p>
    <w:p>
      <w:pPr>
        <w:spacing w:after="0" w:line="161" w:lineRule="exact"/>
        <w:rPr>
          <w:sz w:val="20"/>
          <w:szCs w:val="20"/>
          <w:color w:val="auto"/>
        </w:rPr>
      </w:pPr>
    </w:p>
    <w:p>
      <w:pPr>
        <w:ind w:left="260" w:right="1839"/>
        <w:spacing w:after="0" w:line="324" w:lineRule="auto"/>
        <w:rPr>
          <w:sz w:val="20"/>
          <w:szCs w:val="20"/>
          <w:color w:val="auto"/>
        </w:rPr>
      </w:pPr>
      <w:r>
        <w:rPr>
          <w:rFonts w:ascii="Arial" w:cs="Arial" w:eastAsia="Arial" w:hAnsi="Arial"/>
          <w:sz w:val="13"/>
          <w:szCs w:val="13"/>
          <w:color w:val="auto"/>
        </w:rPr>
        <w:t>Net cash provided by financing activities was $0.2 million in the nine months ended January 31, 2011 and net cash used in financing activities was $0.1 million in the nine months ended January 31, 2010. During the nine months ended January 31, 2011, we received a $0.25 million loan under the New Jersey Board of Public Utilities Renewable Energy Business Venture Assistance Program.</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Effect of exchange rates on cash and cash equivalents</w:t>
      </w:r>
    </w:p>
    <w:p>
      <w:pPr>
        <w:spacing w:after="0" w:line="172" w:lineRule="exact"/>
        <w:rPr>
          <w:sz w:val="20"/>
          <w:szCs w:val="20"/>
          <w:color w:val="auto"/>
        </w:rPr>
      </w:pPr>
    </w:p>
    <w:p>
      <w:pPr>
        <w:ind w:left="260" w:right="1859"/>
        <w:spacing w:after="0" w:line="265" w:lineRule="auto"/>
        <w:rPr>
          <w:sz w:val="20"/>
          <w:szCs w:val="20"/>
          <w:color w:val="auto"/>
        </w:rPr>
      </w:pPr>
      <w:r>
        <w:rPr>
          <w:rFonts w:ascii="Arial" w:cs="Arial" w:eastAsia="Arial" w:hAnsi="Arial"/>
          <w:sz w:val="15"/>
          <w:szCs w:val="15"/>
          <w:color w:val="auto"/>
        </w:rPr>
        <w:t>The effect of exchange rates on cash and cash equivalents was a gain of $0.1 million in the nine months ended January 31, 2011 and a gain of $0.9 million in the nine months ended January 31, 2010. The change was primarily the result of gains or losses on consolidation of foreign subsidiaries and foreign denominated cash and cash equivalents.</w:t>
      </w:r>
    </w:p>
    <w:p>
      <w:pPr>
        <w:spacing w:after="0" w:line="200" w:lineRule="exact"/>
        <w:rPr>
          <w:sz w:val="20"/>
          <w:szCs w:val="20"/>
          <w:color w:val="auto"/>
        </w:rPr>
      </w:pPr>
    </w:p>
    <w:p>
      <w:pPr>
        <w:spacing w:after="0" w:line="250"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Liquidity and Capital Resources Outlook</w:t>
      </w:r>
    </w:p>
    <w:p>
      <w:pPr>
        <w:spacing w:after="0" w:line="172" w:lineRule="exact"/>
        <w:rPr>
          <w:sz w:val="20"/>
          <w:szCs w:val="20"/>
          <w:color w:val="auto"/>
        </w:rPr>
      </w:pPr>
    </w:p>
    <w:p>
      <w:pPr>
        <w:ind w:left="260" w:right="2019"/>
        <w:spacing w:after="0" w:line="265" w:lineRule="auto"/>
        <w:rPr>
          <w:sz w:val="20"/>
          <w:szCs w:val="20"/>
          <w:color w:val="auto"/>
        </w:rPr>
      </w:pPr>
      <w:r>
        <w:rPr>
          <w:rFonts w:ascii="Arial" w:cs="Arial" w:eastAsia="Arial" w:hAnsi="Arial"/>
          <w:sz w:val="15"/>
          <w:szCs w:val="15"/>
          <w:color w:val="auto"/>
        </w:rPr>
        <w:t>We expect to devote substantial resources to continue our development efforts for our PowerBuoy systems and to expand our sales, marketing and manufacturing programs associated with the commercialization of the PowerBuoy system. Our future capital requirements will depend on a number of factors, including:</w:t>
      </w:r>
    </w:p>
    <w:p>
      <w:pPr>
        <w:spacing w:after="0" w:line="121" w:lineRule="exact"/>
        <w:rPr>
          <w:sz w:val="20"/>
          <w:szCs w:val="20"/>
          <w:color w:val="auto"/>
        </w:rPr>
      </w:pPr>
    </w:p>
    <w:p>
      <w:pPr>
        <w:ind w:left="580" w:hanging="317"/>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cost of development efforts for our PowerBuoy systems;</w:t>
      </w:r>
    </w:p>
    <w:p>
      <w:pPr>
        <w:spacing w:after="0" w:line="133" w:lineRule="exact"/>
        <w:rPr>
          <w:rFonts w:ascii="Arial" w:cs="Arial" w:eastAsia="Arial" w:hAnsi="Arial"/>
          <w:sz w:val="15"/>
          <w:szCs w:val="15"/>
          <w:b w:val="1"/>
          <w:bCs w:val="1"/>
          <w:color w:val="auto"/>
        </w:rPr>
      </w:pPr>
    </w:p>
    <w:p>
      <w:pPr>
        <w:ind w:left="580" w:hanging="317"/>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success of our commercial relationships with major customers;</w:t>
      </w:r>
    </w:p>
    <w:p>
      <w:pPr>
        <w:spacing w:after="0" w:line="133" w:lineRule="exact"/>
        <w:rPr>
          <w:rFonts w:ascii="Arial" w:cs="Arial" w:eastAsia="Arial" w:hAnsi="Arial"/>
          <w:sz w:val="15"/>
          <w:szCs w:val="15"/>
          <w:b w:val="1"/>
          <w:bCs w:val="1"/>
          <w:color w:val="auto"/>
        </w:rPr>
      </w:pPr>
    </w:p>
    <w:p>
      <w:pPr>
        <w:ind w:left="580" w:hanging="317"/>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cost of manufacturing activities;</w:t>
      </w:r>
    </w:p>
    <w:p>
      <w:pPr>
        <w:spacing w:after="0" w:line="133" w:lineRule="exact"/>
        <w:rPr>
          <w:rFonts w:ascii="Arial" w:cs="Arial" w:eastAsia="Arial" w:hAnsi="Arial"/>
          <w:sz w:val="15"/>
          <w:szCs w:val="15"/>
          <w:b w:val="1"/>
          <w:bCs w:val="1"/>
          <w:color w:val="auto"/>
        </w:rPr>
      </w:pPr>
    </w:p>
    <w:p>
      <w:pPr>
        <w:ind w:left="580" w:hanging="317"/>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cost of commercialization activities, including demonstration projects, product marketing and sales;</w:t>
      </w:r>
    </w:p>
    <w:p>
      <w:pPr>
        <w:spacing w:after="0" w:line="133" w:lineRule="exact"/>
        <w:rPr>
          <w:rFonts w:ascii="Arial" w:cs="Arial" w:eastAsia="Arial" w:hAnsi="Arial"/>
          <w:sz w:val="15"/>
          <w:szCs w:val="15"/>
          <w:b w:val="1"/>
          <w:bCs w:val="1"/>
          <w:color w:val="auto"/>
        </w:rPr>
      </w:pPr>
    </w:p>
    <w:p>
      <w:pPr>
        <w:ind w:left="580" w:hanging="317"/>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our ability to establish and maintain additional commercial relationships;</w:t>
      </w:r>
    </w:p>
    <w:p>
      <w:pPr>
        <w:spacing w:after="0" w:line="133" w:lineRule="exact"/>
        <w:rPr>
          <w:rFonts w:ascii="Arial" w:cs="Arial" w:eastAsia="Arial" w:hAnsi="Arial"/>
          <w:sz w:val="15"/>
          <w:szCs w:val="15"/>
          <w:b w:val="1"/>
          <w:bCs w:val="1"/>
          <w:color w:val="auto"/>
        </w:rPr>
      </w:pPr>
    </w:p>
    <w:p>
      <w:pPr>
        <w:ind w:left="580" w:hanging="317"/>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implementation of our expansion plans, including the hiring of new employees;</w:t>
      </w:r>
    </w:p>
    <w:p>
      <w:pPr>
        <w:spacing w:after="0" w:line="133" w:lineRule="exact"/>
        <w:rPr>
          <w:rFonts w:ascii="Arial" w:cs="Arial" w:eastAsia="Arial" w:hAnsi="Arial"/>
          <w:sz w:val="15"/>
          <w:szCs w:val="15"/>
          <w:b w:val="1"/>
          <w:bCs w:val="1"/>
          <w:color w:val="auto"/>
        </w:rPr>
      </w:pPr>
    </w:p>
    <w:p>
      <w:pPr>
        <w:ind w:left="580" w:hanging="317"/>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potential acquisitions of other products or technologies; and</w:t>
      </w:r>
    </w:p>
    <w:p>
      <w:pPr>
        <w:spacing w:after="0" w:line="133" w:lineRule="exact"/>
        <w:rPr>
          <w:rFonts w:ascii="Arial" w:cs="Arial" w:eastAsia="Arial" w:hAnsi="Arial"/>
          <w:sz w:val="15"/>
          <w:szCs w:val="15"/>
          <w:b w:val="1"/>
          <w:bCs w:val="1"/>
          <w:color w:val="auto"/>
        </w:rPr>
      </w:pPr>
    </w:p>
    <w:p>
      <w:pPr>
        <w:ind w:left="580" w:hanging="317"/>
        <w:spacing w:after="0"/>
        <w:tabs>
          <w:tab w:leader="none" w:pos="58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the costs involved in preparing, filing, prosecuting, maintaining and enforcing patent claims and other patent-related costs.</w:t>
      </w:r>
    </w:p>
    <w:p>
      <w:pPr>
        <w:spacing w:after="0" w:line="168" w:lineRule="exact"/>
        <w:rPr>
          <w:sz w:val="20"/>
          <w:szCs w:val="20"/>
          <w:color w:val="auto"/>
        </w:rPr>
      </w:pPr>
    </w:p>
    <w:p>
      <w:pPr>
        <w:jc w:val="both"/>
        <w:ind w:left="260" w:right="1939"/>
        <w:spacing w:after="0" w:line="265" w:lineRule="auto"/>
        <w:rPr>
          <w:sz w:val="20"/>
          <w:szCs w:val="20"/>
          <w:color w:val="auto"/>
        </w:rPr>
      </w:pPr>
      <w:r>
        <w:rPr>
          <w:rFonts w:ascii="Arial" w:cs="Arial" w:eastAsia="Arial" w:hAnsi="Arial"/>
          <w:sz w:val="15"/>
          <w:szCs w:val="15"/>
          <w:color w:val="auto"/>
        </w:rPr>
        <w:t>We expect the rate of cash used in the fourth quarter of fiscal 2011 to be consistent with the first three quarters. We expect the rate of cash outflows to decrease in fiscal 2012, reflecting completion of significant milestones associated with the construction of our two PB150 systems for Oregon and Scotland.</w:t>
      </w:r>
    </w:p>
    <w:p>
      <w:pPr>
        <w:spacing w:after="0" w:line="132" w:lineRule="exact"/>
        <w:rPr>
          <w:sz w:val="20"/>
          <w:szCs w:val="20"/>
          <w:color w:val="auto"/>
        </w:rPr>
      </w:pPr>
    </w:p>
    <w:p>
      <w:pPr>
        <w:ind w:left="260" w:right="1819"/>
        <w:spacing w:after="0" w:line="276" w:lineRule="auto"/>
        <w:rPr>
          <w:sz w:val="20"/>
          <w:szCs w:val="20"/>
          <w:color w:val="auto"/>
        </w:rPr>
      </w:pPr>
      <w:r>
        <w:rPr>
          <w:rFonts w:ascii="Arial" w:cs="Arial" w:eastAsia="Arial" w:hAnsi="Arial"/>
          <w:sz w:val="14"/>
          <w:szCs w:val="14"/>
          <w:color w:val="auto"/>
        </w:rPr>
        <w:t>We believe that our current cash, cash equivalents and investments will be sufficient to meet our anticipated cash needs for working capital and capital expenditures at least through fiscal 2012.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marketing efforts, which could harm our financial condition and operating results.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Off-Balance Sheet Arrangements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Since inception, we have not engaged in any off-balance sheet financing activities.</w:t>
      </w:r>
    </w:p>
    <w:p>
      <w:pPr>
        <w:spacing w:after="0" w:line="200" w:lineRule="exact"/>
        <w:rPr>
          <w:sz w:val="20"/>
          <w:szCs w:val="20"/>
          <w:color w:val="auto"/>
        </w:rPr>
      </w:pPr>
    </w:p>
    <w:p>
      <w:pPr>
        <w:spacing w:after="0" w:line="297"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172" w:lineRule="exact"/>
        <w:rPr>
          <w:sz w:val="20"/>
          <w:szCs w:val="20"/>
          <w:color w:val="auto"/>
        </w:rPr>
      </w:pPr>
    </w:p>
    <w:p>
      <w:pPr>
        <w:ind w:left="260" w:right="1899"/>
        <w:spacing w:after="0" w:line="304" w:lineRule="auto"/>
        <w:rPr>
          <w:sz w:val="20"/>
          <w:szCs w:val="20"/>
          <w:color w:val="auto"/>
        </w:rPr>
      </w:pPr>
      <w:r>
        <w:rPr>
          <w:rFonts w:ascii="Arial" w:cs="Arial" w:eastAsia="Arial" w:hAnsi="Arial"/>
          <w:sz w:val="13"/>
          <w:szCs w:val="13"/>
          <w:color w:val="auto"/>
        </w:rPr>
        <w:t>We generally place our investments in money market funds, Treasury notes, Treasury bills and certificates of deposit with maturities of less than one year. We actively manage our portfolio of cash equivalents and marketable securities,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Board of Public Utilities.</w:t>
      </w:r>
    </w:p>
    <w:p>
      <w:pPr>
        <w:spacing w:after="0" w:line="100" w:lineRule="exact"/>
        <w:rPr>
          <w:sz w:val="20"/>
          <w:szCs w:val="20"/>
          <w:color w:val="auto"/>
        </w:rPr>
      </w:pPr>
    </w:p>
    <w:p>
      <w:pPr>
        <w:jc w:val="both"/>
        <w:ind w:left="260" w:right="1819"/>
        <w:spacing w:after="0" w:line="258" w:lineRule="auto"/>
        <w:rPr>
          <w:sz w:val="20"/>
          <w:szCs w:val="20"/>
          <w:color w:val="auto"/>
        </w:rPr>
      </w:pPr>
      <w:r>
        <w:rPr>
          <w:rFonts w:ascii="Arial" w:cs="Arial" w:eastAsia="Arial" w:hAnsi="Arial"/>
          <w:sz w:val="15"/>
          <w:szCs w:val="15"/>
          <w:color w:val="auto"/>
        </w:rPr>
        <w:t>We estimate that if the average yield on our cash, cash equivalents and marketable securities had decreased by 100 basis points, during the nine months ended January 31, 2011, our interest income for the period would have decreased by approximately $0.4 million. This estimate assumes that the decrease occurred on the first day of the fiscal period and reduced the yield of each investment by 100 basis points. The impact on our future interest income of future changes in investment yields will depend largely on the gross amount of our cash, cash equivalents and marketable securities.</w:t>
      </w:r>
    </w:p>
    <w:p>
      <w:pPr>
        <w:spacing w:after="0" w:line="128" w:lineRule="exact"/>
        <w:rPr>
          <w:sz w:val="20"/>
          <w:szCs w:val="20"/>
          <w:color w:val="auto"/>
        </w:rPr>
      </w:pPr>
    </w:p>
    <w:p>
      <w:pPr>
        <w:ind w:left="260" w:right="1819"/>
        <w:spacing w:after="0" w:line="258" w:lineRule="auto"/>
        <w:rPr>
          <w:sz w:val="20"/>
          <w:szCs w:val="20"/>
          <w:color w:val="auto"/>
        </w:rPr>
      </w:pPr>
      <w:r>
        <w:rPr>
          <w:rFonts w:ascii="Arial" w:cs="Arial" w:eastAsia="Arial" w:hAnsi="Arial"/>
          <w:sz w:val="15"/>
          <w:szCs w:val="15"/>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39" w:lineRule="exact"/>
        <w:rPr>
          <w:sz w:val="20"/>
          <w:szCs w:val="20"/>
          <w:color w:val="auto"/>
        </w:rPr>
      </w:pPr>
    </w:p>
    <w:p>
      <w:pPr>
        <w:ind w:left="260" w:right="1839"/>
        <w:spacing w:after="0" w:line="257" w:lineRule="auto"/>
        <w:rPr>
          <w:sz w:val="20"/>
          <w:szCs w:val="20"/>
          <w:color w:val="auto"/>
        </w:rPr>
      </w:pPr>
      <w:r>
        <w:rPr>
          <w:rFonts w:ascii="Arial" w:cs="Arial" w:eastAsia="Arial" w:hAnsi="Arial"/>
          <w:sz w:val="15"/>
          <w:szCs w:val="15"/>
          <w:color w:val="auto"/>
        </w:rPr>
        <w:t>We maintain cash accounts that are denominated in British pounds sterling, Euros and Australian dollars. These foreign-denominated cash accounts had a balance of $6.8 million as of January 31, 2011 compared to our total cash, cash equivalents, marketable securities and restricted cash account balances of $52.8 million as of January 31, 2011. These foreign currency balances are translated at each month end to our functional currency, the US dollar, and any resulting gain or loss is recognized in our results of operations. If foreign currency exchange rates had fluctuated by 10% as of January 31, 2011, the impact on our foreign exchange gains and losses would have been $0.7 million.</w:t>
      </w:r>
    </w:p>
    <w:p>
      <w:pPr>
        <w:spacing w:after="0" w:line="128" w:lineRule="exact"/>
        <w:rPr>
          <w:sz w:val="20"/>
          <w:szCs w:val="20"/>
          <w:color w:val="auto"/>
        </w:rPr>
      </w:pPr>
    </w:p>
    <w:p>
      <w:pPr>
        <w:ind w:left="260" w:right="1859"/>
        <w:spacing w:after="0" w:line="279" w:lineRule="auto"/>
        <w:rPr>
          <w:sz w:val="20"/>
          <w:szCs w:val="20"/>
          <w:color w:val="auto"/>
        </w:rPr>
      </w:pPr>
      <w:r>
        <w:rPr>
          <w:rFonts w:ascii="Arial" w:cs="Arial" w:eastAsia="Arial" w:hAnsi="Arial"/>
          <w:sz w:val="14"/>
          <w:szCs w:val="14"/>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nine months ended January 31, 2011 were recorded in Euros, British pounds sterling or Australian dollars.</w:t>
      </w:r>
    </w:p>
    <w:p>
      <w:pPr>
        <w:spacing w:after="0" w:line="114" w:lineRule="exact"/>
        <w:rPr>
          <w:sz w:val="20"/>
          <w:szCs w:val="20"/>
          <w:color w:val="auto"/>
        </w:rPr>
      </w:pPr>
    </w:p>
    <w:p>
      <w:pPr>
        <w:ind w:left="260" w:right="1839"/>
        <w:spacing w:after="0" w:line="258" w:lineRule="auto"/>
        <w:rPr>
          <w:sz w:val="20"/>
          <w:szCs w:val="20"/>
          <w:color w:val="auto"/>
        </w:rPr>
      </w:pPr>
      <w:r>
        <w:rPr>
          <w:rFonts w:ascii="Arial" w:cs="Arial" w:eastAsia="Arial" w:hAnsi="Arial"/>
          <w:sz w:val="15"/>
          <w:szCs w:val="15"/>
          <w:color w:val="auto"/>
        </w:rPr>
        <w:t>We currently do not hedge exchange rate exposure. However, we assess the anticipated foreign currency working capital requirements and capital asset acquisitions of our foreign operations and attempt to maintain a portion of our cash, cash equivalents and certificates of deposit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39" w:lineRule="exact"/>
        <w:rPr>
          <w:sz w:val="20"/>
          <w:szCs w:val="20"/>
          <w:color w:val="auto"/>
        </w:rPr>
      </w:pPr>
    </w:p>
    <w:p>
      <w:pPr>
        <w:ind w:left="260" w:right="1859"/>
        <w:spacing w:after="0" w:line="261" w:lineRule="auto"/>
        <w:rPr>
          <w:sz w:val="20"/>
          <w:szCs w:val="20"/>
          <w:color w:val="auto"/>
        </w:rPr>
      </w:pPr>
      <w:r>
        <w:rPr>
          <w:rFonts w:ascii="Arial" w:cs="Arial" w:eastAsia="Arial" w:hAnsi="Arial"/>
          <w:sz w:val="15"/>
          <w:szCs w:val="15"/>
          <w:color w:val="auto"/>
        </w:rPr>
        <w:t>We have limited potential exposure to fluctuations in prices of commodities used in the production of our buoys, such as steel. Currently, we believe our exposure is minimal since we contract for the components of our buoys on a project-by-project basis and do not yet produce in large unit volumes. We do not use long-term supply agreements nor do we use derivative instruments to hedge any potential exposure.</w:t>
      </w:r>
    </w:p>
    <w:p>
      <w:pPr>
        <w:spacing w:after="0" w:line="200" w:lineRule="exact"/>
        <w:rPr>
          <w:sz w:val="20"/>
          <w:szCs w:val="20"/>
          <w:color w:val="auto"/>
        </w:rPr>
      </w:pPr>
    </w:p>
    <w:p>
      <w:pPr>
        <w:spacing w:after="0" w:line="252"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Evaluation of Disclosure Controls and Procedures</w:t>
      </w:r>
    </w:p>
    <w:p>
      <w:pPr>
        <w:spacing w:after="0" w:line="157" w:lineRule="exact"/>
        <w:rPr>
          <w:sz w:val="20"/>
          <w:szCs w:val="20"/>
          <w:color w:val="auto"/>
        </w:rPr>
      </w:pPr>
    </w:p>
    <w:p>
      <w:pPr>
        <w:ind w:left="260" w:right="1899"/>
        <w:spacing w:after="0" w:line="279" w:lineRule="auto"/>
        <w:rPr>
          <w:sz w:val="20"/>
          <w:szCs w:val="20"/>
          <w:color w:val="auto"/>
        </w:rPr>
      </w:pPr>
      <w:r>
        <w:rPr>
          <w:rFonts w:ascii="Arial" w:cs="Arial" w:eastAsia="Arial" w:hAnsi="Arial"/>
          <w:sz w:val="14"/>
          <w:szCs w:val="14"/>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14" w:lineRule="exact"/>
        <w:rPr>
          <w:sz w:val="20"/>
          <w:szCs w:val="20"/>
          <w:color w:val="auto"/>
        </w:rPr>
      </w:pPr>
    </w:p>
    <w:p>
      <w:pPr>
        <w:ind w:left="260" w:right="1819"/>
        <w:spacing w:after="0" w:line="285" w:lineRule="auto"/>
        <w:rPr>
          <w:sz w:val="20"/>
          <w:szCs w:val="20"/>
          <w:color w:val="auto"/>
        </w:rPr>
      </w:pPr>
      <w:r>
        <w:rPr>
          <w:rFonts w:ascii="Arial" w:cs="Arial" w:eastAsia="Arial" w:hAnsi="Arial"/>
          <w:sz w:val="14"/>
          <w:szCs w:val="14"/>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January 31, 2011, our Chief Executive Officer and Chief Financial Officer concluded that our disclosure controls and procedures are effective.</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Changes in Internal Control over Financial Reporting</w:t>
      </w:r>
    </w:p>
    <w:p>
      <w:pPr>
        <w:spacing w:after="0" w:line="157" w:lineRule="exact"/>
        <w:rPr>
          <w:sz w:val="20"/>
          <w:szCs w:val="20"/>
          <w:color w:val="auto"/>
        </w:rPr>
      </w:pPr>
    </w:p>
    <w:p>
      <w:pPr>
        <w:ind w:left="260" w:right="1919"/>
        <w:spacing w:after="0" w:line="265" w:lineRule="auto"/>
        <w:rPr>
          <w:sz w:val="20"/>
          <w:szCs w:val="20"/>
          <w:color w:val="auto"/>
        </w:rPr>
      </w:pPr>
      <w:r>
        <w:rPr>
          <w:rFonts w:ascii="Arial" w:cs="Arial" w:eastAsia="Arial" w:hAnsi="Arial"/>
          <w:sz w:val="15"/>
          <w:szCs w:val="15"/>
          <w:color w:val="auto"/>
        </w:rPr>
        <w:t>No change in our internal control over financial reporting (as defined in Rules 13a-15(f) and 15d-15(f) under the Exchange Act) occurred during the fiscal quarter ended January 31, 2011 that has materially affected, or is reasonably likely to materially affect, our internal control over financial reporting.</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5"/>
          <w:szCs w:val="15"/>
          <w:b w:val="1"/>
          <w:bCs w:val="1"/>
          <w:color w:val="auto"/>
        </w:rPr>
        <w:t>PART II — OTHER INFORMATION</w:t>
      </w:r>
    </w:p>
    <w:p>
      <w:pPr>
        <w:spacing w:after="0" w:line="168"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i w:val="1"/>
          <w:iCs w:val="1"/>
          <w:color w:val="auto"/>
        </w:rPr>
        <w:t>LEGAL PROCEEDINGS</w:t>
      </w:r>
    </w:p>
    <w:p>
      <w:pPr>
        <w:spacing w:after="0" w:line="161" w:lineRule="exact"/>
        <w:rPr>
          <w:sz w:val="20"/>
          <w:szCs w:val="20"/>
          <w:color w:val="auto"/>
        </w:rPr>
      </w:pPr>
    </w:p>
    <w:p>
      <w:pPr>
        <w:ind w:left="260" w:right="2079"/>
        <w:spacing w:after="0" w:line="265" w:lineRule="auto"/>
        <w:rPr>
          <w:sz w:val="20"/>
          <w:szCs w:val="20"/>
          <w:color w:val="auto"/>
        </w:rPr>
      </w:pPr>
      <w:r>
        <w:rPr>
          <w:rFonts w:ascii="Arial" w:cs="Arial" w:eastAsia="Arial" w:hAnsi="Arial"/>
          <w:sz w:val="15"/>
          <w:szCs w:val="15"/>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 xml:space="preserve">Item 1A. </w:t>
      </w:r>
      <w:r>
        <w:rPr>
          <w:rFonts w:ascii="Arial" w:cs="Arial" w:eastAsia="Arial" w:hAnsi="Arial"/>
          <w:sz w:val="15"/>
          <w:szCs w:val="15"/>
          <w:b w:val="1"/>
          <w:bCs w:val="1"/>
          <w:i w:val="1"/>
          <w:iCs w:val="1"/>
          <w:color w:val="auto"/>
        </w:rPr>
        <w:t>RISK FACTORS</w:t>
      </w:r>
    </w:p>
    <w:p>
      <w:pPr>
        <w:spacing w:after="0" w:line="172" w:lineRule="exact"/>
        <w:rPr>
          <w:sz w:val="20"/>
          <w:szCs w:val="20"/>
          <w:color w:val="auto"/>
        </w:rPr>
      </w:pPr>
    </w:p>
    <w:p>
      <w:pPr>
        <w:ind w:left="260" w:right="1819"/>
        <w:spacing w:after="0" w:line="281" w:lineRule="auto"/>
        <w:rPr>
          <w:sz w:val="20"/>
          <w:szCs w:val="20"/>
          <w:color w:val="auto"/>
        </w:rPr>
      </w:pPr>
      <w:r>
        <w:rPr>
          <w:rFonts w:ascii="Arial" w:cs="Arial" w:eastAsia="Arial" w:hAnsi="Arial"/>
          <w:sz w:val="14"/>
          <w:szCs w:val="14"/>
          <w:color w:val="auto"/>
        </w:rPr>
        <w:t>The discussion of our business and operations should be read together with the risk factors contained in Item 1A of our Annual Report on Form 10-K for the year ended April 30, 2010.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2010.</w:t>
      </w:r>
    </w:p>
    <w:p>
      <w:pPr>
        <w:spacing w:after="0" w:line="200" w:lineRule="exact"/>
        <w:rPr>
          <w:sz w:val="20"/>
          <w:szCs w:val="20"/>
          <w:color w:val="auto"/>
        </w:rPr>
      </w:pPr>
    </w:p>
    <w:p>
      <w:pPr>
        <w:spacing w:after="0" w:line="242"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i w:val="1"/>
          <w:iCs w:val="1"/>
          <w:color w:val="auto"/>
        </w:rPr>
        <w:t>UNREGISTERED SALES OF EQUITY SECURITIES AND USE OF PROCEEDS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Use of Proceeds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On April 30, 2007, we sold 5,000,000 shares of our common stock in our initial public offering in the United States at a price of</w:t>
      </w:r>
    </w:p>
    <w:p>
      <w:pPr>
        <w:spacing w:after="0" w:line="30" w:lineRule="exact"/>
        <w:rPr>
          <w:sz w:val="20"/>
          <w:szCs w:val="20"/>
          <w:color w:val="auto"/>
        </w:rPr>
      </w:pPr>
    </w:p>
    <w:p>
      <w:pPr>
        <w:ind w:left="260" w:right="1799"/>
        <w:spacing w:after="0" w:line="255" w:lineRule="auto"/>
        <w:rPr>
          <w:sz w:val="20"/>
          <w:szCs w:val="20"/>
          <w:color w:val="auto"/>
        </w:rPr>
      </w:pPr>
      <w:r>
        <w:rPr>
          <w:rFonts w:ascii="Arial" w:cs="Arial" w:eastAsia="Arial" w:hAnsi="Arial"/>
          <w:sz w:val="15"/>
          <w:szCs w:val="15"/>
          <w:color w:val="auto"/>
        </w:rPr>
        <w:t>$20.00 per share, pursuant to a registration statement on Form S-1 (File No. 333-138595), which was declared effective by the SEC on April 24, 2007. The managing underwriters in the offering were UBS Securities LLC, Banc of America Securities LLC, and Bear, Stearns &amp; Co., Inc. The underwriting discounts and commissions and offering expenses payable by us aggregated $10.1 million, resulting in net proceeds to us of $89.9 million. None of the underwriting discounts and commissions or offering costs were incurred or paid to directors or officers of ours or their associates or to persons owning ten percent or more of our common stock or to any affiliates of ours.</w:t>
      </w:r>
    </w:p>
    <w:p>
      <w:pPr>
        <w:spacing w:after="0" w:line="128" w:lineRule="exact"/>
        <w:rPr>
          <w:sz w:val="20"/>
          <w:szCs w:val="20"/>
          <w:color w:val="auto"/>
        </w:rPr>
      </w:pPr>
    </w:p>
    <w:p>
      <w:pPr>
        <w:ind w:left="260" w:right="1839"/>
        <w:spacing w:after="0" w:line="276" w:lineRule="auto"/>
        <w:rPr>
          <w:sz w:val="20"/>
          <w:szCs w:val="20"/>
          <w:color w:val="auto"/>
        </w:rPr>
      </w:pPr>
      <w:r>
        <w:rPr>
          <w:rFonts w:ascii="Arial" w:cs="Arial" w:eastAsia="Arial" w:hAnsi="Arial"/>
          <w:sz w:val="14"/>
          <w:szCs w:val="14"/>
          <w:color w:val="auto"/>
        </w:rPr>
        <w:t>From the effective date of the registration statement through January 31, 2011, we used $6.6 million to construct demonstration PowerBuoys, $24.8 million to fund the continued development and commercialization of our PowerBuoy system, $5.0 million to expand our sales and marketing capabilities and $0.7 million to fund the expansion of assembly, test and field service facilities. We have invested the balance of the net proceeds from the offering in marketable securities, in accordance with our investment policy. We have not used any of the net proceeds from the offering to make payments, directly or indirectly, to any director or officer of ours, or any of their associates, to any person owning ten percent or more of our common stock or to any affiliate of ours. There has been no material change in our planned use of the balance of the net proceeds from the offering as described in our final prospectus filed with the SEC pursuant to Rule 424(b) under the Securities Act of 1933.</w:t>
      </w:r>
    </w:p>
    <w:p>
      <w:pPr>
        <w:spacing w:after="0" w:line="126"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i w:val="1"/>
          <w:iCs w:val="1"/>
          <w:color w:val="auto"/>
        </w:rPr>
        <w:t>DEFAULTS UPON SENIOR SECURITIES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153"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85"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40" w:type="dxa"/>
            <w:vAlign w:val="bottom"/>
          </w:tcPr>
          <w:p>
            <w:pPr>
              <w:jc w:val="right"/>
              <w:ind w:right="244"/>
              <w:spacing w:after="0"/>
              <w:rPr>
                <w:sz w:val="20"/>
                <w:szCs w:val="20"/>
                <w:color w:val="auto"/>
              </w:rPr>
            </w:pPr>
            <w:r>
              <w:rPr>
                <w:rFonts w:ascii="Arial" w:cs="Arial" w:eastAsia="Arial" w:hAnsi="Arial"/>
                <w:sz w:val="15"/>
                <w:szCs w:val="15"/>
                <w:color w:val="auto"/>
              </w:rPr>
              <w:t>10.1</w:t>
            </w:r>
          </w:p>
        </w:tc>
        <w:tc>
          <w:tcPr>
            <w:tcW w:w="10200" w:type="dxa"/>
            <w:vAlign w:val="bottom"/>
          </w:tcPr>
          <w:p>
            <w:pPr>
              <w:ind w:left="320"/>
              <w:spacing w:after="0"/>
              <w:rPr>
                <w:sz w:val="20"/>
                <w:szCs w:val="20"/>
                <w:color w:val="auto"/>
              </w:rPr>
            </w:pPr>
            <w:r>
              <w:rPr>
                <w:rFonts w:ascii="Arial" w:cs="Arial" w:eastAsia="Arial" w:hAnsi="Arial"/>
                <w:sz w:val="15"/>
                <w:szCs w:val="15"/>
                <w:color w:val="auto"/>
              </w:rPr>
              <w:t>Form of Restricted Stock Agreement</w:t>
            </w:r>
          </w:p>
        </w:tc>
      </w:tr>
      <w:tr>
        <w:trPr>
          <w:trHeight w:val="363"/>
        </w:trPr>
        <w:tc>
          <w:tcPr>
            <w:tcW w:w="1240" w:type="dxa"/>
            <w:vAlign w:val="bottom"/>
          </w:tcPr>
          <w:p>
            <w:pPr>
              <w:jc w:val="right"/>
              <w:ind w:right="244"/>
              <w:spacing w:after="0"/>
              <w:rPr>
                <w:sz w:val="20"/>
                <w:szCs w:val="20"/>
                <w:color w:val="auto"/>
              </w:rPr>
            </w:pPr>
            <w:r>
              <w:rPr>
                <w:rFonts w:ascii="Arial" w:cs="Arial" w:eastAsia="Arial" w:hAnsi="Arial"/>
                <w:sz w:val="15"/>
                <w:szCs w:val="15"/>
                <w:color w:val="auto"/>
              </w:rPr>
              <w:t>31.1</w:t>
            </w:r>
          </w:p>
        </w:tc>
        <w:tc>
          <w:tcPr>
            <w:tcW w:w="10200" w:type="dxa"/>
            <w:vAlign w:val="bottom"/>
          </w:tcPr>
          <w:p>
            <w:pPr>
              <w:ind w:left="32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r>
      <w:tr>
        <w:trPr>
          <w:trHeight w:val="363"/>
        </w:trPr>
        <w:tc>
          <w:tcPr>
            <w:tcW w:w="1240" w:type="dxa"/>
            <w:vAlign w:val="bottom"/>
          </w:tcPr>
          <w:p>
            <w:pPr>
              <w:jc w:val="right"/>
              <w:ind w:right="244"/>
              <w:spacing w:after="0"/>
              <w:rPr>
                <w:sz w:val="20"/>
                <w:szCs w:val="20"/>
                <w:color w:val="auto"/>
              </w:rPr>
            </w:pPr>
            <w:r>
              <w:rPr>
                <w:rFonts w:ascii="Arial" w:cs="Arial" w:eastAsia="Arial" w:hAnsi="Arial"/>
                <w:sz w:val="15"/>
                <w:szCs w:val="15"/>
                <w:color w:val="auto"/>
              </w:rPr>
              <w:t>31.2</w:t>
            </w:r>
          </w:p>
        </w:tc>
        <w:tc>
          <w:tcPr>
            <w:tcW w:w="10200" w:type="dxa"/>
            <w:vAlign w:val="bottom"/>
          </w:tcPr>
          <w:p>
            <w:pPr>
              <w:ind w:left="32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r>
      <w:tr>
        <w:trPr>
          <w:trHeight w:val="363"/>
        </w:trPr>
        <w:tc>
          <w:tcPr>
            <w:tcW w:w="1240" w:type="dxa"/>
            <w:vAlign w:val="bottom"/>
          </w:tcPr>
          <w:p>
            <w:pPr>
              <w:jc w:val="right"/>
              <w:ind w:right="244"/>
              <w:spacing w:after="0"/>
              <w:rPr>
                <w:sz w:val="20"/>
                <w:szCs w:val="20"/>
                <w:color w:val="auto"/>
              </w:rPr>
            </w:pPr>
            <w:r>
              <w:rPr>
                <w:rFonts w:ascii="Arial" w:cs="Arial" w:eastAsia="Arial" w:hAnsi="Arial"/>
                <w:sz w:val="15"/>
                <w:szCs w:val="15"/>
                <w:color w:val="auto"/>
              </w:rPr>
              <w:t>32.1</w:t>
            </w:r>
          </w:p>
        </w:tc>
        <w:tc>
          <w:tcPr>
            <w:tcW w:w="10200" w:type="dxa"/>
            <w:vAlign w:val="bottom"/>
          </w:tcPr>
          <w:p>
            <w:pPr>
              <w:ind w:left="32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r>
      <w:tr>
        <w:trPr>
          <w:trHeight w:val="363"/>
        </w:trPr>
        <w:tc>
          <w:tcPr>
            <w:tcW w:w="1240" w:type="dxa"/>
            <w:vAlign w:val="bottom"/>
          </w:tcPr>
          <w:p>
            <w:pPr>
              <w:jc w:val="right"/>
              <w:ind w:right="244"/>
              <w:spacing w:after="0"/>
              <w:rPr>
                <w:sz w:val="20"/>
                <w:szCs w:val="20"/>
                <w:color w:val="auto"/>
              </w:rPr>
            </w:pPr>
            <w:r>
              <w:rPr>
                <w:rFonts w:ascii="Arial" w:cs="Arial" w:eastAsia="Arial" w:hAnsi="Arial"/>
                <w:sz w:val="15"/>
                <w:szCs w:val="15"/>
                <w:color w:val="auto"/>
              </w:rPr>
              <w:t>32.2</w:t>
            </w:r>
          </w:p>
        </w:tc>
        <w:tc>
          <w:tcPr>
            <w:tcW w:w="10200" w:type="dxa"/>
            <w:vAlign w:val="bottom"/>
          </w:tcPr>
          <w:p>
            <w:pPr>
              <w:ind w:left="32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r>
      <w:tr>
        <w:trPr>
          <w:trHeight w:val="669"/>
        </w:trPr>
        <w:tc>
          <w:tcPr>
            <w:tcW w:w="1240" w:type="dxa"/>
            <w:vAlign w:val="bottom"/>
          </w:tcPr>
          <w:p>
            <w:pPr>
              <w:spacing w:after="0"/>
              <w:rPr>
                <w:sz w:val="24"/>
                <w:szCs w:val="24"/>
                <w:color w:val="auto"/>
              </w:rPr>
            </w:pPr>
          </w:p>
        </w:tc>
        <w:tc>
          <w:tcPr>
            <w:tcW w:w="10200" w:type="dxa"/>
            <w:vAlign w:val="bottom"/>
          </w:tcPr>
          <w:p>
            <w:pPr>
              <w:ind w:left="3040"/>
              <w:spacing w:after="0"/>
              <w:rPr>
                <w:sz w:val="20"/>
                <w:szCs w:val="20"/>
                <w:color w:val="auto"/>
              </w:rPr>
            </w:pPr>
            <w:r>
              <w:rPr>
                <w:rFonts w:ascii="Arial" w:cs="Arial" w:eastAsia="Arial" w:hAnsi="Arial"/>
                <w:sz w:val="15"/>
                <w:szCs w:val="15"/>
                <w:color w:val="auto"/>
              </w:rPr>
              <w:t>31</w:t>
            </w:r>
          </w:p>
        </w:tc>
      </w:tr>
      <w:tr>
        <w:trPr>
          <w:trHeight w:val="190"/>
        </w:trPr>
        <w:tc>
          <w:tcPr>
            <w:tcW w:w="1240" w:type="dxa"/>
            <w:vAlign w:val="bottom"/>
            <w:tcBorders>
              <w:bottom w:val="single" w:sz="8" w:color="808080"/>
            </w:tcBorders>
          </w:tcPr>
          <w:p>
            <w:pPr>
              <w:spacing w:after="0"/>
              <w:rPr>
                <w:sz w:val="16"/>
                <w:szCs w:val="16"/>
                <w:color w:val="auto"/>
              </w:rPr>
            </w:pPr>
          </w:p>
        </w:tc>
        <w:tc>
          <w:tcPr>
            <w:tcW w:w="102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SIGNATURES</w:t>
      </w:r>
    </w:p>
    <w:p>
      <w:pPr>
        <w:spacing w:after="0" w:line="172" w:lineRule="exact"/>
        <w:rPr>
          <w:sz w:val="20"/>
          <w:szCs w:val="20"/>
          <w:color w:val="auto"/>
        </w:rPr>
      </w:pPr>
    </w:p>
    <w:p>
      <w:pPr>
        <w:ind w:left="260" w:right="2159"/>
        <w:spacing w:after="0" w:line="277"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By: /s/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12700</wp:posOffset>
            </wp:positionV>
            <wp:extent cx="188722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7220" cy="6985"/>
                    </a:xfrm>
                    <a:prstGeom prst="rect">
                      <a:avLst/>
                    </a:prstGeom>
                    <a:noFill/>
                  </pic:spPr>
                </pic:pic>
              </a:graphicData>
            </a:graphic>
          </wp:anchor>
        </w:drawing>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Charles F. Dunleavy</w:t>
      </w:r>
    </w:p>
    <w:p>
      <w:pPr>
        <w:spacing w:after="0" w:line="1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Chief Executive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(Principal Executive Officer)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Date: March 14, 2011</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By: /s/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12700</wp:posOffset>
            </wp:positionV>
            <wp:extent cx="188722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7220" cy="6985"/>
                    </a:xfrm>
                    <a:prstGeom prst="rect">
                      <a:avLst/>
                    </a:prstGeom>
                    <a:noFill/>
                  </pic:spPr>
                </pic:pic>
              </a:graphicData>
            </a:graphic>
          </wp:anchor>
        </w:drawing>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Brian M. Posner</w:t>
      </w:r>
    </w:p>
    <w:p>
      <w:pPr>
        <w:spacing w:after="0" w:line="1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Chief Financial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(Principal Financial Officer)</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Date: March 14, 2011</w:t>
      </w:r>
    </w:p>
    <w:p>
      <w:pPr>
        <w:spacing w:after="0" w:line="200" w:lineRule="exact"/>
        <w:rPr>
          <w:sz w:val="20"/>
          <w:szCs w:val="20"/>
          <w:color w:val="auto"/>
        </w:rPr>
      </w:pPr>
    </w:p>
    <w:p>
      <w:pPr>
        <w:spacing w:after="0" w:line="297"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27392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2"/>
        </w:trPr>
        <w:tc>
          <w:tcPr>
            <w:tcW w:w="1340" w:type="dxa"/>
            <w:vAlign w:val="bottom"/>
            <w:gridSpan w:val="2"/>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6260" w:type="dxa"/>
            <w:vAlign w:val="bottom"/>
          </w:tcPr>
          <w:p>
            <w:pPr>
              <w:spacing w:after="0"/>
              <w:rPr>
                <w:sz w:val="14"/>
                <w:szCs w:val="14"/>
                <w:color w:val="auto"/>
              </w:rPr>
            </w:pPr>
          </w:p>
        </w:tc>
      </w:tr>
      <w:tr>
        <w:trPr>
          <w:trHeight w:val="444"/>
        </w:trPr>
        <w:tc>
          <w:tcPr>
            <w:tcW w:w="1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tcPr>
          <w:p>
            <w:pPr>
              <w:ind w:left="2380"/>
              <w:spacing w:after="0"/>
              <w:rPr>
                <w:sz w:val="20"/>
                <w:szCs w:val="20"/>
                <w:color w:val="auto"/>
              </w:rPr>
            </w:pPr>
            <w:r>
              <w:rPr>
                <w:rFonts w:ascii="Arial" w:cs="Arial" w:eastAsia="Arial" w:hAnsi="Arial"/>
                <w:sz w:val="15"/>
                <w:szCs w:val="15"/>
                <w:b w:val="1"/>
                <w:bCs w:val="1"/>
                <w:color w:val="auto"/>
              </w:rPr>
              <w:t>EXHIBITS INDEX</w:t>
            </w:r>
          </w:p>
        </w:tc>
      </w:tr>
      <w:tr>
        <w:trPr>
          <w:trHeight w:val="363"/>
        </w:trPr>
        <w:tc>
          <w:tcPr>
            <w:tcW w:w="1120" w:type="dxa"/>
            <w:vAlign w:val="bottom"/>
          </w:tcPr>
          <w:p>
            <w:pPr>
              <w:jc w:val="right"/>
              <w:ind w:right="124"/>
              <w:spacing w:after="0"/>
              <w:rPr>
                <w:sz w:val="20"/>
                <w:szCs w:val="20"/>
                <w:color w:val="auto"/>
              </w:rPr>
            </w:pPr>
            <w:r>
              <w:rPr>
                <w:rFonts w:ascii="Arial" w:cs="Arial" w:eastAsia="Arial" w:hAnsi="Arial"/>
                <w:sz w:val="15"/>
                <w:szCs w:val="15"/>
                <w:color w:val="auto"/>
              </w:rPr>
              <w:t>10.1</w:t>
            </w:r>
          </w:p>
        </w:tc>
        <w:tc>
          <w:tcPr>
            <w:tcW w:w="220" w:type="dxa"/>
            <w:vAlign w:val="bottom"/>
          </w:tcPr>
          <w:p>
            <w:pPr>
              <w:spacing w:after="0"/>
              <w:rPr>
                <w:sz w:val="24"/>
                <w:szCs w:val="24"/>
                <w:color w:val="auto"/>
              </w:rPr>
            </w:pPr>
          </w:p>
        </w:tc>
        <w:tc>
          <w:tcPr>
            <w:tcW w:w="6260" w:type="dxa"/>
            <w:vAlign w:val="bottom"/>
          </w:tcPr>
          <w:p>
            <w:pPr>
              <w:ind w:left="220"/>
              <w:spacing w:after="0"/>
              <w:rPr>
                <w:sz w:val="20"/>
                <w:szCs w:val="20"/>
                <w:color w:val="auto"/>
              </w:rPr>
            </w:pPr>
            <w:r>
              <w:rPr>
                <w:rFonts w:ascii="Arial" w:cs="Arial" w:eastAsia="Arial" w:hAnsi="Arial"/>
                <w:sz w:val="15"/>
                <w:szCs w:val="15"/>
                <w:color w:val="auto"/>
              </w:rPr>
              <w:t>Form of Restricted Stock Agreement</w:t>
            </w:r>
          </w:p>
        </w:tc>
      </w:tr>
      <w:tr>
        <w:trPr>
          <w:trHeight w:val="363"/>
        </w:trPr>
        <w:tc>
          <w:tcPr>
            <w:tcW w:w="1120" w:type="dxa"/>
            <w:vAlign w:val="bottom"/>
          </w:tcPr>
          <w:p>
            <w:pPr>
              <w:jc w:val="right"/>
              <w:ind w:right="124"/>
              <w:spacing w:after="0"/>
              <w:rPr>
                <w:sz w:val="20"/>
                <w:szCs w:val="20"/>
                <w:color w:val="auto"/>
              </w:rPr>
            </w:pPr>
            <w:r>
              <w:rPr>
                <w:rFonts w:ascii="Arial" w:cs="Arial" w:eastAsia="Arial" w:hAnsi="Arial"/>
                <w:sz w:val="15"/>
                <w:szCs w:val="15"/>
                <w:color w:val="auto"/>
              </w:rPr>
              <w:t>31.1</w:t>
            </w:r>
          </w:p>
        </w:tc>
        <w:tc>
          <w:tcPr>
            <w:tcW w:w="220" w:type="dxa"/>
            <w:vAlign w:val="bottom"/>
          </w:tcPr>
          <w:p>
            <w:pPr>
              <w:spacing w:after="0"/>
              <w:rPr>
                <w:sz w:val="24"/>
                <w:szCs w:val="24"/>
                <w:color w:val="auto"/>
              </w:rPr>
            </w:pPr>
          </w:p>
        </w:tc>
        <w:tc>
          <w:tcPr>
            <w:tcW w:w="6260" w:type="dxa"/>
            <w:vAlign w:val="bottom"/>
          </w:tcPr>
          <w:p>
            <w:pPr>
              <w:ind w:left="220"/>
              <w:spacing w:after="0"/>
              <w:rPr>
                <w:sz w:val="20"/>
                <w:szCs w:val="20"/>
                <w:color w:val="auto"/>
              </w:rPr>
            </w:pPr>
            <w:r>
              <w:rPr>
                <w:rFonts w:ascii="Arial" w:cs="Arial" w:eastAsia="Arial" w:hAnsi="Arial"/>
                <w:sz w:val="15"/>
                <w:szCs w:val="15"/>
                <w:color w:val="auto"/>
                <w:w w:val="92"/>
              </w:rPr>
              <w:t>Certification of Chief Executive Officer pursuant to Section 302 of the Sarbanes-Oxley Act of 2002</w:t>
            </w:r>
          </w:p>
        </w:tc>
      </w:tr>
      <w:tr>
        <w:trPr>
          <w:trHeight w:val="363"/>
        </w:trPr>
        <w:tc>
          <w:tcPr>
            <w:tcW w:w="1120" w:type="dxa"/>
            <w:vAlign w:val="bottom"/>
          </w:tcPr>
          <w:p>
            <w:pPr>
              <w:jc w:val="right"/>
              <w:ind w:right="124"/>
              <w:spacing w:after="0"/>
              <w:rPr>
                <w:sz w:val="20"/>
                <w:szCs w:val="20"/>
                <w:color w:val="auto"/>
              </w:rPr>
            </w:pPr>
            <w:r>
              <w:rPr>
                <w:rFonts w:ascii="Arial" w:cs="Arial" w:eastAsia="Arial" w:hAnsi="Arial"/>
                <w:sz w:val="15"/>
                <w:szCs w:val="15"/>
                <w:color w:val="auto"/>
              </w:rPr>
              <w:t>31.2</w:t>
            </w:r>
          </w:p>
        </w:tc>
        <w:tc>
          <w:tcPr>
            <w:tcW w:w="220" w:type="dxa"/>
            <w:vAlign w:val="bottom"/>
          </w:tcPr>
          <w:p>
            <w:pPr>
              <w:spacing w:after="0"/>
              <w:rPr>
                <w:sz w:val="24"/>
                <w:szCs w:val="24"/>
                <w:color w:val="auto"/>
              </w:rPr>
            </w:pPr>
          </w:p>
        </w:tc>
        <w:tc>
          <w:tcPr>
            <w:tcW w:w="6260" w:type="dxa"/>
            <w:vAlign w:val="bottom"/>
          </w:tcPr>
          <w:p>
            <w:pPr>
              <w:ind w:left="220"/>
              <w:spacing w:after="0"/>
              <w:rPr>
                <w:sz w:val="20"/>
                <w:szCs w:val="20"/>
                <w:color w:val="auto"/>
              </w:rPr>
            </w:pPr>
            <w:r>
              <w:rPr>
                <w:rFonts w:ascii="Arial" w:cs="Arial" w:eastAsia="Arial" w:hAnsi="Arial"/>
                <w:sz w:val="15"/>
                <w:szCs w:val="15"/>
                <w:color w:val="auto"/>
                <w:w w:val="93"/>
              </w:rPr>
              <w:t>Certification of Chief Financial Officer pursuant to Section 302 of the Sarbanes-Oxley Act of 2002</w:t>
            </w:r>
          </w:p>
        </w:tc>
      </w:tr>
      <w:tr>
        <w:trPr>
          <w:trHeight w:val="363"/>
        </w:trPr>
        <w:tc>
          <w:tcPr>
            <w:tcW w:w="1120" w:type="dxa"/>
            <w:vAlign w:val="bottom"/>
          </w:tcPr>
          <w:p>
            <w:pPr>
              <w:jc w:val="right"/>
              <w:ind w:right="124"/>
              <w:spacing w:after="0"/>
              <w:rPr>
                <w:sz w:val="20"/>
                <w:szCs w:val="20"/>
                <w:color w:val="auto"/>
              </w:rPr>
            </w:pPr>
            <w:r>
              <w:rPr>
                <w:rFonts w:ascii="Arial" w:cs="Arial" w:eastAsia="Arial" w:hAnsi="Arial"/>
                <w:sz w:val="15"/>
                <w:szCs w:val="15"/>
                <w:color w:val="auto"/>
              </w:rPr>
              <w:t>32.1</w:t>
            </w:r>
          </w:p>
        </w:tc>
        <w:tc>
          <w:tcPr>
            <w:tcW w:w="220" w:type="dxa"/>
            <w:vAlign w:val="bottom"/>
          </w:tcPr>
          <w:p>
            <w:pPr>
              <w:spacing w:after="0"/>
              <w:rPr>
                <w:sz w:val="24"/>
                <w:szCs w:val="24"/>
                <w:color w:val="auto"/>
              </w:rPr>
            </w:pPr>
          </w:p>
        </w:tc>
        <w:tc>
          <w:tcPr>
            <w:tcW w:w="6260" w:type="dxa"/>
            <w:vAlign w:val="bottom"/>
          </w:tcPr>
          <w:p>
            <w:pPr>
              <w:ind w:left="220"/>
              <w:spacing w:after="0"/>
              <w:rPr>
                <w:sz w:val="20"/>
                <w:szCs w:val="20"/>
                <w:color w:val="auto"/>
              </w:rPr>
            </w:pPr>
            <w:r>
              <w:rPr>
                <w:rFonts w:ascii="Arial" w:cs="Arial" w:eastAsia="Arial" w:hAnsi="Arial"/>
                <w:sz w:val="15"/>
                <w:szCs w:val="15"/>
                <w:color w:val="auto"/>
                <w:w w:val="92"/>
              </w:rPr>
              <w:t>Certification of Chief Executive Officer pursuant to Section 906 of the Sarbanes-Oxley Act of 2002</w:t>
            </w:r>
          </w:p>
        </w:tc>
      </w:tr>
      <w:tr>
        <w:trPr>
          <w:trHeight w:val="363"/>
        </w:trPr>
        <w:tc>
          <w:tcPr>
            <w:tcW w:w="1120" w:type="dxa"/>
            <w:vAlign w:val="bottom"/>
          </w:tcPr>
          <w:p>
            <w:pPr>
              <w:jc w:val="right"/>
              <w:ind w:right="124"/>
              <w:spacing w:after="0"/>
              <w:rPr>
                <w:sz w:val="20"/>
                <w:szCs w:val="20"/>
                <w:color w:val="auto"/>
              </w:rPr>
            </w:pPr>
            <w:r>
              <w:rPr>
                <w:rFonts w:ascii="Arial" w:cs="Arial" w:eastAsia="Arial" w:hAnsi="Arial"/>
                <w:sz w:val="15"/>
                <w:szCs w:val="15"/>
                <w:color w:val="auto"/>
              </w:rPr>
              <w:t>32.2</w:t>
            </w:r>
          </w:p>
        </w:tc>
        <w:tc>
          <w:tcPr>
            <w:tcW w:w="220" w:type="dxa"/>
            <w:vAlign w:val="bottom"/>
          </w:tcPr>
          <w:p>
            <w:pPr>
              <w:spacing w:after="0"/>
              <w:rPr>
                <w:sz w:val="24"/>
                <w:szCs w:val="24"/>
                <w:color w:val="auto"/>
              </w:rPr>
            </w:pPr>
          </w:p>
        </w:tc>
        <w:tc>
          <w:tcPr>
            <w:tcW w:w="6260" w:type="dxa"/>
            <w:vAlign w:val="bottom"/>
          </w:tcPr>
          <w:p>
            <w:pPr>
              <w:ind w:left="220"/>
              <w:spacing w:after="0"/>
              <w:rPr>
                <w:sz w:val="20"/>
                <w:szCs w:val="20"/>
                <w:color w:val="auto"/>
              </w:rPr>
            </w:pPr>
            <w:r>
              <w:rPr>
                <w:rFonts w:ascii="Arial" w:cs="Arial" w:eastAsia="Arial" w:hAnsi="Arial"/>
                <w:sz w:val="15"/>
                <w:szCs w:val="15"/>
                <w:color w:val="auto"/>
                <w:w w:val="93"/>
              </w:rPr>
              <w:t>Certification of Chief Financial Officer pursuant to Section 906 of the Sarbanes-Oxley Act of 2002</w:t>
            </w:r>
          </w:p>
        </w:tc>
      </w:tr>
      <w:tr>
        <w:trPr>
          <w:trHeight w:val="669"/>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tcPr>
          <w:p>
            <w:pPr>
              <w:ind w:left="2940"/>
              <w:spacing w:after="0"/>
              <w:rPr>
                <w:sz w:val="20"/>
                <w:szCs w:val="20"/>
                <w:color w:val="auto"/>
              </w:rPr>
            </w:pPr>
            <w:r>
              <w:rPr>
                <w:rFonts w:ascii="Arial" w:cs="Arial" w:eastAsia="Arial" w:hAnsi="Arial"/>
                <w:sz w:val="15"/>
                <w:szCs w:val="15"/>
                <w:color w:val="auto"/>
              </w:rPr>
              <w:t>33</w:t>
            </w:r>
          </w:p>
        </w:tc>
      </w:tr>
    </w:tbl>
    <w:p>
      <w:pPr>
        <w:sectPr>
          <w:pgSz w:w="11900" w:h="16838" w:orient="portrait"/>
          <w:cols w:equalWidth="0" w:num="1">
            <w:col w:w="10219"/>
          </w:cols>
          <w:pgMar w:left="240" w:top="364" w:right="1440" w:bottom="1440" w:gutter="0" w:footer="0" w:header="0"/>
        </w:sectPr>
      </w:pPr>
    </w:p>
    <w:bookmarkStart w:id="35" w:name="page36"/>
    <w:bookmarkEnd w:id="35"/>
    <w:p>
      <w:pPr>
        <w:jc w:val="right"/>
        <w:ind w:right="1779"/>
        <w:spacing w:after="0"/>
        <w:rPr>
          <w:sz w:val="20"/>
          <w:szCs w:val="20"/>
          <w:color w:val="auto"/>
        </w:rPr>
      </w:pPr>
      <w:r>
        <w:rPr>
          <w:rFonts w:ascii="Arial" w:cs="Arial" w:eastAsia="Arial" w:hAnsi="Arial"/>
          <w:sz w:val="15"/>
          <w:szCs w:val="15"/>
          <w:b w:val="1"/>
          <w:bCs w:val="1"/>
          <w:color w:val="auto"/>
        </w:rPr>
        <w:t>Exhibit 10.1</w:t>
      </w:r>
    </w:p>
    <w:p>
      <w:pPr>
        <w:spacing w:after="0" w:line="157" w:lineRule="exact"/>
        <w:rPr>
          <w:sz w:val="20"/>
          <w:szCs w:val="20"/>
          <w:color w:val="auto"/>
        </w:rPr>
      </w:pPr>
    </w:p>
    <w:p>
      <w:pPr>
        <w:jc w:val="center"/>
        <w:ind w:right="1779"/>
        <w:spacing w:after="0"/>
        <w:rPr>
          <w:sz w:val="20"/>
          <w:szCs w:val="20"/>
          <w:color w:val="auto"/>
        </w:rPr>
      </w:pPr>
      <w:r>
        <w:rPr>
          <w:rFonts w:ascii="Arial" w:cs="Arial" w:eastAsia="Arial" w:hAnsi="Arial"/>
          <w:sz w:val="15"/>
          <w:szCs w:val="15"/>
          <w:b w:val="1"/>
          <w:bCs w:val="1"/>
          <w:color w:val="auto"/>
        </w:rPr>
        <w:t>OCEAN POWER TECHNOLOGIES, INC.</w:t>
      </w:r>
    </w:p>
    <w:p>
      <w:pPr>
        <w:spacing w:after="0" w:line="168" w:lineRule="exact"/>
        <w:rPr>
          <w:sz w:val="20"/>
          <w:szCs w:val="20"/>
          <w:color w:val="auto"/>
        </w:rPr>
      </w:pPr>
    </w:p>
    <w:p>
      <w:pPr>
        <w:ind w:left="2280"/>
        <w:spacing w:after="0"/>
        <w:rPr>
          <w:sz w:val="20"/>
          <w:szCs w:val="20"/>
          <w:color w:val="auto"/>
        </w:rPr>
      </w:pPr>
      <w:r>
        <w:rPr>
          <w:rFonts w:ascii="Arial" w:cs="Arial" w:eastAsia="Arial" w:hAnsi="Arial"/>
          <w:sz w:val="15"/>
          <w:szCs w:val="15"/>
          <w:b w:val="1"/>
          <w:bCs w:val="1"/>
          <w:u w:val="single" w:color="auto"/>
          <w:color w:val="auto"/>
        </w:rPr>
        <w:t>Restricted Stock Agreement and Recipient’s Acceptance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Name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12700</wp:posOffset>
            </wp:positionV>
            <wp:extent cx="181546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15465" cy="6985"/>
                    </a:xfrm>
                    <a:prstGeom prst="rect">
                      <a:avLst/>
                    </a:prstGeom>
                    <a:noFill/>
                  </pic:spPr>
                </pic:pic>
              </a:graphicData>
            </a:graphic>
          </wp:anchor>
        </w:drawing>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Number of shares of restricted common stock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12700</wp:posOffset>
            </wp:positionV>
            <wp:extent cx="181546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15465" cy="6985"/>
                    </a:xfrm>
                    <a:prstGeom prst="rect">
                      <a:avLst/>
                    </a:prstGeom>
                    <a:noFill/>
                  </pic:spPr>
                </pic:pic>
              </a:graphicData>
            </a:graphic>
          </wp:anchor>
        </w:drawing>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12700</wp:posOffset>
            </wp:positionV>
            <wp:extent cx="181546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15465" cy="6985"/>
                    </a:xfrm>
                    <a:prstGeom prst="rect">
                      <a:avLst/>
                    </a:prstGeom>
                    <a:noFill/>
                  </pic:spPr>
                </pic:pic>
              </a:graphicData>
            </a:graphic>
          </wp:anchor>
        </w:drawing>
      </w:r>
    </w:p>
    <w:p>
      <w:pPr>
        <w:spacing w:after="0" w:line="159" w:lineRule="exact"/>
        <w:rPr>
          <w:sz w:val="20"/>
          <w:szCs w:val="20"/>
          <w:color w:val="auto"/>
        </w:rPr>
      </w:pPr>
    </w:p>
    <w:p>
      <w:pPr>
        <w:ind w:right="1879" w:firstLine="327"/>
        <w:spacing w:after="0" w:line="265" w:lineRule="auto"/>
        <w:rPr>
          <w:sz w:val="20"/>
          <w:szCs w:val="20"/>
          <w:color w:val="auto"/>
        </w:rPr>
      </w:pPr>
      <w:r>
        <w:rPr>
          <w:rFonts w:ascii="Arial" w:cs="Arial" w:eastAsia="Arial" w:hAnsi="Arial"/>
          <w:sz w:val="15"/>
          <w:szCs w:val="15"/>
          <w:color w:val="auto"/>
        </w:rPr>
        <w:t>Ocean Power Technologies, Inc. (the “Company”) has selected you to receive the restricted stock award described above, which is subject to the provisions of the Company’s 2006 Stock Incentive Plan, as amended (the “Plan”), and the terms and conditions contained in this Restricted Stock Agreement.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A copy of the Plan is attached hereto, for your information.</w:t>
      </w:r>
    </w:p>
    <w:p>
      <w:pPr>
        <w:spacing w:after="0" w:line="168" w:lineRule="exact"/>
        <w:rPr>
          <w:sz w:val="20"/>
          <w:szCs w:val="20"/>
          <w:color w:val="auto"/>
        </w:rPr>
      </w:pPr>
    </w:p>
    <w:p>
      <w:pPr>
        <w:jc w:val="both"/>
        <w:ind w:right="2159" w:firstLine="327"/>
        <w:spacing w:after="0" w:line="268" w:lineRule="auto"/>
        <w:rPr>
          <w:sz w:val="20"/>
          <w:szCs w:val="20"/>
          <w:color w:val="auto"/>
        </w:rPr>
      </w:pPr>
      <w:r>
        <w:rPr>
          <w:rFonts w:ascii="Arial" w:cs="Arial" w:eastAsia="Arial" w:hAnsi="Arial"/>
          <w:sz w:val="15"/>
          <w:szCs w:val="15"/>
          <w:b w:val="1"/>
          <w:bCs w:val="1"/>
          <w:color w:val="auto"/>
        </w:rPr>
        <w:t>Please confirm your acceptance of this restricted stock award and of the terms and conditions of this Agreement by signing a copy of this Agreement where indicated below and forwarding it to: Ocean Power Technologies, Inc., Attention: CFO, 1590 Reed Road, Pennington, NJ 08534.</w:t>
      </w:r>
    </w:p>
    <w:p>
      <w:pPr>
        <w:spacing w:after="0" w:line="148" w:lineRule="exact"/>
        <w:rPr>
          <w:sz w:val="20"/>
          <w:szCs w:val="20"/>
          <w:color w:val="auto"/>
        </w:rPr>
      </w:pPr>
    </w:p>
    <w:p>
      <w:pPr>
        <w:ind w:left="3680"/>
        <w:spacing w:after="0"/>
        <w:rPr>
          <w:sz w:val="20"/>
          <w:szCs w:val="20"/>
          <w:color w:val="auto"/>
        </w:rPr>
      </w:pPr>
      <w:r>
        <w:rPr>
          <w:rFonts w:ascii="Arial" w:cs="Arial" w:eastAsia="Arial" w:hAnsi="Arial"/>
          <w:sz w:val="15"/>
          <w:szCs w:val="15"/>
          <w:b w:val="1"/>
          <w:bCs w:val="1"/>
          <w:color w:val="auto"/>
        </w:rPr>
        <w:t>Ocean Power Technologies, Inc.</w:t>
      </w:r>
    </w:p>
    <w:p>
      <w:pPr>
        <w:spacing w:after="0" w:line="195"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12700</wp:posOffset>
            </wp:positionV>
            <wp:extent cx="183705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37055" cy="6985"/>
                    </a:xfrm>
                    <a:prstGeom prst="rect">
                      <a:avLst/>
                    </a:prstGeom>
                    <a:noFill/>
                  </pic:spPr>
                </pic:pic>
              </a:graphicData>
            </a:graphic>
          </wp:anchor>
        </w:drawing>
      </w:r>
    </w:p>
    <w:p>
      <w:pPr>
        <w:spacing w:after="0" w:line="12" w:lineRule="exact"/>
        <w:rPr>
          <w:sz w:val="20"/>
          <w:szCs w:val="20"/>
          <w:color w:val="auto"/>
        </w:rPr>
      </w:pPr>
    </w:p>
    <w:p>
      <w:pPr>
        <w:ind w:left="3980"/>
        <w:spacing w:after="0"/>
        <w:rPr>
          <w:sz w:val="20"/>
          <w:szCs w:val="20"/>
          <w:color w:val="auto"/>
        </w:rPr>
      </w:pPr>
      <w:r>
        <w:rPr>
          <w:rFonts w:ascii="Arial" w:cs="Arial" w:eastAsia="Arial" w:hAnsi="Arial"/>
          <w:sz w:val="15"/>
          <w:szCs w:val="15"/>
          <w:color w:val="auto"/>
        </w:rPr>
        <w:t>Signature</w:t>
      </w:r>
    </w:p>
    <w:p>
      <w:pPr>
        <w:spacing w:after="0" w:line="191" w:lineRule="exact"/>
        <w:rPr>
          <w:sz w:val="20"/>
          <w:szCs w:val="20"/>
          <w:color w:val="auto"/>
        </w:rPr>
      </w:pPr>
    </w:p>
    <w:p>
      <w:pPr>
        <w:ind w:left="3980"/>
        <w:spacing w:after="0"/>
        <w:rPr>
          <w:sz w:val="20"/>
          <w:szCs w:val="20"/>
          <w:color w:val="auto"/>
        </w:rPr>
      </w:pPr>
      <w:r>
        <w:rPr>
          <w:rFonts w:ascii="Arial" w:cs="Arial" w:eastAsia="Arial" w:hAnsi="Arial"/>
          <w:sz w:val="15"/>
          <w:szCs w:val="15"/>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12700</wp:posOffset>
            </wp:positionV>
            <wp:extent cx="183705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7055" cy="6985"/>
                    </a:xfrm>
                    <a:prstGeom prst="rect">
                      <a:avLst/>
                    </a:prstGeom>
                    <a:noFill/>
                  </pic:spPr>
                </pic:pic>
              </a:graphicData>
            </a:graphic>
          </wp:anchor>
        </w:drawing>
      </w:r>
    </w:p>
    <w:p>
      <w:pPr>
        <w:spacing w:after="0" w:line="12" w:lineRule="exact"/>
        <w:rPr>
          <w:sz w:val="20"/>
          <w:szCs w:val="20"/>
          <w:color w:val="auto"/>
        </w:rPr>
      </w:pPr>
    </w:p>
    <w:p>
      <w:pPr>
        <w:ind w:left="3980"/>
        <w:spacing w:after="0"/>
        <w:rPr>
          <w:sz w:val="20"/>
          <w:szCs w:val="20"/>
          <w:color w:val="auto"/>
        </w:rPr>
      </w:pPr>
      <w:r>
        <w:rPr>
          <w:rFonts w:ascii="Arial" w:cs="Arial" w:eastAsia="Arial" w:hAnsi="Arial"/>
          <w:sz w:val="15"/>
          <w:szCs w:val="15"/>
          <w:color w:val="auto"/>
        </w:rPr>
        <w:t>Printed Name</w:t>
      </w:r>
    </w:p>
    <w:p>
      <w:pPr>
        <w:spacing w:after="0" w:line="191" w:lineRule="exact"/>
        <w:rPr>
          <w:sz w:val="20"/>
          <w:szCs w:val="20"/>
          <w:color w:val="auto"/>
        </w:rPr>
      </w:pPr>
    </w:p>
    <w:p>
      <w:pPr>
        <w:ind w:left="398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12700</wp:posOffset>
            </wp:positionV>
            <wp:extent cx="183705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37055" cy="6985"/>
                    </a:xfrm>
                    <a:prstGeom prst="rect">
                      <a:avLst/>
                    </a:prstGeom>
                    <a:noFill/>
                  </pic:spPr>
                </pic:pic>
              </a:graphicData>
            </a:graphic>
          </wp:anchor>
        </w:drawing>
      </w:r>
    </w:p>
    <w:p>
      <w:pPr>
        <w:spacing w:after="0" w:line="12" w:lineRule="exact"/>
        <w:rPr>
          <w:sz w:val="20"/>
          <w:szCs w:val="20"/>
          <w:color w:val="auto"/>
        </w:rPr>
      </w:pPr>
    </w:p>
    <w:p>
      <w:pPr>
        <w:ind w:left="3980"/>
        <w:spacing w:after="0"/>
        <w:rPr>
          <w:sz w:val="20"/>
          <w:szCs w:val="20"/>
          <w:color w:val="auto"/>
        </w:rPr>
      </w:pPr>
      <w:r>
        <w:rPr>
          <w:rFonts w:ascii="Arial" w:cs="Arial" w:eastAsia="Arial" w:hAnsi="Arial"/>
          <w:sz w:val="15"/>
          <w:szCs w:val="15"/>
          <w:color w:val="auto"/>
        </w:rPr>
        <w:t>Title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181546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5465" cy="698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Signature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181546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15465" cy="698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Printed Name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542925</wp:posOffset>
            </wp:positionV>
            <wp:extent cx="727392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9959"/>
          </w:cols>
          <w:pgMar w:left="500" w:top="125" w:right="1440" w:bottom="1440" w:gutter="0" w:footer="0" w:header="0"/>
        </w:sectPr>
      </w:pPr>
    </w:p>
    <w:bookmarkStart w:id="36" w:name="page37"/>
    <w:bookmarkEnd w:id="36"/>
    <w:p>
      <w:pPr>
        <w:jc w:val="center"/>
        <w:ind w:right="1799"/>
        <w:spacing w:after="0"/>
        <w:rPr>
          <w:sz w:val="20"/>
          <w:szCs w:val="20"/>
          <w:color w:val="auto"/>
        </w:rPr>
      </w:pPr>
      <w:r>
        <w:rPr>
          <w:rFonts w:ascii="Arial" w:cs="Arial" w:eastAsia="Arial" w:hAnsi="Arial"/>
          <w:sz w:val="15"/>
          <w:szCs w:val="15"/>
          <w:b w:val="1"/>
          <w:bCs w:val="1"/>
          <w:color w:val="auto"/>
        </w:rPr>
        <w:t>OCEAN POWER TECHNOLOGIES, INC.</w:t>
      </w:r>
    </w:p>
    <w:p>
      <w:pPr>
        <w:spacing w:after="0" w:line="168" w:lineRule="exact"/>
        <w:rPr>
          <w:sz w:val="20"/>
          <w:szCs w:val="20"/>
          <w:color w:val="auto"/>
        </w:rPr>
      </w:pPr>
    </w:p>
    <w:p>
      <w:pPr>
        <w:jc w:val="center"/>
        <w:ind w:right="1799"/>
        <w:spacing w:after="0"/>
        <w:rPr>
          <w:sz w:val="20"/>
          <w:szCs w:val="20"/>
          <w:color w:val="auto"/>
        </w:rPr>
      </w:pPr>
      <w:r>
        <w:rPr>
          <w:rFonts w:ascii="Arial" w:cs="Arial" w:eastAsia="Arial" w:hAnsi="Arial"/>
          <w:sz w:val="15"/>
          <w:szCs w:val="15"/>
          <w:b w:val="1"/>
          <w:bCs w:val="1"/>
          <w:u w:val="single" w:color="auto"/>
          <w:color w:val="auto"/>
        </w:rPr>
        <w:t>Restricted Stock Agreement</w:t>
      </w:r>
    </w:p>
    <w:p>
      <w:pPr>
        <w:spacing w:after="0" w:line="161" w:lineRule="exact"/>
        <w:rPr>
          <w:sz w:val="20"/>
          <w:szCs w:val="20"/>
          <w:color w:val="auto"/>
        </w:rPr>
      </w:pPr>
    </w:p>
    <w:p>
      <w:pPr>
        <w:ind w:right="1959" w:firstLine="327"/>
        <w:spacing w:after="0" w:line="277" w:lineRule="auto"/>
        <w:rPr>
          <w:sz w:val="20"/>
          <w:szCs w:val="20"/>
          <w:color w:val="auto"/>
        </w:rPr>
      </w:pPr>
      <w:r>
        <w:rPr>
          <w:rFonts w:ascii="Arial" w:cs="Arial" w:eastAsia="Arial" w:hAnsi="Arial"/>
          <w:sz w:val="15"/>
          <w:szCs w:val="15"/>
          <w:color w:val="auto"/>
        </w:rPr>
        <w:t>The terms and conditions of the award of shares of restricted common stock of the Company (the “Restricted Shares”) made to the Recipient, as set forth on the cover page of this Agreement, are as follows:</w:t>
      </w:r>
    </w:p>
    <w:p>
      <w:pPr>
        <w:spacing w:after="0" w:line="112" w:lineRule="exact"/>
        <w:rPr>
          <w:sz w:val="20"/>
          <w:szCs w:val="20"/>
          <w:color w:val="auto"/>
        </w:rPr>
      </w:pPr>
    </w:p>
    <w:p>
      <w:pPr>
        <w:ind w:left="480" w:hanging="150"/>
        <w:spacing w:after="0"/>
        <w:tabs>
          <w:tab w:leader="none" w:pos="48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Issuance of Restricted Shares</w:t>
      </w:r>
      <w:r>
        <w:rPr>
          <w:rFonts w:ascii="Arial" w:cs="Arial" w:eastAsia="Arial" w:hAnsi="Arial"/>
          <w:sz w:val="15"/>
          <w:szCs w:val="15"/>
          <w:color w:val="auto"/>
        </w:rPr>
        <w:t>.</w:t>
      </w:r>
    </w:p>
    <w:p>
      <w:pPr>
        <w:spacing w:after="0" w:line="167" w:lineRule="exact"/>
        <w:rPr>
          <w:rFonts w:ascii="Arial" w:cs="Arial" w:eastAsia="Arial" w:hAnsi="Arial"/>
          <w:sz w:val="15"/>
          <w:szCs w:val="15"/>
          <w:color w:val="auto"/>
        </w:rPr>
      </w:pPr>
    </w:p>
    <w:p>
      <w:pPr>
        <w:ind w:right="1999" w:firstLine="656"/>
        <w:spacing w:after="0" w:line="314" w:lineRule="auto"/>
        <w:tabs>
          <w:tab w:leader="none" w:pos="856" w:val="left"/>
        </w:tabs>
        <w:numPr>
          <w:ilvl w:val="1"/>
          <w:numId w:val="8"/>
        </w:numPr>
        <w:rPr>
          <w:rFonts w:ascii="Arial" w:cs="Arial" w:eastAsia="Arial" w:hAnsi="Arial"/>
          <w:sz w:val="14"/>
          <w:szCs w:val="14"/>
          <w:color w:val="auto"/>
        </w:rPr>
      </w:pPr>
      <w:r>
        <w:rPr>
          <w:rFonts w:ascii="Arial" w:cs="Arial" w:eastAsia="Arial" w:hAnsi="Arial"/>
          <w:sz w:val="14"/>
          <w:szCs w:val="14"/>
          <w:color w:val="auto"/>
        </w:rPr>
        <w:t>The Restricted Shares are issued to the Recipient, effective as of the Grant Date (as set forth on the cover page of this Agreement), in consideration of employment or other services rendered or to be rendered by the Recipient to the Company.</w:t>
      </w:r>
    </w:p>
    <w:p>
      <w:pPr>
        <w:spacing w:after="0" w:line="89" w:lineRule="exact"/>
        <w:rPr>
          <w:rFonts w:ascii="Arial" w:cs="Arial" w:eastAsia="Arial" w:hAnsi="Arial"/>
          <w:sz w:val="14"/>
          <w:szCs w:val="14"/>
          <w:color w:val="auto"/>
        </w:rPr>
      </w:pPr>
    </w:p>
    <w:p>
      <w:pPr>
        <w:ind w:right="1799" w:firstLine="656"/>
        <w:spacing w:after="0" w:line="258" w:lineRule="auto"/>
        <w:tabs>
          <w:tab w:leader="none" w:pos="865" w:val="left"/>
        </w:tabs>
        <w:numPr>
          <w:ilvl w:val="1"/>
          <w:numId w:val="8"/>
        </w:numPr>
        <w:rPr>
          <w:rFonts w:ascii="Arial" w:cs="Arial" w:eastAsia="Arial" w:hAnsi="Arial"/>
          <w:sz w:val="15"/>
          <w:szCs w:val="15"/>
          <w:color w:val="auto"/>
        </w:rPr>
      </w:pPr>
      <w:r>
        <w:rPr>
          <w:rFonts w:ascii="Arial" w:cs="Arial" w:eastAsia="Arial" w:hAnsi="Arial"/>
          <w:sz w:val="15"/>
          <w:szCs w:val="15"/>
          <w:color w:val="auto"/>
        </w:rPr>
        <w:t xml:space="preserve">The Restricted Shares will initially be issued by the Company in book entry form only, in the name of the Recipient. The Recipient agrees that the Restricted Shares shall be subject to the forfeiture provisions set forth in Section 3 of this Agreement and the restrictions on transfer set forth in Section 4 of this Agreement. Following the vesting of any Restricted Shares pursuant to Section 2 below, the Company shall, </w:t>
      </w:r>
      <w:r>
        <w:rPr>
          <w:rFonts w:ascii="Arial" w:cs="Arial" w:eastAsia="Arial" w:hAnsi="Arial"/>
          <w:sz w:val="15"/>
          <w:szCs w:val="15"/>
          <w:u w:val="single" w:color="auto"/>
          <w:color w:val="auto"/>
        </w:rPr>
        <w:t>if requested by the Recipient</w:t>
      </w:r>
      <w:r>
        <w:rPr>
          <w:rFonts w:ascii="Arial" w:cs="Arial" w:eastAsia="Arial" w:hAnsi="Arial"/>
          <w:sz w:val="15"/>
          <w:szCs w:val="15"/>
          <w:color w:val="auto"/>
        </w:rPr>
        <w:t>, issue and deliver to the Recipient a certificate representing the vested unrestricted shares of common stock of the Company.</w:t>
      </w:r>
    </w:p>
    <w:p>
      <w:pPr>
        <w:spacing w:after="0" w:line="127" w:lineRule="exact"/>
        <w:rPr>
          <w:rFonts w:ascii="Arial" w:cs="Arial" w:eastAsia="Arial" w:hAnsi="Arial"/>
          <w:sz w:val="15"/>
          <w:szCs w:val="15"/>
          <w:color w:val="auto"/>
        </w:rPr>
      </w:pPr>
    </w:p>
    <w:p>
      <w:pPr>
        <w:ind w:left="480" w:hanging="150"/>
        <w:spacing w:after="0"/>
        <w:tabs>
          <w:tab w:leader="none" w:pos="48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Vesting</w:t>
      </w:r>
      <w:r>
        <w:rPr>
          <w:rFonts w:ascii="Arial" w:cs="Arial" w:eastAsia="Arial" w:hAnsi="Arial"/>
          <w:sz w:val="15"/>
          <w:szCs w:val="15"/>
          <w:color w:val="auto"/>
        </w:rPr>
        <w:t>.</w:t>
      </w:r>
    </w:p>
    <w:p>
      <w:pPr>
        <w:spacing w:after="0" w:line="167" w:lineRule="exact"/>
        <w:rPr>
          <w:rFonts w:ascii="Arial" w:cs="Arial" w:eastAsia="Arial" w:hAnsi="Arial"/>
          <w:sz w:val="15"/>
          <w:szCs w:val="15"/>
          <w:color w:val="auto"/>
        </w:rPr>
      </w:pPr>
    </w:p>
    <w:p>
      <w:pPr>
        <w:ind w:right="2439" w:firstLine="656"/>
        <w:spacing w:after="0" w:line="277" w:lineRule="auto"/>
        <w:tabs>
          <w:tab w:leader="none" w:pos="859" w:val="left"/>
        </w:tabs>
        <w:numPr>
          <w:ilvl w:val="1"/>
          <w:numId w:val="8"/>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 Unless otherwise provided in this Agreement or the Plan, the Restricted Shares shall vest in accordance with the following vesting schedule:</w:t>
      </w:r>
    </w:p>
    <w:p>
      <w:pPr>
        <w:spacing w:after="0" w:line="112" w:lineRule="exact"/>
        <w:rPr>
          <w:sz w:val="20"/>
          <w:szCs w:val="20"/>
          <w:color w:val="auto"/>
        </w:rPr>
      </w:pPr>
    </w:p>
    <w:p>
      <w:pPr>
        <w:ind w:left="980" w:right="2339"/>
        <w:spacing w:after="0" w:line="277" w:lineRule="auto"/>
        <w:rPr>
          <w:sz w:val="20"/>
          <w:szCs w:val="20"/>
          <w:color w:val="auto"/>
        </w:rPr>
      </w:pPr>
      <w:r>
        <w:rPr>
          <w:rFonts w:ascii="Arial" w:cs="Arial" w:eastAsia="Arial" w:hAnsi="Arial"/>
          <w:sz w:val="15"/>
          <w:szCs w:val="15"/>
          <w:color w:val="auto"/>
        </w:rPr>
        <w:t>(BASED ON THE PASSAGE OF TIME OR THE ATTAINMENT OF PERFORMANCE STANDARDS, AS DETERMINED BY THE BOARD OF DIRECTORS)</w:t>
      </w:r>
    </w:p>
    <w:p>
      <w:pPr>
        <w:spacing w:after="0" w:line="112" w:lineRule="exact"/>
        <w:rPr>
          <w:sz w:val="20"/>
          <w:szCs w:val="20"/>
          <w:color w:val="auto"/>
        </w:rPr>
      </w:pPr>
    </w:p>
    <w:p>
      <w:pPr>
        <w:ind w:right="1939"/>
        <w:spacing w:after="0" w:line="277" w:lineRule="auto"/>
        <w:rPr>
          <w:sz w:val="20"/>
          <w:szCs w:val="20"/>
          <w:color w:val="auto"/>
        </w:rPr>
      </w:pPr>
      <w:r>
        <w:rPr>
          <w:rFonts w:ascii="Arial" w:cs="Arial" w:eastAsia="Arial" w:hAnsi="Arial"/>
          <w:sz w:val="15"/>
          <w:szCs w:val="15"/>
          <w:color w:val="auto"/>
        </w:rPr>
        <w:t>Any fractional number of Restricted Shares resulting from the application of the foregoing percentages shall be rounded down to the nearest whole number of Restricted Shares.</w:t>
      </w:r>
    </w:p>
    <w:p>
      <w:pPr>
        <w:spacing w:after="0" w:line="124" w:lineRule="exact"/>
        <w:rPr>
          <w:sz w:val="20"/>
          <w:szCs w:val="20"/>
          <w:color w:val="auto"/>
        </w:rPr>
      </w:pPr>
    </w:p>
    <w:p>
      <w:pPr>
        <w:ind w:right="1799" w:firstLine="656"/>
        <w:spacing w:after="0" w:line="277" w:lineRule="auto"/>
        <w:tabs>
          <w:tab w:leader="none" w:pos="867" w:val="left"/>
        </w:tabs>
        <w:numPr>
          <w:ilvl w:val="1"/>
          <w:numId w:val="9"/>
        </w:numPr>
        <w:rPr>
          <w:rFonts w:ascii="Arial" w:cs="Arial" w:eastAsia="Arial" w:hAnsi="Arial"/>
          <w:sz w:val="14"/>
          <w:szCs w:val="14"/>
          <w:color w:val="auto"/>
        </w:rPr>
      </w:pPr>
      <w:r>
        <w:rPr>
          <w:rFonts w:ascii="Arial" w:cs="Arial" w:eastAsia="Arial" w:hAnsi="Arial"/>
          <w:sz w:val="14"/>
          <w:szCs w:val="14"/>
          <w:u w:val="single" w:color="auto"/>
          <w:color w:val="auto"/>
        </w:rPr>
        <w:t>Acceleration of Vesting</w:t>
      </w:r>
      <w:r>
        <w:rPr>
          <w:rFonts w:ascii="Arial" w:cs="Arial" w:eastAsia="Arial" w:hAnsi="Arial"/>
          <w:sz w:val="14"/>
          <w:szCs w:val="14"/>
          <w:color w:val="auto"/>
        </w:rPr>
        <w:t>. Notwithstanding the foregoing vesting schedule, all unvested Restricted Shares shall vest effective immediately prior to or upon (i) a Change in Control Event, (ii) the death or Disability (as defined below) of the Recipient, or</w:t>
      </w:r>
    </w:p>
    <w:p>
      <w:pPr>
        <w:ind w:right="2059" w:firstLine="3"/>
        <w:spacing w:after="0" w:line="301" w:lineRule="auto"/>
        <w:tabs>
          <w:tab w:leader="none" w:pos="265" w:val="left"/>
        </w:tabs>
        <w:numPr>
          <w:ilvl w:val="0"/>
          <w:numId w:val="10"/>
        </w:numPr>
        <w:rPr>
          <w:rFonts w:ascii="Arial" w:cs="Arial" w:eastAsia="Arial" w:hAnsi="Arial"/>
          <w:sz w:val="14"/>
          <w:szCs w:val="14"/>
          <w:color w:val="auto"/>
        </w:rPr>
      </w:pPr>
      <w:r>
        <w:rPr>
          <w:rFonts w:ascii="Arial" w:cs="Arial" w:eastAsia="Arial" w:hAnsi="Arial"/>
          <w:sz w:val="14"/>
          <w:szCs w:val="14"/>
          <w:color w:val="auto"/>
        </w:rPr>
        <w:t>upon circumstances described in any employment offer letter or agreement with Recipient, and 50% of all unvested Restricted Shares shall vest effective immediately upon Qualifying Retirement (as defined below) of the Recipient.</w:t>
      </w:r>
    </w:p>
    <w:p>
      <w:pPr>
        <w:spacing w:after="0" w:line="200" w:lineRule="exact"/>
        <w:rPr>
          <w:sz w:val="20"/>
          <w:szCs w:val="20"/>
          <w:color w:val="auto"/>
        </w:rPr>
      </w:pPr>
    </w:p>
    <w:p>
      <w:pPr>
        <w:spacing w:after="0" w:line="226" w:lineRule="exact"/>
        <w:rPr>
          <w:sz w:val="20"/>
          <w:szCs w:val="20"/>
          <w:color w:val="auto"/>
        </w:rPr>
      </w:pPr>
    </w:p>
    <w:p>
      <w:pPr>
        <w:ind w:left="404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125095</wp:posOffset>
            </wp:positionV>
            <wp:extent cx="727392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9959"/>
          </w:cols>
          <w:pgMar w:left="500" w:top="806" w:right="1440" w:bottom="1440" w:gutter="0" w:footer="0" w:header="0"/>
        </w:sectPr>
      </w:pPr>
    </w:p>
    <w:bookmarkStart w:id="37" w:name="page38"/>
    <w:bookmarkEnd w:id="37"/>
    <w:p>
      <w:pPr>
        <w:ind w:left="857" w:hanging="204"/>
        <w:spacing w:after="0"/>
        <w:tabs>
          <w:tab w:leader="none" w:pos="857" w:val="left"/>
        </w:tabs>
        <w:numPr>
          <w:ilvl w:val="1"/>
          <w:numId w:val="11"/>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For purposes of this Agreement:</w:t>
      </w:r>
    </w:p>
    <w:p>
      <w:pPr>
        <w:spacing w:after="0" w:line="167" w:lineRule="exact"/>
        <w:rPr>
          <w:rFonts w:ascii="Arial" w:cs="Arial" w:eastAsia="Arial" w:hAnsi="Arial"/>
          <w:sz w:val="15"/>
          <w:szCs w:val="15"/>
          <w:color w:val="auto"/>
        </w:rPr>
      </w:pPr>
    </w:p>
    <w:p>
      <w:pPr>
        <w:ind w:left="-3" w:right="1799" w:firstLine="983"/>
        <w:spacing w:after="0" w:line="256" w:lineRule="auto"/>
        <w:tabs>
          <w:tab w:leader="none" w:pos="1158" w:val="left"/>
        </w:tabs>
        <w:numPr>
          <w:ilvl w:val="3"/>
          <w:numId w:val="11"/>
        </w:numPr>
        <w:rPr>
          <w:rFonts w:ascii="Arial" w:cs="Arial" w:eastAsia="Arial" w:hAnsi="Arial"/>
          <w:sz w:val="15"/>
          <w:szCs w:val="15"/>
          <w:color w:val="auto"/>
        </w:rPr>
      </w:pPr>
      <w:r>
        <w:rPr>
          <w:rFonts w:ascii="Arial" w:cs="Arial" w:eastAsia="Arial" w:hAnsi="Arial"/>
          <w:sz w:val="15"/>
          <w:szCs w:val="15"/>
          <w:color w:val="auto"/>
        </w:rPr>
        <w:t>“Disability” means: (A) if the Recipient’s employment or other service with the Company is subject to the terms of an employment or other service agreement between the Recipient and the Company, which employment or other service agreement includes a definition of “Disability”, the term “Disability” as used in this Agreement shall have the meaning set forth in such employment or other service agreement during the period that such employment or other service agreement remains in effect; (B) in the absence of such an agreement, the term “Disability” as used in the Company’s long-term disability plan, if any; or (C) if neither clause (A) nor clause (B) is applicable, a physical or mental infirmity which impairs the Recipient’s ability to substantially perform his or her duties for a period of 90 consecutive days.</w:t>
      </w:r>
    </w:p>
    <w:p>
      <w:pPr>
        <w:spacing w:after="0" w:line="130" w:lineRule="exact"/>
        <w:rPr>
          <w:rFonts w:ascii="Arial" w:cs="Arial" w:eastAsia="Arial" w:hAnsi="Arial"/>
          <w:sz w:val="15"/>
          <w:szCs w:val="15"/>
          <w:color w:val="auto"/>
        </w:rPr>
      </w:pPr>
    </w:p>
    <w:p>
      <w:pPr>
        <w:ind w:left="1197" w:hanging="217"/>
        <w:spacing w:after="0"/>
        <w:tabs>
          <w:tab w:leader="none" w:pos="1197" w:val="left"/>
        </w:tabs>
        <w:numPr>
          <w:ilvl w:val="3"/>
          <w:numId w:val="11"/>
        </w:numPr>
        <w:rPr>
          <w:rFonts w:ascii="Arial" w:cs="Arial" w:eastAsia="Arial" w:hAnsi="Arial"/>
          <w:sz w:val="14"/>
          <w:szCs w:val="14"/>
          <w:color w:val="auto"/>
        </w:rPr>
      </w:pPr>
      <w:r>
        <w:rPr>
          <w:rFonts w:ascii="Arial" w:cs="Arial" w:eastAsia="Arial" w:hAnsi="Arial"/>
          <w:sz w:val="14"/>
          <w:szCs w:val="14"/>
          <w:color w:val="auto"/>
        </w:rPr>
        <w:t>A “Qualifying Retirement” means retirement by the Recipient after satisfaction of the conditions in either clause</w:t>
      </w:r>
    </w:p>
    <w:p>
      <w:pPr>
        <w:spacing w:after="0" w:line="29" w:lineRule="exact"/>
        <w:rPr>
          <w:rFonts w:ascii="Arial" w:cs="Arial" w:eastAsia="Arial" w:hAnsi="Arial"/>
          <w:sz w:val="14"/>
          <w:szCs w:val="14"/>
          <w:color w:val="auto"/>
        </w:rPr>
      </w:pPr>
    </w:p>
    <w:p>
      <w:pPr>
        <w:ind w:left="-3" w:right="2039" w:firstLine="3"/>
        <w:spacing w:after="0" w:line="258" w:lineRule="auto"/>
        <w:tabs>
          <w:tab w:leader="none" w:pos="245"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or clause (B): (A) the Recipient has </w:t>
      </w:r>
      <w:r>
        <w:rPr>
          <w:rFonts w:ascii="Arial" w:cs="Arial" w:eastAsia="Arial" w:hAnsi="Arial"/>
          <w:sz w:val="15"/>
          <w:szCs w:val="15"/>
          <w:u w:val="single" w:color="auto"/>
          <w:color w:val="auto"/>
        </w:rPr>
        <w:t>both</w:t>
      </w:r>
      <w:r>
        <w:rPr>
          <w:rFonts w:ascii="Arial" w:cs="Arial" w:eastAsia="Arial" w:hAnsi="Arial"/>
          <w:sz w:val="15"/>
          <w:szCs w:val="15"/>
          <w:color w:val="auto"/>
        </w:rPr>
        <w:t xml:space="preserve"> (1) attained the age of 55 and (2) completed at least ten years of employment with the Company; </w:t>
      </w:r>
      <w:r>
        <w:rPr>
          <w:rFonts w:ascii="Arial" w:cs="Arial" w:eastAsia="Arial" w:hAnsi="Arial"/>
          <w:sz w:val="15"/>
          <w:szCs w:val="15"/>
          <w:u w:val="single" w:color="auto"/>
          <w:color w:val="auto"/>
        </w:rPr>
        <w:t>or</w:t>
      </w:r>
      <w:r>
        <w:rPr>
          <w:rFonts w:ascii="Arial" w:cs="Arial" w:eastAsia="Arial" w:hAnsi="Arial"/>
          <w:sz w:val="15"/>
          <w:szCs w:val="15"/>
          <w:color w:val="auto"/>
        </w:rPr>
        <w:t xml:space="preserve"> (B) the sum of the Recipient’s age plus the number of years he or she has been employed by the Company equals or exceeds 75 years.</w:t>
      </w:r>
    </w:p>
    <w:p>
      <w:pPr>
        <w:spacing w:after="0" w:line="126" w:lineRule="exact"/>
        <w:rPr>
          <w:rFonts w:ascii="Arial" w:cs="Arial" w:eastAsia="Arial" w:hAnsi="Arial"/>
          <w:sz w:val="15"/>
          <w:szCs w:val="15"/>
          <w:color w:val="auto"/>
        </w:rPr>
      </w:pPr>
    </w:p>
    <w:p>
      <w:pPr>
        <w:ind w:left="1237" w:hanging="257"/>
        <w:spacing w:after="0"/>
        <w:tabs>
          <w:tab w:leader="none" w:pos="1237" w:val="left"/>
        </w:tabs>
        <w:numPr>
          <w:ilvl w:val="3"/>
          <w:numId w:val="12"/>
        </w:numPr>
        <w:rPr>
          <w:rFonts w:ascii="Arial" w:cs="Arial" w:eastAsia="Arial" w:hAnsi="Arial"/>
          <w:sz w:val="15"/>
          <w:szCs w:val="15"/>
          <w:color w:val="auto"/>
        </w:rPr>
      </w:pPr>
      <w:r>
        <w:rPr>
          <w:rFonts w:ascii="Arial" w:cs="Arial" w:eastAsia="Arial" w:hAnsi="Arial"/>
          <w:sz w:val="15"/>
          <w:szCs w:val="15"/>
          <w:color w:val="auto"/>
        </w:rPr>
        <w:t>A “Change in Control Event” shall mean:</w:t>
      </w:r>
    </w:p>
    <w:p>
      <w:pPr>
        <w:spacing w:after="0" w:line="167" w:lineRule="exact"/>
        <w:rPr>
          <w:rFonts w:ascii="Arial" w:cs="Arial" w:eastAsia="Arial" w:hAnsi="Arial"/>
          <w:sz w:val="15"/>
          <w:szCs w:val="15"/>
          <w:color w:val="auto"/>
        </w:rPr>
      </w:pPr>
    </w:p>
    <w:p>
      <w:pPr>
        <w:ind w:left="1297" w:right="1799" w:hanging="321"/>
        <w:spacing w:after="0" w:line="272" w:lineRule="auto"/>
        <w:tabs>
          <w:tab w:leader="none" w:pos="1297" w:val="left"/>
        </w:tabs>
        <w:numPr>
          <w:ilvl w:val="2"/>
          <w:numId w:val="12"/>
        </w:numPr>
        <w:rPr>
          <w:rFonts w:ascii="Arial" w:cs="Arial" w:eastAsia="Arial" w:hAnsi="Arial"/>
          <w:sz w:val="14"/>
          <w:szCs w:val="14"/>
          <w:color w:val="auto"/>
        </w:rPr>
      </w:pPr>
      <w:r>
        <w:rPr>
          <w:rFonts w:ascii="Arial" w:cs="Arial" w:eastAsia="Arial" w:hAnsi="Arial"/>
          <w:sz w:val="14"/>
          <w:szCs w:val="14"/>
          <w:color w:val="auto"/>
        </w:rPr>
        <w:t xml:space="preserve">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4"/>
          <w:szCs w:val="14"/>
          <w:i w:val="1"/>
          <w:iCs w:val="1"/>
          <w:color w:val="auto"/>
        </w:rPr>
        <w:t>provided, however</w:t>
      </w:r>
      <w:r>
        <w:rPr>
          <w:rFonts w:ascii="Arial" w:cs="Arial" w:eastAsia="Arial" w:hAnsi="Arial"/>
          <w:sz w:val="14"/>
          <w:szCs w:val="14"/>
          <w:color w:val="auto"/>
        </w:rPr>
        <w:t>, that for purposes of this subsection (A), the following acquisitions shall not constitute a Change in Control Event: (1) any acquisition directly from the Company or</w:t>
      </w:r>
    </w:p>
    <w:p>
      <w:pPr>
        <w:spacing w:after="0" w:line="1" w:lineRule="exact"/>
        <w:rPr>
          <w:rFonts w:ascii="Arial" w:cs="Arial" w:eastAsia="Arial" w:hAnsi="Arial"/>
          <w:sz w:val="14"/>
          <w:szCs w:val="14"/>
          <w:color w:val="auto"/>
        </w:rPr>
      </w:pPr>
    </w:p>
    <w:p>
      <w:pPr>
        <w:ind w:left="1297" w:right="2159"/>
        <w:spacing w:after="0" w:line="265" w:lineRule="auto"/>
        <w:rPr>
          <w:rFonts w:ascii="Arial" w:cs="Arial" w:eastAsia="Arial" w:hAnsi="Arial"/>
          <w:sz w:val="14"/>
          <w:szCs w:val="14"/>
          <w:color w:val="auto"/>
        </w:rPr>
      </w:pPr>
      <w:r>
        <w:rPr>
          <w:rFonts w:ascii="Arial" w:cs="Arial" w:eastAsia="Arial" w:hAnsi="Arial"/>
          <w:sz w:val="15"/>
          <w:szCs w:val="15"/>
          <w:color w:val="auto"/>
        </w:rPr>
        <w:t>(2) any acquisition by any corporation pursuant to a Business Combination (as defined below), in each case which complies with clauses (x) and (y) of subsection (C) of this definition; or</w:t>
      </w:r>
    </w:p>
    <w:p>
      <w:pPr>
        <w:spacing w:after="0" w:line="200" w:lineRule="exact"/>
        <w:rPr>
          <w:sz w:val="20"/>
          <w:szCs w:val="20"/>
          <w:color w:val="auto"/>
        </w:rPr>
      </w:pPr>
    </w:p>
    <w:p>
      <w:pPr>
        <w:spacing w:after="0" w:line="249" w:lineRule="exact"/>
        <w:rPr>
          <w:sz w:val="20"/>
          <w:szCs w:val="20"/>
          <w:color w:val="auto"/>
        </w:rPr>
      </w:pPr>
    </w:p>
    <w:p>
      <w:pPr>
        <w:ind w:left="403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125095</wp:posOffset>
            </wp:positionV>
            <wp:extent cx="727392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9956"/>
          </w:cols>
          <w:pgMar w:left="503" w:top="810" w:right="1440" w:bottom="1440" w:gutter="0" w:footer="0" w:header="0"/>
        </w:sectPr>
      </w:pPr>
    </w:p>
    <w:bookmarkStart w:id="38" w:name="page39"/>
    <w:bookmarkEnd w:id="38"/>
    <w:p>
      <w:pPr>
        <w:ind w:left="360" w:right="1779" w:hanging="321"/>
        <w:spacing w:after="0" w:line="298"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such time as the Continuing Directors (as defined below) do not constitute a majority of the Board of Directors of the Company (the “Board”) (or, if applicable, the Board of Directors of a successor corporation to the Company), where the term “Continuing Director” means at any date a member of the Board (x) who was a member of the Board on the date of the initial adoption of the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06" w:lineRule="exact"/>
        <w:rPr>
          <w:rFonts w:ascii="Arial" w:cs="Arial" w:eastAsia="Arial" w:hAnsi="Arial"/>
          <w:sz w:val="13"/>
          <w:szCs w:val="13"/>
          <w:color w:val="auto"/>
        </w:rPr>
      </w:pPr>
    </w:p>
    <w:p>
      <w:pPr>
        <w:ind w:left="360" w:right="1819" w:hanging="321"/>
        <w:spacing w:after="0" w:line="273"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118" w:lineRule="exact"/>
        <w:rPr>
          <w:rFonts w:ascii="Arial" w:cs="Arial" w:eastAsia="Arial" w:hAnsi="Arial"/>
          <w:sz w:val="14"/>
          <w:szCs w:val="14"/>
          <w:color w:val="auto"/>
        </w:rPr>
      </w:pPr>
    </w:p>
    <w:p>
      <w:pPr>
        <w:ind w:left="360" w:hanging="321"/>
        <w:spacing w:after="0"/>
        <w:tabs>
          <w:tab w:leader="none" w:pos="3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liquidation or dissolution of the Company.</w:t>
      </w:r>
    </w:p>
    <w:p>
      <w:pPr>
        <w:spacing w:after="0" w:line="200" w:lineRule="exact"/>
        <w:rPr>
          <w:sz w:val="20"/>
          <w:szCs w:val="20"/>
          <w:color w:val="auto"/>
        </w:rPr>
      </w:pPr>
    </w:p>
    <w:p>
      <w:pPr>
        <w:spacing w:after="0" w:line="297" w:lineRule="exact"/>
        <w:rPr>
          <w:sz w:val="20"/>
          <w:szCs w:val="20"/>
          <w:color w:val="auto"/>
        </w:rPr>
      </w:pPr>
    </w:p>
    <w:p>
      <w:pPr>
        <w:ind w:left="31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125095</wp:posOffset>
            </wp:positionV>
            <wp:extent cx="727392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9019"/>
          </w:cols>
          <w:pgMar w:left="1440" w:top="968" w:right="1440" w:bottom="1440" w:gutter="0" w:footer="0" w:header="0"/>
        </w:sectPr>
      </w:pPr>
    </w:p>
    <w:bookmarkStart w:id="39" w:name="page40"/>
    <w:bookmarkEnd w:id="39"/>
    <w:p>
      <w:pPr>
        <w:ind w:left="480" w:hanging="150"/>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Forfeiture of Unvested Restricted Shares Upon Employment Termination</w:t>
      </w:r>
      <w:r>
        <w:rPr>
          <w:rFonts w:ascii="Arial" w:cs="Arial" w:eastAsia="Arial" w:hAnsi="Arial"/>
          <w:sz w:val="15"/>
          <w:szCs w:val="15"/>
          <w:color w:val="auto"/>
        </w:rPr>
        <w:t>.</w:t>
      </w:r>
    </w:p>
    <w:p>
      <w:pPr>
        <w:spacing w:after="0" w:line="157" w:lineRule="exact"/>
        <w:rPr>
          <w:sz w:val="20"/>
          <w:szCs w:val="20"/>
          <w:color w:val="auto"/>
        </w:rPr>
      </w:pPr>
    </w:p>
    <w:p>
      <w:pPr>
        <w:ind w:right="1839" w:firstLine="327"/>
        <w:spacing w:after="0" w:line="277" w:lineRule="auto"/>
        <w:rPr>
          <w:sz w:val="20"/>
          <w:szCs w:val="20"/>
          <w:color w:val="auto"/>
        </w:rPr>
      </w:pPr>
      <w:r>
        <w:rPr>
          <w:rFonts w:ascii="Arial" w:cs="Arial" w:eastAsia="Arial" w:hAnsi="Arial"/>
          <w:sz w:val="14"/>
          <w:szCs w:val="14"/>
          <w:color w:val="auto"/>
        </w:rPr>
        <w:t>In the event that the Recipient ceases to be employed by or provide services to the Company for any reason or no reason, with or without cause (except as provided in Section 2(b) above), all of the Restricted Shares that are unvested as of the time of such employment termination shall be forfeited immediately and automatically to the Company, without the payment of any consideration to the Recipient, effective as of such termination of employment or service relationship. The Recipient shall have no further rights with respect to any Restricted Shares that are so forfeited. If the Recipient is employed by or provides services to a subsidiary of the Company, any references in this Agreement to employment or service relationship with the Company shall instead be deemed to refer to employment or service relationship with such subsidiary.</w:t>
      </w:r>
    </w:p>
    <w:p>
      <w:pPr>
        <w:spacing w:after="0" w:line="117" w:lineRule="exact"/>
        <w:rPr>
          <w:sz w:val="20"/>
          <w:szCs w:val="20"/>
          <w:color w:val="auto"/>
        </w:rPr>
      </w:pPr>
    </w:p>
    <w:p>
      <w:pPr>
        <w:ind w:left="480" w:hanging="150"/>
        <w:spacing w:after="0"/>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Restrictions on Transfer</w:t>
      </w:r>
      <w:r>
        <w:rPr>
          <w:rFonts w:ascii="Arial" w:cs="Arial" w:eastAsia="Arial" w:hAnsi="Arial"/>
          <w:sz w:val="15"/>
          <w:szCs w:val="15"/>
          <w:color w:val="auto"/>
        </w:rPr>
        <w:t>.</w:t>
      </w:r>
    </w:p>
    <w:p>
      <w:pPr>
        <w:spacing w:after="0" w:line="168" w:lineRule="exact"/>
        <w:rPr>
          <w:sz w:val="20"/>
          <w:szCs w:val="20"/>
          <w:color w:val="auto"/>
        </w:rPr>
      </w:pPr>
    </w:p>
    <w:p>
      <w:pPr>
        <w:ind w:right="1799" w:firstLine="327"/>
        <w:spacing w:after="0" w:line="274" w:lineRule="auto"/>
        <w:rPr>
          <w:sz w:val="20"/>
          <w:szCs w:val="20"/>
          <w:color w:val="auto"/>
        </w:rPr>
      </w:pPr>
      <w:r>
        <w:rPr>
          <w:rFonts w:ascii="Arial" w:cs="Arial" w:eastAsia="Arial" w:hAnsi="Arial"/>
          <w:sz w:val="14"/>
          <w:szCs w:val="14"/>
          <w:color w:val="auto"/>
        </w:rPr>
        <w:t xml:space="preserve">The Recipient shall not sell, assign, transfer, pledge, hypothecate or otherwise dispose of, by operation of law or otherwise (collectively “transfer”) any Restricted Shares, or any interest therein, until such Restricted Shares have vested, except that the Recipient may transfer such Restricted Shares: (a) to or for the benefit of any spouse, children, parents, uncles, aunts, siblings, grandchildren and any other relatives approved by the Compensation Committee (collectively, “Approved Relatives”) or to a trust established solely for the benefit of the Recipient and/or Approved Relatives,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Restricted Shares shall remain subject to this Agreement (including without limitation the forfeiture provisions set forth in Section 3 and the restrictions on transfer set forth in this Section 4) and such permitted transferee shall, as a condition to such transfer, deliver to the Company a written instrument confirming that such transferee shall be bound by all of the terms and conditions of this Agreement; or (b) as part of the sale of all or substantially all of the shares of capital stock of the Company (including pursuant to a merger or consolidation). The Company shall not be required (i) to transfer on its books any of the Restricted Shares which have been transferred in violation of any of the provisions of this Agreement or (ii) to treat as owner of such Restricted Shares or to pay dividends to any transferee to whom such Restricted Shares have been transferred in violation of any of the provisions of this Agreement.</w:t>
      </w:r>
    </w:p>
    <w:p>
      <w:pPr>
        <w:spacing w:after="0" w:line="120" w:lineRule="exact"/>
        <w:rPr>
          <w:sz w:val="20"/>
          <w:szCs w:val="20"/>
          <w:color w:val="auto"/>
        </w:rPr>
      </w:pPr>
    </w:p>
    <w:p>
      <w:pPr>
        <w:ind w:left="480" w:hanging="150"/>
        <w:spacing w:after="0"/>
        <w:tabs>
          <w:tab w:leader="none" w:pos="480"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Restrictive Legends</w:t>
      </w:r>
      <w:r>
        <w:rPr>
          <w:rFonts w:ascii="Arial" w:cs="Arial" w:eastAsia="Arial" w:hAnsi="Arial"/>
          <w:sz w:val="15"/>
          <w:szCs w:val="15"/>
          <w:color w:val="auto"/>
        </w:rPr>
        <w:t>.</w:t>
      </w:r>
    </w:p>
    <w:p>
      <w:pPr>
        <w:spacing w:after="0" w:line="157" w:lineRule="exact"/>
        <w:rPr>
          <w:sz w:val="20"/>
          <w:szCs w:val="20"/>
          <w:color w:val="auto"/>
        </w:rPr>
      </w:pPr>
    </w:p>
    <w:p>
      <w:pPr>
        <w:ind w:right="1799" w:firstLine="327"/>
        <w:spacing w:after="0" w:line="261" w:lineRule="auto"/>
        <w:rPr>
          <w:sz w:val="20"/>
          <w:szCs w:val="20"/>
          <w:color w:val="auto"/>
        </w:rPr>
      </w:pPr>
      <w:r>
        <w:rPr>
          <w:rFonts w:ascii="Arial" w:cs="Arial" w:eastAsia="Arial" w:hAnsi="Arial"/>
          <w:sz w:val="15"/>
          <w:szCs w:val="15"/>
          <w:color w:val="auto"/>
        </w:rPr>
        <w:t>All certificates, if any, representing Restricted Shares that are not vested shall have affixed thereto a legend in substantially the following form, in addition to any other legends that may be required under applicable law, and the book entry account, if any, reflecting the issuance of the Restricted Shares in the name of the Recipient shall bear a legend or other notation upon substantially the following terms:</w:t>
      </w:r>
    </w:p>
    <w:p>
      <w:pPr>
        <w:spacing w:after="0" w:line="135" w:lineRule="exact"/>
        <w:rPr>
          <w:sz w:val="20"/>
          <w:szCs w:val="20"/>
          <w:color w:val="auto"/>
        </w:rPr>
      </w:pPr>
    </w:p>
    <w:p>
      <w:pPr>
        <w:ind w:right="2219" w:firstLine="327"/>
        <w:spacing w:after="0" w:line="292" w:lineRule="auto"/>
        <w:rPr>
          <w:sz w:val="20"/>
          <w:szCs w:val="20"/>
          <w:color w:val="auto"/>
        </w:rPr>
      </w:pPr>
      <w:r>
        <w:rPr>
          <w:rFonts w:ascii="Arial" w:cs="Arial" w:eastAsia="Arial" w:hAnsi="Arial"/>
          <w:sz w:val="14"/>
          <w:szCs w:val="14"/>
          <w:color w:val="auto"/>
        </w:rPr>
        <w:t>“These shares of stock are subject to forfeiture provisions and restrictions on transfer set forth in a certain Restricted Stock Agreement between the corporation and the registered owner of these shares (or his or her predecessor in interest), and such Agreement is available for inspection without charge at the office of the Secretary of the corporation.”</w:t>
      </w:r>
    </w:p>
    <w:p>
      <w:pPr>
        <w:spacing w:after="0" w:line="200" w:lineRule="exact"/>
        <w:rPr>
          <w:sz w:val="20"/>
          <w:szCs w:val="20"/>
          <w:color w:val="auto"/>
        </w:rPr>
      </w:pPr>
    </w:p>
    <w:p>
      <w:pPr>
        <w:spacing w:after="0" w:line="233" w:lineRule="exact"/>
        <w:rPr>
          <w:sz w:val="20"/>
          <w:szCs w:val="20"/>
          <w:color w:val="auto"/>
        </w:rPr>
      </w:pPr>
    </w:p>
    <w:p>
      <w:pPr>
        <w:ind w:left="40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125095</wp:posOffset>
            </wp:positionV>
            <wp:extent cx="727392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9959"/>
          </w:cols>
          <w:pgMar w:left="500" w:top="968" w:right="1440" w:bottom="1440" w:gutter="0" w:footer="0" w:header="0"/>
        </w:sectPr>
      </w:pPr>
    </w:p>
    <w:bookmarkStart w:id="40" w:name="page41"/>
    <w:bookmarkEnd w:id="40"/>
    <w:p>
      <w:pPr>
        <w:ind w:left="480" w:hanging="150"/>
        <w:spacing w:after="0"/>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Rights as a Shareholder</w:t>
      </w:r>
      <w:r>
        <w:rPr>
          <w:rFonts w:ascii="Arial" w:cs="Arial" w:eastAsia="Arial" w:hAnsi="Arial"/>
          <w:sz w:val="15"/>
          <w:szCs w:val="15"/>
          <w:color w:val="auto"/>
        </w:rPr>
        <w:t>.</w:t>
      </w:r>
    </w:p>
    <w:p>
      <w:pPr>
        <w:spacing w:after="0" w:line="168" w:lineRule="exact"/>
        <w:rPr>
          <w:sz w:val="20"/>
          <w:szCs w:val="20"/>
          <w:color w:val="auto"/>
        </w:rPr>
      </w:pPr>
    </w:p>
    <w:p>
      <w:pPr>
        <w:ind w:right="1839" w:firstLine="327"/>
        <w:spacing w:after="0" w:line="279" w:lineRule="auto"/>
        <w:rPr>
          <w:sz w:val="20"/>
          <w:szCs w:val="20"/>
          <w:color w:val="auto"/>
        </w:rPr>
      </w:pPr>
      <w:r>
        <w:rPr>
          <w:rFonts w:ascii="Arial" w:cs="Arial" w:eastAsia="Arial" w:hAnsi="Arial"/>
          <w:sz w:val="14"/>
          <w:szCs w:val="14"/>
          <w:color w:val="auto"/>
        </w:rPr>
        <w:t>Except as otherwise provided in this Agreement, for so long as the Recipient is the registered owner of the Restricted Shares, the Recipient shall have all rights as a shareholder with respect to the Restricted Shares, whether vested or unvested, including, without limitation, any rights to receive dividends and distributions with respect to the Restricted Shares and to vote the Restricted Shares and act in respect of the Restricted Shares at any meeting of shareholders. Notwithstanding the foregoing, any dividends, whether in cash, stock or property, declared and paid by the Company with respect to unvested Restricted Shares (“Accrued Dividends”) shall be paid to the Recipient, without interest, only if and when such Restricted Shares vest.</w:t>
      </w:r>
    </w:p>
    <w:p>
      <w:pPr>
        <w:spacing w:after="0" w:line="114" w:lineRule="exact"/>
        <w:rPr>
          <w:sz w:val="20"/>
          <w:szCs w:val="20"/>
          <w:color w:val="auto"/>
        </w:rPr>
      </w:pPr>
    </w:p>
    <w:p>
      <w:pPr>
        <w:ind w:left="480" w:hanging="150"/>
        <w:spacing w:after="0"/>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Provisions of the Plan</w:t>
      </w:r>
      <w:r>
        <w:rPr>
          <w:rFonts w:ascii="Arial" w:cs="Arial" w:eastAsia="Arial" w:hAnsi="Arial"/>
          <w:sz w:val="15"/>
          <w:szCs w:val="15"/>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This Agreement is subject to the provisions of the Plan, a copy of which is furnished to the Recipient with this Agreement.</w:t>
      </w:r>
    </w:p>
    <w:p>
      <w:pPr>
        <w:spacing w:after="0" w:line="179" w:lineRule="exact"/>
        <w:rPr>
          <w:sz w:val="20"/>
          <w:szCs w:val="20"/>
          <w:color w:val="auto"/>
        </w:rPr>
      </w:pPr>
    </w:p>
    <w:p>
      <w:pPr>
        <w:ind w:left="480" w:hanging="150"/>
        <w:spacing w:after="0"/>
        <w:tabs>
          <w:tab w:leader="none" w:pos="480"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Tax Matters</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ind w:right="1939" w:firstLine="656"/>
        <w:spacing w:after="0" w:line="275" w:lineRule="auto"/>
        <w:tabs>
          <w:tab w:leader="none" w:pos="859" w:val="left"/>
        </w:tabs>
        <w:numPr>
          <w:ilvl w:val="1"/>
          <w:numId w:val="19"/>
        </w:numPr>
        <w:rPr>
          <w:rFonts w:ascii="Arial" w:cs="Arial" w:eastAsia="Arial" w:hAnsi="Arial"/>
          <w:sz w:val="14"/>
          <w:szCs w:val="14"/>
          <w:color w:val="auto"/>
        </w:rPr>
      </w:pPr>
      <w:r>
        <w:rPr>
          <w:rFonts w:ascii="Arial" w:cs="Arial" w:eastAsia="Arial" w:hAnsi="Arial"/>
          <w:sz w:val="14"/>
          <w:szCs w:val="14"/>
          <w:u w:val="single" w:color="auto"/>
          <w:color w:val="auto"/>
        </w:rPr>
        <w:t>Acknowledgments; Section 83(b) Election</w:t>
      </w:r>
      <w:r>
        <w:rPr>
          <w:rFonts w:ascii="Arial" w:cs="Arial" w:eastAsia="Arial" w:hAnsi="Arial"/>
          <w:sz w:val="14"/>
          <w:szCs w:val="14"/>
          <w:color w:val="auto"/>
        </w:rPr>
        <w:t>. The Recipient acknowledges that he or she is responsible for obtaining the advice of the Recipient’s own tax advisors with respect to the acquisition of the Restricted Shares and the Recipient is relying solely on such advisors and not on any statements or representations of the Company or any of its agents with respect to the tax consequences relating to the Restricted Shares. The Recipient understands that the Recipient (and not the Company) shall be responsible for the Recipient’s tax liability that may arise in connection with the acquisition, vesting and/or disposition of the Restricted Shares. The Recipient acknowledges that he or she has been informed of the availability of making an election under Section 83(b) of the Internal Revenue Code, as amended, with respect to the issuance of the Restricted Shares. Following the execution of this Agreement, the Recipient has thirty (30) days following such execution to file the 83(b) election with the Internal Revenue Service. A copy of such notification should be delivered to the Company in writing. The recipient shall also notify the Company in writing if the Recipient has not filed a Section 83(b) election.</w:t>
      </w:r>
    </w:p>
    <w:p>
      <w:pPr>
        <w:spacing w:after="0" w:line="117" w:lineRule="exact"/>
        <w:rPr>
          <w:rFonts w:ascii="Arial" w:cs="Arial" w:eastAsia="Arial" w:hAnsi="Arial"/>
          <w:sz w:val="14"/>
          <w:szCs w:val="14"/>
          <w:color w:val="auto"/>
        </w:rPr>
      </w:pPr>
    </w:p>
    <w:p>
      <w:pPr>
        <w:ind w:right="1859" w:firstLine="656"/>
        <w:spacing w:after="0" w:line="273" w:lineRule="auto"/>
        <w:tabs>
          <w:tab w:leader="none" w:pos="867" w:val="left"/>
        </w:tabs>
        <w:numPr>
          <w:ilvl w:val="1"/>
          <w:numId w:val="19"/>
        </w:numPr>
        <w:rPr>
          <w:rFonts w:ascii="Arial" w:cs="Arial" w:eastAsia="Arial" w:hAnsi="Arial"/>
          <w:sz w:val="14"/>
          <w:szCs w:val="14"/>
          <w:color w:val="auto"/>
        </w:rPr>
      </w:pPr>
      <w:r>
        <w:rPr>
          <w:rFonts w:ascii="Arial" w:cs="Arial" w:eastAsia="Arial" w:hAnsi="Arial"/>
          <w:sz w:val="14"/>
          <w:szCs w:val="14"/>
          <w:u w:val="single" w:color="auto"/>
          <w:color w:val="auto"/>
        </w:rPr>
        <w:t>Withholding</w:t>
      </w:r>
      <w:r>
        <w:rPr>
          <w:rFonts w:ascii="Arial" w:cs="Arial" w:eastAsia="Arial" w:hAnsi="Arial"/>
          <w:sz w:val="14"/>
          <w:szCs w:val="14"/>
          <w:color w:val="auto"/>
        </w:rPr>
        <w:t>. The Recipient acknowledges and agrees that the Company has the right to deduct from payments of any kind otherwise due to the Recipient any federal, state, local or other taxes of any kind required by law to be withheld with respect to the vesting of the Restricted Shares. Two weeks prior to each date on which Restricted Shares vest, the Company shall deliver written notice to the Recipient of the estimated amount of withholding taxes due with respect to the vesting of the Restricted Shares that vest on such date; provided, however, that the total tax withholding cannot exceed the Company’s minimum statutory withholding obligations (based on minimum statutory withholding rates for federal and state tax purposes, including payroll taxes, that are applicable to such supplemental taxable income). The Recipient may satisfy such tax withholding obligations by making a cash payment to the Company on the date of vesting of the Restricted Shares, in the amount of the Company’s withholding obligation in connection with the vesting of such Restricted Shares. The Recipient may, at the option of the Recipient and if the Compensation Committee so approves in advance of the applicable vesting date, satisfy such tax withholding obligations by transferring to the Company, on each date on which Restricted Shares vest under this Agreement, such number of Restricted Shares that vest on such date as have a fair market value (calculated using the last reported sale price of the common stock of the Company on the NASDAQ National Market on the trading date immediately prior to such vesting date) equal to the amount of the Company’s tax withholding obligation in connection with the vesting of such Restricted Shares. To effect such delivery of Restricted Shares, the Recipient shall deliver a written notice to the Company stating that a specified number of Restricted Shares registered to the Recipient in book entry form are thereby transferred to the Company.</w:t>
      </w:r>
    </w:p>
    <w:p>
      <w:pPr>
        <w:spacing w:after="0" w:line="200" w:lineRule="exact"/>
        <w:rPr>
          <w:sz w:val="20"/>
          <w:szCs w:val="20"/>
          <w:color w:val="auto"/>
        </w:rPr>
      </w:pPr>
    </w:p>
    <w:p>
      <w:pPr>
        <w:spacing w:after="0" w:line="262" w:lineRule="exact"/>
        <w:rPr>
          <w:sz w:val="20"/>
          <w:szCs w:val="20"/>
          <w:color w:val="auto"/>
        </w:rPr>
      </w:pPr>
    </w:p>
    <w:p>
      <w:pPr>
        <w:ind w:left="404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125095</wp:posOffset>
            </wp:positionV>
            <wp:extent cx="727392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9959"/>
          </w:cols>
          <w:pgMar w:left="500" w:top="810" w:right="1440" w:bottom="1440" w:gutter="0" w:footer="0" w:header="0"/>
        </w:sectPr>
      </w:pPr>
    </w:p>
    <w:bookmarkStart w:id="41" w:name="page42"/>
    <w:bookmarkEnd w:id="41"/>
    <w:p>
      <w:pPr>
        <w:ind w:left="150" w:hanging="150"/>
        <w:spacing w:after="0"/>
        <w:tabs>
          <w:tab w:leader="none" w:pos="15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67" w:lineRule="exact"/>
        <w:rPr>
          <w:rFonts w:ascii="Arial" w:cs="Arial" w:eastAsia="Arial" w:hAnsi="Arial"/>
          <w:sz w:val="15"/>
          <w:szCs w:val="15"/>
          <w:color w:val="auto"/>
        </w:rPr>
      </w:pPr>
    </w:p>
    <w:p>
      <w:pPr>
        <w:ind w:left="-330" w:right="1999" w:firstLine="656"/>
        <w:spacing w:after="0" w:line="258" w:lineRule="auto"/>
        <w:tabs>
          <w:tab w:leader="none" w:pos="529" w:val="left"/>
        </w:tabs>
        <w:numPr>
          <w:ilvl w:val="1"/>
          <w:numId w:val="20"/>
        </w:numPr>
        <w:rPr>
          <w:rFonts w:ascii="Arial" w:cs="Arial" w:eastAsia="Arial" w:hAnsi="Arial"/>
          <w:sz w:val="15"/>
          <w:szCs w:val="15"/>
          <w:color w:val="auto"/>
        </w:rPr>
      </w:pPr>
      <w:r>
        <w:rPr>
          <w:rFonts w:ascii="Arial" w:cs="Arial" w:eastAsia="Arial" w:hAnsi="Arial"/>
          <w:sz w:val="15"/>
          <w:szCs w:val="15"/>
          <w:u w:val="single" w:color="auto"/>
          <w:color w:val="auto"/>
        </w:rPr>
        <w:t>Authority of Compensation Committee</w:t>
      </w:r>
      <w:r>
        <w:rPr>
          <w:rFonts w:ascii="Arial" w:cs="Arial" w:eastAsia="Arial" w:hAnsi="Arial"/>
          <w:sz w:val="15"/>
          <w:szCs w:val="15"/>
          <w:color w:val="auto"/>
        </w:rPr>
        <w:t>. In making any decisions or taking any actions with respect to the matters covered by this Agreement, the Compensation Committee of the Company’s Board of Directors shall have all of the authority and discretion, and shall be subject to all of the protections, provided for in the Plan. All decisions and actions by the Compensation Committee, as approved by the Board of Directors, with respect to this Agreement shall be made in the Compensation Committee’s discretion and shall be final and binding on the Recipient.</w:t>
      </w:r>
    </w:p>
    <w:p>
      <w:pPr>
        <w:spacing w:after="0" w:line="127" w:lineRule="exact"/>
        <w:rPr>
          <w:rFonts w:ascii="Arial" w:cs="Arial" w:eastAsia="Arial" w:hAnsi="Arial"/>
          <w:sz w:val="15"/>
          <w:szCs w:val="15"/>
          <w:color w:val="auto"/>
        </w:rPr>
      </w:pPr>
    </w:p>
    <w:p>
      <w:pPr>
        <w:ind w:left="-330" w:right="1959" w:firstLine="656"/>
        <w:spacing w:after="0" w:line="261" w:lineRule="auto"/>
        <w:tabs>
          <w:tab w:leader="none" w:pos="538" w:val="left"/>
        </w:tabs>
        <w:numPr>
          <w:ilvl w:val="1"/>
          <w:numId w:val="20"/>
        </w:numPr>
        <w:rPr>
          <w:rFonts w:ascii="Arial" w:cs="Arial" w:eastAsia="Arial" w:hAnsi="Arial"/>
          <w:sz w:val="15"/>
          <w:szCs w:val="15"/>
          <w:color w:val="auto"/>
        </w:rPr>
      </w:pPr>
      <w:r>
        <w:rPr>
          <w:rFonts w:ascii="Arial" w:cs="Arial" w:eastAsia="Arial" w:hAnsi="Arial"/>
          <w:sz w:val="15"/>
          <w:szCs w:val="15"/>
          <w:u w:val="single" w:color="auto"/>
          <w:color w:val="auto"/>
        </w:rPr>
        <w:t>No Right to Continued Employment</w:t>
      </w:r>
      <w:r>
        <w:rPr>
          <w:rFonts w:ascii="Arial" w:cs="Arial" w:eastAsia="Arial" w:hAnsi="Arial"/>
          <w:sz w:val="15"/>
          <w:szCs w:val="15"/>
          <w:color w:val="auto"/>
        </w:rPr>
        <w:t>. The Recipient acknowledges and agrees that, notwithstanding the fact that the vesting of the Restricted Shares is contingent upon his or her continued employment by, or service to, the Company, this Agreement does not constitute an express or implied promise of continued employment or service or confer upon the Recipient any rights with respect to continued employment by, or service to, the Company.</w:t>
      </w:r>
    </w:p>
    <w:p>
      <w:pPr>
        <w:spacing w:after="0" w:line="123" w:lineRule="exact"/>
        <w:rPr>
          <w:rFonts w:ascii="Arial" w:cs="Arial" w:eastAsia="Arial" w:hAnsi="Arial"/>
          <w:sz w:val="15"/>
          <w:szCs w:val="15"/>
          <w:color w:val="auto"/>
        </w:rPr>
      </w:pPr>
    </w:p>
    <w:p>
      <w:pPr>
        <w:ind w:left="-330" w:right="1799" w:firstLine="656"/>
        <w:spacing w:after="0" w:line="277" w:lineRule="auto"/>
        <w:tabs>
          <w:tab w:leader="none" w:pos="529" w:val="left"/>
        </w:tabs>
        <w:numPr>
          <w:ilvl w:val="1"/>
          <w:numId w:val="20"/>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construed, interpreted and enforced in accordance with the internal laws of the State of Delaware without regard to any applicable conflicts of laws provisions.</w:t>
      </w:r>
    </w:p>
    <w:p>
      <w:pPr>
        <w:spacing w:after="0" w:line="123" w:lineRule="exact"/>
        <w:rPr>
          <w:rFonts w:ascii="Arial" w:cs="Arial" w:eastAsia="Arial" w:hAnsi="Arial"/>
          <w:sz w:val="15"/>
          <w:szCs w:val="15"/>
          <w:color w:val="auto"/>
        </w:rPr>
      </w:pPr>
    </w:p>
    <w:p>
      <w:pPr>
        <w:ind w:left="-330" w:right="1979" w:firstLine="656"/>
        <w:spacing w:after="0" w:line="277" w:lineRule="auto"/>
        <w:tabs>
          <w:tab w:leader="none" w:pos="538" w:val="left"/>
        </w:tabs>
        <w:numPr>
          <w:ilvl w:val="1"/>
          <w:numId w:val="20"/>
        </w:numPr>
        <w:rPr>
          <w:rFonts w:ascii="Arial" w:cs="Arial" w:eastAsia="Arial" w:hAnsi="Arial"/>
          <w:sz w:val="15"/>
          <w:szCs w:val="15"/>
          <w:color w:val="auto"/>
        </w:rPr>
      </w:pPr>
      <w:r>
        <w:rPr>
          <w:rFonts w:ascii="Arial" w:cs="Arial" w:eastAsia="Arial" w:hAnsi="Arial"/>
          <w:sz w:val="15"/>
          <w:szCs w:val="15"/>
          <w:u w:val="single" w:color="auto"/>
          <w:color w:val="auto"/>
        </w:rPr>
        <w:t>Recipient’s Acknowledgments</w:t>
      </w:r>
      <w:r>
        <w:rPr>
          <w:rFonts w:ascii="Arial" w:cs="Arial" w:eastAsia="Arial" w:hAnsi="Arial"/>
          <w:sz w:val="15"/>
          <w:szCs w:val="15"/>
          <w:color w:val="auto"/>
        </w:rPr>
        <w:t>. The Recipient acknowledges that he or she has read this Agreement, has received and read the Plan, and understands the terms and conditions of this Agreement and the Plan.</w:t>
      </w:r>
    </w:p>
    <w:p>
      <w:pPr>
        <w:spacing w:after="0" w:line="200" w:lineRule="exact"/>
        <w:rPr>
          <w:sz w:val="20"/>
          <w:szCs w:val="20"/>
          <w:color w:val="auto"/>
        </w:rPr>
      </w:pPr>
    </w:p>
    <w:p>
      <w:pPr>
        <w:spacing w:after="0" w:line="241" w:lineRule="exact"/>
        <w:rPr>
          <w:sz w:val="20"/>
          <w:szCs w:val="20"/>
          <w:color w:val="auto"/>
        </w:rPr>
      </w:pPr>
    </w:p>
    <w:p>
      <w:pPr>
        <w:ind w:left="371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629"/>
          </w:cols>
          <w:pgMar w:left="830" w:top="810" w:right="1440" w:bottom="1440" w:gutter="0" w:footer="0" w:header="0"/>
        </w:sectPr>
      </w:pPr>
    </w:p>
    <w:bookmarkStart w:id="42" w:name="page43"/>
    <w:bookmarkEnd w:id="42"/>
    <w:p>
      <w:pPr>
        <w:jc w:val="right"/>
        <w:ind w:right="1779"/>
        <w:spacing w:after="0"/>
        <w:rPr>
          <w:sz w:val="20"/>
          <w:szCs w:val="20"/>
          <w:color w:val="auto"/>
        </w:rPr>
      </w:pPr>
      <w:r>
        <w:rPr>
          <w:rFonts w:ascii="Arial" w:cs="Arial" w:eastAsia="Arial" w:hAnsi="Arial"/>
          <w:sz w:val="15"/>
          <w:szCs w:val="15"/>
          <w:b w:val="1"/>
          <w:bCs w:val="1"/>
          <w:color w:val="auto"/>
        </w:rPr>
        <w:t>Exhibit 31.1</w:t>
      </w:r>
    </w:p>
    <w:p>
      <w:pPr>
        <w:spacing w:after="0" w:line="157"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CERTIFICATION PURSUANT TO SECTION 302 OF SARBANES-OXLEY ACT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I, Charles F. Dunleavy, certify that:</w:t>
      </w:r>
    </w:p>
    <w:p>
      <w:pPr>
        <w:spacing w:after="0" w:line="157" w:lineRule="exact"/>
        <w:rPr>
          <w:sz w:val="20"/>
          <w:szCs w:val="20"/>
          <w:color w:val="auto"/>
        </w:rPr>
      </w:pPr>
    </w:p>
    <w:p>
      <w:pPr>
        <w:ind w:left="320" w:hanging="317"/>
        <w:spacing w:after="0"/>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Ocean Power Technologies, Inc.;</w:t>
      </w:r>
    </w:p>
    <w:p>
      <w:pPr>
        <w:spacing w:after="0" w:line="133" w:lineRule="exact"/>
        <w:rPr>
          <w:rFonts w:ascii="Arial" w:cs="Arial" w:eastAsia="Arial" w:hAnsi="Arial"/>
          <w:sz w:val="15"/>
          <w:szCs w:val="15"/>
          <w:color w:val="auto"/>
        </w:rPr>
      </w:pPr>
    </w:p>
    <w:p>
      <w:pPr>
        <w:ind w:left="320" w:right="2039" w:hanging="317"/>
        <w:spacing w:after="0" w:line="265"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Arial" w:cs="Arial" w:eastAsia="Arial" w:hAnsi="Arial"/>
          <w:sz w:val="15"/>
          <w:szCs w:val="15"/>
          <w:color w:val="auto"/>
        </w:rPr>
      </w:pPr>
    </w:p>
    <w:p>
      <w:pPr>
        <w:ind w:left="320" w:right="1799" w:hanging="317"/>
        <w:spacing w:after="0" w:line="265"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5"/>
          <w:szCs w:val="15"/>
          <w:color w:val="auto"/>
        </w:rPr>
      </w:pPr>
    </w:p>
    <w:p>
      <w:pPr>
        <w:ind w:left="320" w:right="1799" w:hanging="317"/>
        <w:spacing w:after="0" w:line="265"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320" w:right="1899" w:hanging="317"/>
        <w:spacing w:after="0" w:line="292"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4"/>
          <w:szCs w:val="14"/>
          <w:color w:val="auto"/>
        </w:rPr>
      </w:pPr>
    </w:p>
    <w:p>
      <w:pPr>
        <w:ind w:left="320" w:right="2019" w:hanging="317"/>
        <w:spacing w:after="0" w:line="292"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4"/>
          <w:szCs w:val="14"/>
          <w:color w:val="auto"/>
        </w:rPr>
      </w:pPr>
    </w:p>
    <w:p>
      <w:pPr>
        <w:ind w:left="320" w:right="1839" w:hanging="317"/>
        <w:spacing w:after="0" w:line="265" w:lineRule="auto"/>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5"/>
          <w:szCs w:val="15"/>
          <w:color w:val="auto"/>
        </w:rPr>
      </w:pPr>
    </w:p>
    <w:p>
      <w:pPr>
        <w:ind w:left="320" w:right="1799" w:hanging="317"/>
        <w:spacing w:after="0" w:line="292" w:lineRule="auto"/>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sz w:val="20"/>
          <w:szCs w:val="20"/>
          <w:color w:val="auto"/>
        </w:rPr>
      </w:pPr>
    </w:p>
    <w:p>
      <w:pPr>
        <w:ind w:left="320" w:right="2099" w:hanging="317"/>
        <w:spacing w:after="0" w:line="265" w:lineRule="auto"/>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21" w:lineRule="exact"/>
        <w:rPr>
          <w:sz w:val="20"/>
          <w:szCs w:val="20"/>
          <w:color w:val="auto"/>
        </w:rPr>
      </w:pPr>
    </w:p>
    <w:p>
      <w:pPr>
        <w:ind w:left="320" w:right="1899" w:hanging="317"/>
        <w:spacing w:after="0" w:line="265"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5"/>
          <w:szCs w:val="15"/>
          <w:color w:val="auto"/>
        </w:rPr>
      </w:pPr>
    </w:p>
    <w:p>
      <w:pPr>
        <w:ind w:left="320" w:right="1899" w:hanging="317"/>
        <w:spacing w:after="0" w:line="277"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181546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15465" cy="69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Charles F. Dunleavy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Chief Executive Officer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 March 14, 2011</w:t>
      </w:r>
    </w:p>
    <w:p>
      <w:pPr>
        <w:sectPr>
          <w:pgSz w:w="11900" w:h="16838" w:orient="portrait"/>
          <w:cols w:equalWidth="0" w:num="1">
            <w:col w:w="9959"/>
          </w:cols>
          <w:pgMar w:left="500" w:top="125" w:right="1440" w:bottom="1440" w:gutter="0" w:footer="0" w:header="0"/>
        </w:sectPr>
      </w:pPr>
    </w:p>
    <w:bookmarkStart w:id="43" w:name="page44"/>
    <w:bookmarkEnd w:id="43"/>
    <w:p>
      <w:pPr>
        <w:jc w:val="right"/>
        <w:ind w:right="1779"/>
        <w:spacing w:after="0"/>
        <w:rPr>
          <w:sz w:val="20"/>
          <w:szCs w:val="20"/>
          <w:color w:val="auto"/>
        </w:rPr>
      </w:pPr>
      <w:r>
        <w:rPr>
          <w:rFonts w:ascii="Arial" w:cs="Arial" w:eastAsia="Arial" w:hAnsi="Arial"/>
          <w:sz w:val="15"/>
          <w:szCs w:val="15"/>
          <w:b w:val="1"/>
          <w:bCs w:val="1"/>
          <w:color w:val="auto"/>
        </w:rPr>
        <w:t>Exhibit 31.2</w:t>
      </w:r>
    </w:p>
    <w:p>
      <w:pPr>
        <w:spacing w:after="0" w:line="157"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CERTIFICATION PURSUANT TO SECTION 302 OF SARBANES-OXLEY ACT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I, Brian M. Posner, certify that:</w:t>
      </w:r>
    </w:p>
    <w:p>
      <w:pPr>
        <w:spacing w:after="0" w:line="157" w:lineRule="exact"/>
        <w:rPr>
          <w:sz w:val="20"/>
          <w:szCs w:val="20"/>
          <w:color w:val="auto"/>
        </w:rPr>
      </w:pPr>
    </w:p>
    <w:p>
      <w:pPr>
        <w:ind w:left="320" w:hanging="317"/>
        <w:spacing w:after="0"/>
        <w:tabs>
          <w:tab w:leader="none" w:pos="3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Ocean Power Technologies, Inc.;</w:t>
      </w:r>
    </w:p>
    <w:p>
      <w:pPr>
        <w:spacing w:after="0" w:line="133" w:lineRule="exact"/>
        <w:rPr>
          <w:rFonts w:ascii="Arial" w:cs="Arial" w:eastAsia="Arial" w:hAnsi="Arial"/>
          <w:sz w:val="15"/>
          <w:szCs w:val="15"/>
          <w:color w:val="auto"/>
        </w:rPr>
      </w:pPr>
    </w:p>
    <w:p>
      <w:pPr>
        <w:ind w:left="320" w:right="2039" w:hanging="317"/>
        <w:spacing w:after="0" w:line="265" w:lineRule="auto"/>
        <w:tabs>
          <w:tab w:leader="none" w:pos="3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Arial" w:cs="Arial" w:eastAsia="Arial" w:hAnsi="Arial"/>
          <w:sz w:val="15"/>
          <w:szCs w:val="15"/>
          <w:color w:val="auto"/>
        </w:rPr>
      </w:pPr>
    </w:p>
    <w:p>
      <w:pPr>
        <w:ind w:left="320" w:right="1799" w:hanging="317"/>
        <w:spacing w:after="0" w:line="265" w:lineRule="auto"/>
        <w:tabs>
          <w:tab w:leader="none" w:pos="3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5"/>
          <w:szCs w:val="15"/>
          <w:color w:val="auto"/>
        </w:rPr>
      </w:pPr>
    </w:p>
    <w:p>
      <w:pPr>
        <w:ind w:left="320" w:right="1799" w:hanging="317"/>
        <w:spacing w:after="0" w:line="265" w:lineRule="auto"/>
        <w:tabs>
          <w:tab w:leader="none" w:pos="3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sz w:val="20"/>
          <w:szCs w:val="20"/>
          <w:color w:val="auto"/>
        </w:rPr>
      </w:pPr>
    </w:p>
    <w:p>
      <w:pPr>
        <w:ind w:left="320" w:right="1899" w:hanging="317"/>
        <w:spacing w:after="0" w:line="292"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4"/>
          <w:szCs w:val="14"/>
          <w:color w:val="auto"/>
        </w:rPr>
      </w:pPr>
    </w:p>
    <w:p>
      <w:pPr>
        <w:ind w:left="320" w:right="2019" w:hanging="317"/>
        <w:spacing w:after="0" w:line="292"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4"/>
          <w:szCs w:val="14"/>
          <w:color w:val="auto"/>
        </w:rPr>
      </w:pPr>
    </w:p>
    <w:p>
      <w:pPr>
        <w:ind w:left="320" w:right="1839" w:hanging="317"/>
        <w:spacing w:after="0" w:line="265" w:lineRule="auto"/>
        <w:tabs>
          <w:tab w:leader="none" w:pos="3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5"/>
          <w:szCs w:val="15"/>
          <w:color w:val="auto"/>
        </w:rPr>
      </w:pPr>
    </w:p>
    <w:p>
      <w:pPr>
        <w:ind w:left="320" w:right="1799" w:hanging="317"/>
        <w:spacing w:after="0" w:line="292"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320" w:right="2099" w:hanging="317"/>
        <w:spacing w:after="0" w:line="265" w:lineRule="auto"/>
        <w:tabs>
          <w:tab w:leader="none" w:pos="3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98" w:lineRule="exact"/>
        <w:rPr>
          <w:sz w:val="20"/>
          <w:szCs w:val="20"/>
          <w:color w:val="auto"/>
        </w:rPr>
      </w:pPr>
    </w:p>
    <w:p>
      <w:pPr>
        <w:ind w:left="320" w:right="1899" w:hanging="317"/>
        <w:spacing w:after="0" w:line="265" w:lineRule="auto"/>
        <w:tabs>
          <w:tab w:leader="none" w:pos="3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5"/>
          <w:szCs w:val="15"/>
          <w:color w:val="auto"/>
        </w:rPr>
      </w:pPr>
    </w:p>
    <w:p>
      <w:pPr>
        <w:ind w:left="320" w:right="1899" w:hanging="317"/>
        <w:spacing w:after="0" w:line="277" w:lineRule="auto"/>
        <w:tabs>
          <w:tab w:leader="none" w:pos="3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181546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5465" cy="69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Brian M. Posner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Chief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 March 14, 2011</w:t>
      </w:r>
    </w:p>
    <w:p>
      <w:pPr>
        <w:sectPr>
          <w:pgSz w:w="11900" w:h="16838" w:orient="portrait"/>
          <w:cols w:equalWidth="0" w:num="1">
            <w:col w:w="9959"/>
          </w:cols>
          <w:pgMar w:left="500" w:top="125" w:right="1440" w:bottom="1440" w:gutter="0" w:footer="0" w:header="0"/>
        </w:sectPr>
      </w:pPr>
    </w:p>
    <w:bookmarkStart w:id="44" w:name="page45"/>
    <w:bookmarkEnd w:id="44"/>
    <w:p>
      <w:pPr>
        <w:jc w:val="right"/>
        <w:ind w:right="1779"/>
        <w:spacing w:after="0"/>
        <w:rPr>
          <w:sz w:val="20"/>
          <w:szCs w:val="20"/>
          <w:color w:val="auto"/>
        </w:rPr>
      </w:pPr>
      <w:r>
        <w:rPr>
          <w:rFonts w:ascii="Arial" w:cs="Arial" w:eastAsia="Arial" w:hAnsi="Arial"/>
          <w:sz w:val="15"/>
          <w:szCs w:val="15"/>
          <w:b w:val="1"/>
          <w:bCs w:val="1"/>
          <w:color w:val="auto"/>
        </w:rPr>
        <w:t>Exhibit 32.1</w:t>
      </w:r>
    </w:p>
    <w:p>
      <w:pPr>
        <w:spacing w:after="0" w:line="157" w:lineRule="exact"/>
        <w:rPr>
          <w:sz w:val="20"/>
          <w:szCs w:val="20"/>
          <w:color w:val="auto"/>
        </w:rPr>
      </w:pPr>
    </w:p>
    <w:p>
      <w:pPr>
        <w:jc w:val="center"/>
        <w:ind w:right="1779"/>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ind w:right="1779"/>
        <w:spacing w:after="0"/>
        <w:rPr>
          <w:sz w:val="20"/>
          <w:szCs w:val="20"/>
          <w:color w:val="auto"/>
        </w:rPr>
      </w:pPr>
      <w:r>
        <w:rPr>
          <w:rFonts w:ascii="Arial" w:cs="Arial" w:eastAsia="Arial" w:hAnsi="Arial"/>
          <w:sz w:val="15"/>
          <w:szCs w:val="15"/>
          <w:b w:val="1"/>
          <w:bCs w:val="1"/>
          <w:color w:val="auto"/>
        </w:rPr>
        <w:t>AS ADOPTED PURSUANT TO</w:t>
      </w:r>
    </w:p>
    <w:p>
      <w:pPr>
        <w:spacing w:after="0" w:line="9" w:lineRule="exact"/>
        <w:rPr>
          <w:sz w:val="20"/>
          <w:szCs w:val="20"/>
          <w:color w:val="auto"/>
        </w:rPr>
      </w:pPr>
    </w:p>
    <w:p>
      <w:pPr>
        <w:jc w:val="center"/>
        <w:ind w:right="1779"/>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59" w:lineRule="exact"/>
        <w:rPr>
          <w:sz w:val="20"/>
          <w:szCs w:val="20"/>
          <w:color w:val="auto"/>
        </w:rPr>
      </w:pPr>
    </w:p>
    <w:p>
      <w:pPr>
        <w:ind w:right="1799"/>
        <w:spacing w:after="0" w:line="292" w:lineRule="auto"/>
        <w:rPr>
          <w:sz w:val="20"/>
          <w:szCs w:val="20"/>
          <w:color w:val="auto"/>
        </w:rPr>
      </w:pPr>
      <w:r>
        <w:rPr>
          <w:rFonts w:ascii="Arial" w:cs="Arial" w:eastAsia="Arial" w:hAnsi="Arial"/>
          <w:sz w:val="14"/>
          <w:szCs w:val="14"/>
          <w:color w:val="auto"/>
        </w:rPr>
        <w:t>In connection with the Quarterly Report on Form 10-Q of Ocean Power Technologies, Inc. (the “Company”) for the period ended January 31, 2011, as filed with the Securities and Exchange Commission on the date hereof (the “Report”), the undersigned, Charles F. Dunleavy, Chief Executive Officer of the Company, hereby certifies, pursuant to 18 U.S.C. Section 1350, that:</w:t>
      </w:r>
    </w:p>
    <w:p>
      <w:pPr>
        <w:spacing w:after="0" w:line="104" w:lineRule="exact"/>
        <w:rPr>
          <w:sz w:val="20"/>
          <w:szCs w:val="20"/>
          <w:color w:val="auto"/>
        </w:rPr>
      </w:pPr>
    </w:p>
    <w:p>
      <w:pPr>
        <w:ind w:left="320" w:right="1899" w:hanging="317"/>
        <w:spacing w:after="0" w:line="277" w:lineRule="auto"/>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89" w:lineRule="exact"/>
        <w:rPr>
          <w:rFonts w:ascii="Arial" w:cs="Arial" w:eastAsia="Arial" w:hAnsi="Arial"/>
          <w:sz w:val="15"/>
          <w:szCs w:val="15"/>
          <w:color w:val="auto"/>
        </w:rPr>
      </w:pPr>
    </w:p>
    <w:p>
      <w:pPr>
        <w:ind w:left="320" w:right="1899" w:hanging="317"/>
        <w:spacing w:after="0" w:line="277" w:lineRule="auto"/>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181546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15465" cy="69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Charles F. Dunleavy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Chief Executive Officer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 March 14, 2011</w:t>
      </w:r>
    </w:p>
    <w:p>
      <w:pPr>
        <w:sectPr>
          <w:pgSz w:w="11900" w:h="16838" w:orient="portrait"/>
          <w:cols w:equalWidth="0" w:num="1">
            <w:col w:w="9959"/>
          </w:cols>
          <w:pgMar w:left="500" w:top="125" w:right="1440" w:bottom="1440" w:gutter="0" w:footer="0" w:header="0"/>
        </w:sectPr>
      </w:pPr>
    </w:p>
    <w:bookmarkStart w:id="45" w:name="page46"/>
    <w:bookmarkEnd w:id="45"/>
    <w:p>
      <w:pPr>
        <w:jc w:val="right"/>
        <w:ind w:right="1779"/>
        <w:spacing w:after="0"/>
        <w:rPr>
          <w:sz w:val="20"/>
          <w:szCs w:val="20"/>
          <w:color w:val="auto"/>
        </w:rPr>
      </w:pPr>
      <w:r>
        <w:rPr>
          <w:rFonts w:ascii="Arial" w:cs="Arial" w:eastAsia="Arial" w:hAnsi="Arial"/>
          <w:sz w:val="15"/>
          <w:szCs w:val="15"/>
          <w:b w:val="1"/>
          <w:bCs w:val="1"/>
          <w:color w:val="auto"/>
        </w:rPr>
        <w:t>Exhibit 32.2</w:t>
      </w:r>
    </w:p>
    <w:p>
      <w:pPr>
        <w:spacing w:after="0" w:line="157" w:lineRule="exact"/>
        <w:rPr>
          <w:sz w:val="20"/>
          <w:szCs w:val="20"/>
          <w:color w:val="auto"/>
        </w:rPr>
      </w:pPr>
    </w:p>
    <w:p>
      <w:pPr>
        <w:jc w:val="center"/>
        <w:ind w:right="1779"/>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ind w:right="1779"/>
        <w:spacing w:after="0"/>
        <w:rPr>
          <w:sz w:val="20"/>
          <w:szCs w:val="20"/>
          <w:color w:val="auto"/>
        </w:rPr>
      </w:pPr>
      <w:r>
        <w:rPr>
          <w:rFonts w:ascii="Arial" w:cs="Arial" w:eastAsia="Arial" w:hAnsi="Arial"/>
          <w:sz w:val="15"/>
          <w:szCs w:val="15"/>
          <w:b w:val="1"/>
          <w:bCs w:val="1"/>
          <w:color w:val="auto"/>
        </w:rPr>
        <w:t>AS ADOPTED PURSUANT TO</w:t>
      </w:r>
    </w:p>
    <w:p>
      <w:pPr>
        <w:spacing w:after="0" w:line="9" w:lineRule="exact"/>
        <w:rPr>
          <w:sz w:val="20"/>
          <w:szCs w:val="20"/>
          <w:color w:val="auto"/>
        </w:rPr>
      </w:pPr>
    </w:p>
    <w:p>
      <w:pPr>
        <w:jc w:val="center"/>
        <w:ind w:right="1779"/>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59" w:lineRule="exact"/>
        <w:rPr>
          <w:sz w:val="20"/>
          <w:szCs w:val="20"/>
          <w:color w:val="auto"/>
        </w:rPr>
      </w:pPr>
    </w:p>
    <w:p>
      <w:pPr>
        <w:ind w:right="1859"/>
        <w:spacing w:after="0" w:line="292" w:lineRule="auto"/>
        <w:rPr>
          <w:sz w:val="20"/>
          <w:szCs w:val="20"/>
          <w:color w:val="auto"/>
        </w:rPr>
      </w:pPr>
      <w:r>
        <w:rPr>
          <w:rFonts w:ascii="Arial" w:cs="Arial" w:eastAsia="Arial" w:hAnsi="Arial"/>
          <w:sz w:val="14"/>
          <w:szCs w:val="14"/>
          <w:color w:val="auto"/>
        </w:rPr>
        <w:t>In connection with the Quarterly Report on Form 10-Q of Ocean Power Technologies, Inc. (the “Company”) for the period ended January 31, 2011, as filed with the Securities and Exchange Commission on the date hereof (the “Report”), the undersigned, Brian M. Posner, Chief Financial Officer of the Company, hereby certifies, pursuant to 18 U.S.C. Section 1350, that:</w:t>
      </w:r>
    </w:p>
    <w:p>
      <w:pPr>
        <w:spacing w:after="0" w:line="104" w:lineRule="exact"/>
        <w:rPr>
          <w:sz w:val="20"/>
          <w:szCs w:val="20"/>
          <w:color w:val="auto"/>
        </w:rPr>
      </w:pPr>
    </w:p>
    <w:p>
      <w:pPr>
        <w:ind w:left="320" w:right="1899" w:hanging="317"/>
        <w:spacing w:after="0" w:line="277"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89" w:lineRule="exact"/>
        <w:rPr>
          <w:rFonts w:ascii="Arial" w:cs="Arial" w:eastAsia="Arial" w:hAnsi="Arial"/>
          <w:sz w:val="15"/>
          <w:szCs w:val="15"/>
          <w:color w:val="auto"/>
        </w:rPr>
      </w:pPr>
    </w:p>
    <w:p>
      <w:pPr>
        <w:ind w:left="320" w:right="1899" w:hanging="317"/>
        <w:spacing w:after="0" w:line="277"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181546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15465" cy="69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Brian M. Posner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Chief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 March 14, 2011</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lvl w:ilvl="1">
      <w:lvlJc w:val="left"/>
      <w:lvlText w:val="(%2)"/>
      <w:numFmt w:val="lowerLetter"/>
      <w:start w:val="1"/>
    </w:lvl>
  </w:abstractNum>
  <w:abstractNum w:abstractNumId="8">
    <w:nsid w:val="257130A3"/>
    <w:multiLevelType w:val="hybridMultilevel"/>
    <w:lvl w:ilvl="0">
      <w:lvlJc w:val="left"/>
      <w:lvlText w:val="%1"/>
      <w:numFmt w:val="lowerLetter"/>
      <w:start w:val="1"/>
    </w:lvl>
    <w:lvl w:ilvl="1">
      <w:lvlJc w:val="left"/>
      <w:lvlText w:val="(%2)"/>
      <w:numFmt w:val="lowerLetter"/>
      <w:start w:val="2"/>
    </w:lvl>
  </w:abstractNum>
  <w:abstractNum w:abstractNumId="9">
    <w:nsid w:val="62BBD95A"/>
    <w:multiLevelType w:val="hybridMultilevel"/>
    <w:lvl w:ilvl="0">
      <w:lvlJc w:val="left"/>
      <w:lvlText w:val="(%1)"/>
      <w:numFmt w:val="lowerLetter"/>
      <w:start w:val="61"/>
    </w:lvl>
    <w:lvl w:ilvl="1">
      <w:lvlJc w:val="left"/>
      <w:lvlText w:val="%2"/>
      <w:numFmt w:val="lowerLetter"/>
      <w:start w:val="1"/>
    </w:lvl>
  </w:abstractNum>
  <w:abstractNum w:abstractNumId="10">
    <w:nsid w:val="436C6125"/>
    <w:multiLevelType w:val="hybridMultilevel"/>
    <w:lvl w:ilvl="0">
      <w:lvlJc w:val="left"/>
      <w:lvlText w:val="%1"/>
      <w:numFmt w:val="upperLetter"/>
      <w:start w:val="1"/>
    </w:lvl>
    <w:lvl w:ilvl="1">
      <w:lvlJc w:val="left"/>
      <w:lvlText w:val="(%2)"/>
      <w:numFmt w:val="lowerLetter"/>
      <w:start w:val="3"/>
    </w:lvl>
    <w:lvl w:ilvl="2">
      <w:lvlJc w:val="left"/>
      <w:lvlText w:val="%3"/>
      <w:numFmt w:val="upperLetter"/>
      <w:start w:val="1"/>
    </w:lvl>
    <w:lvl w:ilvl="3">
      <w:lvlJc w:val="left"/>
      <w:lvlText w:val="(%4)"/>
      <w:numFmt w:val="lowerRoman"/>
      <w:start w:val="1"/>
    </w:lvl>
  </w:abstractNum>
  <w:abstractNum w:abstractNumId="11">
    <w:nsid w:val="628C895D"/>
    <w:multiLevelType w:val="hybridMultilevel"/>
    <w:lvl w:ilvl="0">
      <w:lvlJc w:val="left"/>
      <w:lvlText w:val="(%1)"/>
      <w:numFmt w:val="upperLetter"/>
      <w:start w:val="1"/>
    </w:lvl>
    <w:lvl w:ilvl="1">
      <w:lvlJc w:val="left"/>
      <w:lvlText w:val="%2"/>
      <w:numFmt w:val="lowerLetter"/>
      <w:start w:val="1"/>
    </w:lvl>
    <w:lvl w:ilvl="2">
      <w:lvlJc w:val="left"/>
      <w:lvlText w:val="(%3)"/>
      <w:numFmt w:val="upperLetter"/>
    </w:lvl>
    <w:lvl w:ilvl="3">
      <w:lvlJc w:val="left"/>
      <w:lvlText w:val="(%4)"/>
      <w:numFmt w:val="lowerRoman"/>
      <w:start w:val="3"/>
    </w:lvl>
  </w:abstractNum>
  <w:abstractNum w:abstractNumId="12">
    <w:nsid w:val="333AB105"/>
    <w:multiLevelType w:val="hybridMultilevel"/>
    <w:lvl w:ilvl="0">
      <w:lvlJc w:val="left"/>
      <w:lvlText w:val="(%1)"/>
      <w:numFmt w:val="upperLetter"/>
      <w:start w:val="2"/>
    </w:lvl>
  </w:abstractNum>
  <w:abstractNum w:abstractNumId="13">
    <w:nsid w:val="721DA317"/>
    <w:multiLevelType w:val="hybridMultilevel"/>
    <w:lvl w:ilvl="0">
      <w:lvlJc w:val="left"/>
      <w:lvlText w:val="%1."/>
      <w:numFmt w:val="decimal"/>
      <w:start w:val="3"/>
    </w:lvl>
  </w:abstractNum>
  <w:abstractNum w:abstractNumId="14">
    <w:nsid w:val="2443A858"/>
    <w:multiLevelType w:val="hybridMultilevel"/>
    <w:lvl w:ilvl="0">
      <w:lvlJc w:val="left"/>
      <w:lvlText w:val="%1."/>
      <w:numFmt w:val="decimal"/>
      <w:start w:val="4"/>
    </w:lvl>
  </w:abstractNum>
  <w:abstractNum w:abstractNumId="15">
    <w:nsid w:val="2D1D5AE9"/>
    <w:multiLevelType w:val="hybridMultilevel"/>
    <w:lvl w:ilvl="0">
      <w:lvlJc w:val="left"/>
      <w:lvlText w:val="%1."/>
      <w:numFmt w:val="decimal"/>
      <w:start w:val="5"/>
    </w:lvl>
  </w:abstractNum>
  <w:abstractNum w:abstractNumId="16">
    <w:nsid w:val="6763845E"/>
    <w:multiLevelType w:val="hybridMultilevel"/>
    <w:lvl w:ilvl="0">
      <w:lvlJc w:val="left"/>
      <w:lvlText w:val="%1."/>
      <w:numFmt w:val="decimal"/>
      <w:start w:val="6"/>
    </w:lvl>
  </w:abstractNum>
  <w:abstractNum w:abstractNumId="17">
    <w:nsid w:val="75A2A8D4"/>
    <w:multiLevelType w:val="hybridMultilevel"/>
    <w:lvl w:ilvl="0">
      <w:lvlJc w:val="left"/>
      <w:lvlText w:val="%1."/>
      <w:numFmt w:val="decimal"/>
      <w:start w:val="7"/>
    </w:lvl>
  </w:abstractNum>
  <w:abstractNum w:abstractNumId="18">
    <w:nsid w:val="8EDBDAB"/>
    <w:multiLevelType w:val="hybridMultilevel"/>
    <w:lvl w:ilvl="0">
      <w:lvlJc w:val="left"/>
      <w:lvlText w:val="%1."/>
      <w:numFmt w:val="decimal"/>
      <w:start w:val="8"/>
    </w:lvl>
    <w:lvl w:ilvl="1">
      <w:lvlJc w:val="left"/>
      <w:lvlText w:val="(%2)"/>
      <w:numFmt w:val="lowerLetter"/>
      <w:start w:val="1"/>
    </w:lvl>
  </w:abstractNum>
  <w:abstractNum w:abstractNumId="19">
    <w:nsid w:val="79838CB2"/>
    <w:multiLevelType w:val="hybridMultilevel"/>
    <w:lvl w:ilvl="0">
      <w:lvlJc w:val="left"/>
      <w:lvlText w:val="%1."/>
      <w:numFmt w:val="decimal"/>
      <w:start w:val="9"/>
    </w:lvl>
    <w:lvl w:ilvl="1">
      <w:lvlJc w:val="left"/>
      <w:lvlText w:val="(%2)"/>
      <w:numFmt w:val="lowerLetter"/>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2019-12-11T04:10:00Z</dcterms:created>
  <dcterms:modified xsi:type="dcterms:W3CDTF">2019-12-11T04:10:00Z</dcterms:modified>
</cp:coreProperties>
</file>