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2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br/>
        <w:t>the Securities Act of 1934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br/>
            </w: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0_edei--EntityFileNumber_c20260727"/>
            <w:bookmarkEnd w:id="6"/>
            <w:r>
              <w:rPr>
                <w:rFonts w:ascii="Times New Roman;Times;Serif" w:hAnsi="Times New Roman;Times;Serif"/>
                <w:b/>
                <w:i w:val="false"/>
                <w:caps w:val="false"/>
                <w:smallCaps w:val="false"/>
                <w:sz w:val="20"/>
              </w:rPr>
              <w:t>001-33417</w:t>
              <w:br/>
            </w: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22-2535818</w:t>
              <w:br/>
            </w:r>
            <w:r>
              <w:rPr>
                <w:rFonts w:ascii="Times New Roman;Times;Serif" w:hAnsi="Times New Roman;Times;Serif"/>
                <w:b w:val="false"/>
                <w:i w:val="false"/>
                <w:caps w:val="false"/>
                <w:smallCaps w:val="false"/>
                <w:sz w:val="20"/>
              </w:rPr>
              <w:t>(I.R.S. Employer</w:t>
              <w:br/>
              <w:t>Identification No.)</w:t>
            </w:r>
          </w:p>
        </w:tc>
      </w:tr>
    </w:tbl>
    <w:p>
      <w:pPr>
        <w:pStyle w:val="TextBody"/>
        <w:bidi w:val="0"/>
        <w:jc w:val="center"/>
        <w:rPr/>
      </w:pPr>
      <w:r>
        <w:rPr/>
        <w:t> </w:t>
      </w:r>
    </w:p>
    <w:tbl>
      <w:tblPr>
        <w:tblW w:w="6025" w:type="dxa"/>
        <w:jc w:val="left"/>
        <w:tblInd w:w="0" w:type="dxa"/>
        <w:tblLayout w:type="fixed"/>
        <w:tblCellMar>
          <w:top w:w="0" w:type="dxa"/>
          <w:left w:w="0" w:type="dxa"/>
          <w:bottom w:w="0" w:type="dxa"/>
          <w:right w:w="0" w:type="dxa"/>
        </w:tblCellMar>
      </w:tblPr>
      <w:tblGrid>
        <w:gridCol w:w="5045"/>
        <w:gridCol w:w="60"/>
        <w:gridCol w:w="920"/>
      </w:tblGrid>
      <w:tr>
        <w:trPr/>
        <w:tc>
          <w:tcPr>
            <w:tcW w:w="5045"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28 Engelhard Drive, </w:t>
            </w:r>
            <w:bookmarkStart w:id="9" w:name="xdx_90D_edei--EntityAddressAddressLine2_"/>
            <w:bookmarkEnd w:id="9"/>
            <w:r>
              <w:rPr>
                <w:rFonts w:ascii="Times New Roman;Times;Serif" w:hAnsi="Times New Roman;Times;Serif"/>
                <w:b/>
                <w:i w:val="false"/>
                <w:caps w:val="false"/>
                <w:smallCaps w:val="false"/>
                <w:sz w:val="20"/>
              </w:rPr>
              <w:t xml:space="preserve">Suite B </w:t>
            </w:r>
            <w:bookmarkStart w:id="10" w:name="xdx_900_edei--EntityAddressCityOrTown_c2"/>
            <w:bookmarkEnd w:id="10"/>
            <w:r>
              <w:rPr>
                <w:rFonts w:ascii="Times New Roman;Times;Serif" w:hAnsi="Times New Roman;Times;Serif"/>
                <w:b/>
                <w:i w:val="false"/>
                <w:caps w:val="false"/>
                <w:smallCaps w:val="false"/>
                <w:sz w:val="20"/>
              </w:rPr>
              <w:t xml:space="preserve">Monroe Township, </w:t>
            </w:r>
            <w:bookmarkStart w:id="11" w:name="xdx_900_edei--EntityAddressStateOrProvin"/>
            <w:bookmarkEnd w:id="11"/>
            <w:r>
              <w:rPr>
                <w:rFonts w:ascii="Times New Roman;Times;Serif" w:hAnsi="Times New Roman;Times;Serif"/>
                <w:b/>
                <w:i w:val="false"/>
                <w:caps w:val="false"/>
                <w:smallCaps w:val="false"/>
                <w:sz w:val="20"/>
              </w:rPr>
              <w:t>New Jersey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08831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3_edei--CityAreaCode_c20260727__20"/>
      <w:bookmarkEnd w:id="13"/>
      <w:r>
        <w:rPr>
          <w:rFonts w:ascii="Times New Roman;Times;Serif" w:hAnsi="Times New Roman;Times;Serif"/>
          <w:b/>
          <w:i w:val="false"/>
          <w:caps w:val="false"/>
          <w:smallCaps w:val="false"/>
          <w:sz w:val="20"/>
        </w:rPr>
        <w:t xml:space="preserve">(609) </w:t>
      </w:r>
      <w:bookmarkStart w:id="14" w:name="xdx_90C_edei--LocalPhoneNumber_c20260727"/>
      <w:bookmarkEnd w:id="14"/>
      <w:r>
        <w:rPr>
          <w:rFonts w:ascii="Times New Roman;Times;Serif" w:hAnsi="Times New Roman;Times;Serif"/>
          <w:b/>
          <w:i w:val="false"/>
          <w:caps w:val="false"/>
          <w:smallCaps w:val="false"/>
          <w:sz w:val="20"/>
        </w:rPr>
        <w:t>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28" w:type="dxa"/>
          <w:right w:w="0" w:type="dxa"/>
        </w:tblCellMar>
      </w:tblPr>
      <w:tblGrid>
        <w:gridCol w:w="3245"/>
        <w:gridCol w:w="60"/>
        <w:gridCol w:w="1580"/>
        <w:gridCol w:w="60"/>
        <w:gridCol w:w="3590"/>
      </w:tblGrid>
      <w:tr>
        <w:trPr/>
        <w:tc>
          <w:tcPr>
            <w:tcW w:w="3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727"/>
            <w:bookmarkEnd w:id="19"/>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0727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6"/>
            <w:bookmarkEnd w:id="21"/>
            <w:r>
              <w:rPr>
                <w:rFonts w:ascii="Times New Roman;Times;Serif" w:hAnsi="Times New Roman;Times;Serif"/>
                <w:b w:val="false"/>
                <w:i w:val="false"/>
                <w:caps w:val="false"/>
                <w:smallCaps w:val="false"/>
                <w:sz w:val="20"/>
              </w:rPr>
              <w:t>NYSE American</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12bTitle_c20260727"/>
            <w:bookmarkEnd w:id="22"/>
            <w:r>
              <w:rPr>
                <w:rFonts w:ascii="Times New Roman;Times;Serif" w:hAnsi="Times New Roman;Times;Serif"/>
                <w:b w:val="false"/>
                <w:i w:val="false"/>
                <w:caps w:val="false"/>
                <w:smallCaps w:val="false"/>
                <w:sz w:val="20"/>
              </w:rPr>
              <w:t>Series A Preferred Stock Purchase Right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F_edei--TradingSymbol_c20260727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SecurityExchangeName_c2026"/>
            <w:bookmarkEnd w:id="24"/>
            <w:r>
              <w:rPr>
                <w:rFonts w:ascii="Times New Roman;Times;Serif" w:hAnsi="Times New Roman;Times;Serif"/>
                <w:b w:val="false"/>
                <w:i w:val="false"/>
                <w:caps w:val="false"/>
                <w:smallCaps w:val="false"/>
                <w:sz w:val="20"/>
              </w:rPr>
              <w:t xml:space="preserve">NYSE American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Entry into a Material Definitive Agreement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Ocean Power Technologies, Inc. (the “Company”) entered into an at the market offering agreement with H.C. Wainwright &amp; Co., LLC (“Wainwright”), pursuant to which the Company may offer and sell shares of its common stock, par value $0.001 per share (the “Common Stock”), having an aggregate offering price of up to $20,000,000 (the “Shares”), to or through Wainwright, as sales agent (the “Sales Agreement”), from time to time, in an “at the market offering” (as defined in Rule 415(a)(4) under the Securities Act of 1933, as amended) of the Shares (the “ATM Offering”).</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may be sold in the ATM Offering by any method deemed to be an “at the market offering.” Under the Sales Agreement, Wainwright will also be able to sell shares of Common Stock by any other method permitted by law, including sales made directly on or through NYSE American, the existing trading market for our common stock, or any other existing trading market in the United States for our common stock, sales made to or through a market maker other than on an exchange or otherwise, directly to the Sales Agent as principal, in negotiated transactions at market prices prevailing at the time of sale or at prices related to such prevailing market prices. Upon delivery of a placement notice and subject to the terms and conditions of the Sales Agreement, Wainwright is required to use its commercially reasonable efforts consistent with its normal trading and sales practices, applicable state and federal law, rules and regulations, and the rules of the NYSE American to sell the Shares from time to time based upon the Company’s instructions, including any price, time or size limits specified by the Company. Wainwright is not under any obligation to purchase any of the Shares on a principal basis pursuant to the Sales Agreement, except as otherwise agreed by Wainwright and the Company in writing and expressly set forth in a separate terms agreement. Wainwright’s obligations to sell the Shares under the Sales Agreement are subject to satisfaction of a number of certain conditions that we must meet. The Company is not obligated to make any sales of Shares under the Sales Agreement and any determination by the Company to do so will be dependent, among other things, on market conditions and the Company’s capital raising needs.</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Wainwright commissions for its services in acting as its sales agent in the sale of the Shares pursuant to the Sales Agreement. Wainwright is entitled to compensation at a commission rate of 3.00% of the aggregate gross proceeds from the sale of the Shares on the Company’s behalf pursuant to the Sales Agreement. The Sales Agreement contains representations, warranties and covenants that are customary for transactions of this type. In addition, the Company has provided Wainwright with customary indemnification and contribution rights. The Company has also agreed to reimburse Wainwright for certain specified expenses, including the expenses of counsel to Wainwright in an amount not to exceed $50,000, in addition to fees for periodic diligence updates. The offering of the Shares pursuant to the Sales Agreement will terminate upon the termination of the Sales Agreement by Wainwright or the Company, as permitted therein.</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the Company’s effective shelf registration statement on Form S-3 (File No. 333-275843), filed with the Securities and Exchange Commission (the “SEC”) on December 1, 2023, and declared effective by the SEC on December 12, 2023. The Company filed a prospectus supplement, dated July 27, 2026, with the SEC in connection with the offer and sale of the Shares pursuant to the Sales Agreement.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qualified in its entirety by reference to the full text of the Sales Agreement, which is attached hereto as Exhibit 10.1 and is incorporated herein in its entirety by reference. A copy of the legal opinion and consent of Porter Hedges LLP relating to the Shares being offered is attached hereto as Exhibit 5.1.</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70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Porter Hedges LLP.</w:t>
              </w:r>
            </w:hyperlink>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05"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At The Market Offering Agreement, dated July 27, 2026, by and between Ocean Power Technologies, Inc. and H.C. Wainwright &amp; Co., LLC.</w:t>
              </w:r>
            </w:hyperlink>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70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Porter Hedges LLP (included in Exhibit 5.1).</w:t>
              </w:r>
            </w:hyperlink>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730"/>
        <w:gridCol w:w="60"/>
        <w:gridCol w:w="363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OCEAN POWER TECHNOLOGIES, INC.</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27, 2026</w:t>
            </w:r>
          </w:p>
        </w:tc>
        <w:tc>
          <w:tcPr>
            <w:tcW w:w="60" w:type="dxa"/>
            <w:tcBorders/>
            <w:vAlign w:val="center"/>
          </w:tcPr>
          <w:p>
            <w:pPr>
              <w:pStyle w:val="TableContents"/>
              <w:bidi w:val="0"/>
              <w:spacing w:before="0" w:after="283"/>
              <w:jc w:val="left"/>
              <w:rPr/>
            </w:pPr>
            <w:r>
              <w:rPr/>
              <w:t> </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Philipp Stratmann</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Chief Executive Officer</w:t>
            </w:r>
          </w:p>
        </w:tc>
      </w:tr>
    </w:tbl>
    <w:p>
      <w:pPr>
        <w:pStyle w:val="TextBody"/>
        <w:bidi w:val="0"/>
        <w:spacing w:before="0" w:after="0"/>
        <w:ind w:left="50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5-1.htm"/>
      <w:bookmarkStart w:id="27" w:name="ksex5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3735"/>
        <w:gridCol w:w="60"/>
        <w:gridCol w:w="2390"/>
      </w:tblGrid>
      <w:tr>
        <w:trPr/>
        <w:tc>
          <w:tcPr>
            <w:tcW w:w="373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622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361950"/>
                          </a:xfrm>
                          <a:prstGeom prst="rect">
                            <a:avLst/>
                          </a:prstGeom>
                        </pic:spPr>
                      </pic:pic>
                    </a:graphicData>
                  </a:graphic>
                </wp:inline>
              </w:drawing>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36th Floor</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{713} 226-6000</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Telecopier {713} 228-1331</w:t>
            </w:r>
          </w:p>
          <w:p>
            <w:pPr>
              <w:pStyle w:val="TableContents"/>
              <w:bidi w:val="0"/>
              <w:spacing w:before="0" w:after="0"/>
              <w:ind w:left="137"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porterhedges.com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014660/0011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Power Technologies, Inc.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Engelhard Drive, Suite B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Ocean Power Technologies,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for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prospectus supplement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related to the Company’s shelf registration statement on Form S-3 (Registration No. 333-275843)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The Prospectus Supplement relates to the issuance by the Company of up to $20,000,000 of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pursuant to the terms of an At The Market Offering Agreement dated July 27, 2026 between the Company and H.C. Wainwright &amp; Co., LLC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Capitalized terms used but not defined herein have the meanings given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opinions we express below, we have examined the originals or copies, certified or otherwise identified, of: (i) the Certificate of Incorporation and Amended and Restated Bylaws, each as amended to date, of the Company; (ii) the Registration Statement; (iii) the Prospectus Supplement; and (iv)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exceptions and qualifications set forth herein, we are of the opinion that, when (i) the Prospectus Supplement has been delivered and filed as required by such laws; (ii) the board of directors of the Company has taken all necessary corporate action to authorize the issuance of the Shares and related matters; and (iii) the certificates for the Shares have been duly executed by the Company, countersigned by the transfer agent therefor and duly delivered against payment therefor in accordance with the Agreement, then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federal securities laws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Company’s Current Report on Form 8-K. We also consent to the references to our Firm under the heading “Legal Matters” in the Prospectus Supplement. In giving this consent, we do not hereby admit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Porter Hedges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8" w:name="ex10-1.htm"/>
      <w:bookmarkStart w:id="29" w:name="ksex10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 $0.001 per share)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Market Issuance Sales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H.C. Wainwright &amp; Co., LLC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7"/>
        <w:gridCol w:w="100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the Agent, shares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shall the Company issue or sell through the Agent such number of Placement Shares that (a) exceeds the dollar amount of shares of Common Stock registered on the effective Registration Statement (as defined below) pursuant to which the offering is being made, or (b) exceeds the number of shares or dollar amount registered on the Prospectus (as defined below), or (c) exceeds the number of authorized but unissued shares of Common Stock or (d) exceeds the number or dollar amount of shares of Common Stock that would cause the Company or the offering of the Placement Shares to not satisfy the eligibility and transaction requirements for use of Form S-3, including, if applicable, General Instruction I.B.6 of Registration Statement on Form S-3 (the lesser of (a), (b), (c) and (d),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or dollar amount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(as defined below), although nothing in this Agreement shall be construed as requiring the Company to use the Registration Statement to issue any Placement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this Agreement, the Company has filed, or will file,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S-3 (File No. 333-275843) (the “</w:t>
      </w:r>
      <w:r>
        <w:rPr>
          <w:rFonts w:ascii="Times New Roman;Times;Serif" w:hAnsi="Times New Roman;Times;Serif"/>
          <w:b w:val="false"/>
          <w:i w:val="false"/>
          <w:caps w:val="false"/>
          <w:smallCaps w:val="false"/>
          <w:sz w:val="20"/>
          <w:u w:val="single"/>
        </w:rPr>
        <w:t>Current Registration Statement</w:t>
      </w:r>
      <w:r>
        <w:rPr>
          <w:rFonts w:ascii="Times New Roman;Times;Serif" w:hAnsi="Times New Roman;Times;Serif"/>
          <w:b w:val="false"/>
          <w:i w:val="false"/>
          <w:caps w:val="false"/>
          <w:smallCaps w:val="false"/>
          <w:sz w:val="20"/>
        </w:rPr>
        <w:t>”), including a base prospectus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thereunder. The Company has prepared a prospectus or a prospectus supplement to the Base Prospectus included as part of the Current Registration Statement, which prospectus or prospectus supplement relates to the Placement Shares to be issued from time to time by the Company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Company will furnish to the Agent, for use by such Agent, copies of the Base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or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to cover any securities registered pursuant the Registration Statement, including any Placement Shares, as a result of the end of the three-year period described in Rule 415(a)(5) of the Securities Act,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or base prospectuses with respect to the Placement Shares,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(defined below),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Prospectus or any amendment or supplement thereto shall be deemed to refer to and include the documents incorporated or deemed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7"/>
        <w:gridCol w:w="100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email notice (or other method mutually agreed to in writing by the parties) of the number of Placement Shares to be sold, the time period during which sales are requested to be made, any limitation on the number of Placement Shares that may be sold in any one day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amended from time to time. Provided that the Company is otherwise in compliance with the terms of this Agreement, the Placement Notice shall be effective immediately upon receipt by the Agent unless and until (i) the Agent declines to accept the terms contained therein for any reason, in its sole discretion, (ii) the entire amount of the Placement Shares thereunder has been sold, (iii) the Company suspends or terminates the Placement Notice, or (iv)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of this Agreement and the terms of a Placement Notice, the terms of the Placement Notice will control.</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for the period specified in a Placement Notice, the Agent will use its commercially reasonable efforts consistent with its normal trading and sales practices and applicable state and federal laws, rules and regulations and the rules of the NYSE American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from the gross proceeds that it receives from such sales. Subject to the terms of a Placement Notice, the Agent agrees that all sales of the Placement Shares by the Agent will be made only by methods permitted by law and deemed to be an “at the market offering” as defined in Rule 415(a)(4) of the Securities Act. Subject to the terms of a Placement Notice, the Agent may also sell Placement Shares by any other method permitted by law, including but not limited to privately negotiated transactions or sales made directly on or through the Exchange, or any other existing trading market for the Common Stock, in negotiated transactions at market prices prevailing at the time of sale or at prices related to such prevailing market prices and/or any other method permitted by law with the Company’s consent. The Company or the Agent may, upon notice to the other party hereto by telephone (confirmed promptly by electronic mail), suspend the offering of the Placement Shares for any reason and at any time, provided that such suspension shall not affect or impair the parties’ respective obligations with respect to the Placement Shares sold hereunder prior to the giving of such notice.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Common Stock is purchased and sold on the Exchange.</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time as the Agent is actively offering Placement Shares pursuant to this Agreement, the Agent shall not for its own account engage in (i) any short sale of any security of the Company, (ii) any sale of any security of the Company that the Agent does not own for the account of the Agent or any sale which is consummated by the delivery of a security of the Company borrowed by, or for the account of, the Agent, or (iii) any market making, bidding, purchasing, stabilization or other trading activity with regard to the Common Stock or related derivative securities, or attempting to induce another person to do any of the foregoing, if such activity would be prohibited under Regulation M or other anti-manipulation rules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suspend any sale of Placement Shares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and acknowledged in accordance with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as such Schedule may be amended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and the rules of the Exchange to sell such Placement Shares as required under this Agreement and (iii) the Agent shall be under no obligation to purchase Placement Shares on a principal basis pursuant to this Agreement, except as otherwise agreed by the Agent and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(or any shorter settlement cycle as may be in effect pursuant to Rule 15c6-1 under the Exchange Act)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Agent, after deduction for (i) the Agent’s commission, discount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and (ii) any transaction fees imposed by any governmental or self-regulatory organization in respect of such 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Agent’s or its designee’s account (provided that the Agent shall have given the Company written notice of such designee at least one Trading Day prior to the Settlement Date) at The Depository Trust Company through its Deposit and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then in addition to and in no way limiting the rights and obligations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Shares if, after giving effect to the sale of such Placement Shares, the gross sales proceeds or aggregate number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Sales Through Agent</w:t>
            </w:r>
            <w:r>
              <w:rPr>
                <w:rFonts w:ascii="Times New Roman;Times;Serif" w:hAnsi="Times New Roman;Times;Serif"/>
                <w:b w:val="false"/>
                <w:i w:val="false"/>
                <w:caps w:val="false"/>
                <w:smallCaps w:val="false"/>
                <w:sz w:val="20"/>
              </w:rPr>
              <w:t>. The Company agrees that any offer to sell, any solicitation of an offer to buy, or any sales of Common Stock or any other equity security of the Company shall only be effected by or through the Agent, and only the Agent, on any single given date; provided however that (i) the foregoing limitation shall not apply to (A) exercise of any option, warrant, right or any conversion privilege set forth in the instruction governing such securities or (B) sales solely to employees, directors, consultants or security holders of the Company or its Subsidiaries, or to a trustee or other person acquiring such securities for the accounts of such person and (ii) such limitation shall not apply (A) on any day during which no sales are made pursuant to this Agreement or (B) during a period in which the Company has notified the Agent that it will not sell Common Stock under this Agreement and (1) no Placement Notice is pending or (2) after a Placement Notice has been withdrawn.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or except as specifically disclosed in a subsequent SEC Report (but excluding any disclosures of risks set forth under the heading “Risk Factors,” disclosures of risks set forth in any “forward-looking statements” disclaimer or in any other statements that are similarly cautionary or predictive in nature), the Company represents and warrants to, and agrees with the Agent that as of the date of this Agreement and as of each Applicable Time (as defined below), unless such representation, warranty or agreement specifies a different date or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applicable conditions for the use of Form S-3 under the Securities Act. The Registration Statement has been filed, or will be filed, with the Commission, and (i) as of the date of this Agreement, the Company has no reason to believe that it shall not be declared effective under the Securities Act, or (ii) as of any Applicable Time after the date of this Agreement, has been declared effective under the Securities Act. The Prospectus Supplement names H.C. Wainwright &amp; Co., LLC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at the time it becomes effective, and as of each Applicable Time, if any, will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(once effective) and the Prospectus and any Issuer Free Writing Prospectus (as defined below) to which the Agent has consented, any such consent not to be unreasonably withheld, conditioned or delayed. The Common Stock is currently listed on the Exchange under the trading symbol “OPTT.” The Company has not received notice from the Exchange to the effect that the Company is not in compliance with the listing or maintenance requirements of the Exchange. The Company has no reason to believe that it will not in the foreseeable future continue to be in compliance with all such listing and maintenance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the Agent’s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 No stop order suspending the effectiveness of the Registration Statement, or the use of the Prospectus has been issued, and no proceeding for any such purpose is pending or has been initiated or, to the Company’s knowledge, is threatened by the Commission. For purposes of this Agreement,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None of the Subsidiaries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is a “significant subsidiary” as defined in Rule 1-02(w) of Regulation S-X promulgated under the Securities Act. If the Company has no “significant subsidiaries”, all other references, except as set forth in this Section 6(d), to the Subsidiaries or any of them in this Agreement shall be disregarded. No Subsidiary owns any material assets or incurs any material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and no proceeding has been instituted in any such jurisdiction revoking, limiting or curtailing or seeking to revoke, limit or curtail such power and authority or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of directors or the Company’s stockholders in connection herewith or therewith other than in connection with the Required Approvals (as defined below). This Agreement and each other Incorporated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Except as set forth in the SEC Reports (as defined below), the Registration Statement or the Prospectus, the execution, delivery and performance by the Company of this Agreement, the issuance and sale of the Placement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in connection with the execution, delivery and performance by the Company of this Agreement, other than such as have been obtained or made by the Company and are in full force and effect under the Securities Act and such as may be required under applicable state securities or blue sky laws, FINRA or the Trading Market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Placement Shares</w:t>
            </w:r>
            <w:r>
              <w:rPr>
                <w:rFonts w:ascii="Times New Roman;Times;Serif" w:hAnsi="Times New Roman;Times;Serif"/>
                <w:b w:val="false"/>
                <w:i w:val="false"/>
                <w:caps w:val="false"/>
                <w:smallCaps w:val="false"/>
                <w:sz w:val="20"/>
              </w:rPr>
              <w:t>. The Placement Shares are duly authorized and, when issued and paid for in accordance with this Agreement, will be duly and validly issued, fully paid and nonassessable, free and clear of all Liens imposed by the Company. The holders of the Placement Shares will not be subject to personal liability by reason of being such holders. The Placement Shares are not and will not be subject to the preemptive rights of any holders of any security of the Company or similar contractual rights granted by the Company. All corporate action required to be taken for the authorization, issuance and sale of the Placement Shares has been duly and validly taken. The Placement Shares conform in all material respects to all statements with respect thereto contained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is as set forth in the SEC Reports. Except as set forth in the SEC Reports, the Company has not issued any capital stock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outstanding as of such date. No Person has any right of first refusal, preemptive right, right of participation, or any similar right to participate in the transactions contemplated by this Agreement, except for such rights as have been waived. Except as a result of the purchase and sale of the Placement Shares and as otherwise set forth in the Registration Statement and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Except as set forth in the Registration Statement and Prospectus, the issuance and sale of the Placement Shares will not obligate the Company to issue shares of Common Stock or other securities to any Person. Except as set forth in the SEC Reports, the Registration Statement or the Prospectus,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No further approval or authorization of any stockholder, the board of directors or others is required for the issuance and sale of the Placement Shares. Except as set forth in the Registration Statement and the SEC Reports, there are no stockholders agreements, voting agreements or other similar agreements with respect to the Company’s capital stock to which the Company is a party or, to the knowledge of the Company, between or among any of the Company’s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preceding two years (or such shorter period as the Company was required by law or regulation to file such material) (the foregoing materials, including the exhibits thereto and documents incorporated by reference therein, together with the Prospectus and any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except as could not have or reasonably be expected to result in a Material Adverse Effect.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Prospectus, any Prospectus Supplement and the SEC Reports conform to the descriptions thereof contained therein and there are no agreements or other documents required by the Securities Act and the rules and regulations thereunder to be described in the Registration Statement, the Prospectus, any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Prospectus,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specifically disclosed in a subsequent SEC Report,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Placement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Unless otherwise disclosed in an SEC Report, the Company has not: (i) issued any securities or incurred any liability or obligation, direct or contingent, for borrowed money; or (ii) declared or paid any dividend or made any other distribution on or in respect of its capital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specifically disclosed in a subsequent SEC Report,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Agreement or the issuance of the Placement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licenses, certificates, authorizations, registrations and permits issued by, and have made all declarations and filings with, the appropriate federal, state, local or foreign governmental or regulatory authorities that are necessary to conduct their respective businesses as described in the SEC Reports, except where the failure to possess such permits could not reasonably be expected to result in a Material Adverse Effect (each, a “</w:t>
            </w:r>
            <w:r>
              <w:rPr>
                <w:rFonts w:ascii="Times New Roman;Times;Serif" w:hAnsi="Times New Roman;Times;Serif"/>
                <w:b w:val="false"/>
                <w:i w:val="false"/>
                <w:caps w:val="false"/>
                <w:smallCaps w:val="false"/>
                <w:sz w:val="20"/>
                <w:u w:val="single"/>
              </w:rPr>
              <w:t>Material Permit</w:t>
            </w:r>
            <w:r>
              <w:rPr>
                <w:rFonts w:ascii="Times New Roman;Times;Serif" w:hAnsi="Times New Roman;Times;Serif"/>
                <w:b w:val="false"/>
                <w:i w:val="false"/>
                <w:caps w:val="false"/>
                <w:smallCaps w:val="false"/>
                <w:sz w:val="20"/>
              </w:rPr>
              <w:t>”), and neither the Company nor any Subsidiary has received any notice of proceedings relating to the revocation, suspension, modification, invalidation or termination of any Material Permit. The disclosures in the Registration Statement concerning the effects of Federal, State, local and all foreign regulation on the Company’s business as currently contemplated are correct in all material respects.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do so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For clarity and avoidance of doubt, an application that is abandoned in favor of a continuation or divisional application pursuing the same of similar subject matter as the parent application shall not be considered an abandonment or termination of Intellectual Property Rights.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is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Applicable Time. Except as set forth in the Registration Statement and Prospectus,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Registration Statement and Prospectus,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are reasonably likely to materially affect, the internal control over financial reporting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no brokerage or finder’s fees or commissions are or will be payable by the Company, or any Subsidiary or Affiliate of the Company to any broker, financial advisor or consultant, finder, placement agent, investment banker, bank or other Person with respect to the transactions contemplated by this Agreement. There are no other arrangements, agreements or understandings of the Company or, to the Company’s knowledge, any of its stockholders that may affect the Agent’s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None of the net proceeds of the Placement Shares will be paid by the Company to any participating FINRA member or its affiliates, except as specifically authorized herein.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affairs in such a manner so as to reasonably ensure that it will not be or become, at any time prior to the termination of this Agreement, an “investment company,” as such term is defined in the Investment Company Act of 1940,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Reports, no Person has any right to cause the Company to effect the registration under the Securities Act of any securities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Registration Statement or the Prospectus,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Registration Statement or the Prospectus, the Company is, and has no reason to believe that it will not in the foreseeable future continue to be, in compliance with all such listing and maintenance requirements. The Common Stock is currently eligible for electronic transfer through DTC or another established clearing corporation and the Company is current in payment of the fees of DTC (or such other established clearing corporation) in connection with such electronic transfer.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Agent and the Company fulfilling their obligations or exercising their rights under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10b-5</w:t>
            </w:r>
            <w:r>
              <w:rPr>
                <w:rFonts w:ascii="Times New Roman;Times;Serif" w:hAnsi="Times New Roman;Times;Serif"/>
                <w:b w:val="false"/>
                <w:i w:val="false"/>
                <w:caps w:val="false"/>
                <w:smallCaps w:val="false"/>
                <w:sz w:val="20"/>
              </w:rPr>
              <w:t>. The Registration Statement (and any further documents to be filed with the Commission) contains all exhibits and schedules as required by the Securities Act. Each of the Registration Statement and any post-effective amendment thereto, if any, at the time it became effective, including any information deemed to be a part thereof at the time of effectiveness pursuant to Rule 430A under the Securities Act,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as of its respective date, complies in all material respects with the Securities Act and the Exchange Act and the applicable rules and regulations. The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The SEC Reports incorporated by reference in the Prospectus, if any, when they were filed with the Commission, conformed in all material respects to the requirements of the Exchange Act and the applicable rules and regulations, and none of such documents, if any,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Prospectus, if any,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Prospectus, or to be filed as exhibits or schedules to the Registration Statement, which have not been described or filed as required.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Placement Shares to be integrated with prior offerings by the Company for purposes of any applicable shareholder approval provisions of any Trading Market on which any of the securities of the Company are listed or designated.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Applicable Time, after giving effect to the receipt by the Company of the proceeds from the sale of the Placement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date hereof. The SEC Reports set forth all outstanding secured and unsecured Indebtedness of the Company or any Subsidiary, or for which the Company or any Subsidiary has commitments.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The Company has taken reasonable steps to ensure that its accounting controls and procedures are sufficient to cause the Company to comply in all material respects with the FCPA.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To the knowledge and belief of the Company, the Company Auditor is an independent registered public accounting firm as required by the Exchange Act. The Company Auditor has not, during the periods covered by the financial statements included in the Prospectus, provided to the Company any non-audit services, as such term is used in Section 10A(g) of the Exchange Act. “</w:t>
            </w:r>
            <w:r>
              <w:rPr>
                <w:rFonts w:ascii="Times New Roman;Times;Serif" w:hAnsi="Times New Roman;Times;Serif"/>
                <w:b w:val="false"/>
                <w:i w:val="false"/>
                <w:caps w:val="false"/>
                <w:smallCaps w:val="false"/>
                <w:sz w:val="20"/>
                <w:u w:val="single"/>
              </w:rPr>
              <w:t>Company Auditor</w:t>
            </w:r>
            <w:r>
              <w:rPr>
                <w:rFonts w:ascii="Times New Roman;Times;Serif" w:hAnsi="Times New Roman;Times;Serif"/>
                <w:b w:val="false"/>
                <w:i w:val="false"/>
                <w:caps w:val="false"/>
                <w:smallCaps w:val="false"/>
                <w:sz w:val="20"/>
              </w:rPr>
              <w:t>” means Baker Tilly US, LLP, with offices located at 14555 Dallas Parkway, Suite 300, Dallas, Texas 75254.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the Agent’s request.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5"/>
        <w:gridCol w:w="97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9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97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9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FINRA Affiliation</w:t>
            </w:r>
            <w:r>
              <w:rPr>
                <w:rFonts w:ascii="Times New Roman;Times;Serif" w:hAnsi="Times New Roman;Times;Serif"/>
                <w:b w:val="false"/>
                <w:i w:val="false"/>
                <w:caps w:val="false"/>
                <w:smallCaps w:val="false"/>
                <w:sz w:val="20"/>
              </w:rPr>
              <w:t>. To its knowledge,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Agent and counsel for the Agent if it learns that any officer, director or owner of 5% or more of the Company’s outstanding shares of Common Stock or Common Stock Equivalents is or becomes an affiliate or associated person of a FINRA member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97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9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of directors is comprised of the persons set forth in the SEC Reports.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97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r>
          </w:p>
        </w:tc>
        <w:tc>
          <w:tcPr>
            <w:tcW w:w="9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Privacy Laws; Cybersecurity</w:t>
            </w:r>
            <w:r>
              <w:rPr>
                <w:rFonts w:ascii="Times New Roman;Times;Serif" w:hAnsi="Times New Roman;Times;Serif"/>
                <w:b w:val="false"/>
                <w:i w:val="false"/>
                <w:caps w:val="false"/>
                <w:smallCaps w:val="false"/>
                <w:sz w:val="20"/>
              </w:rPr>
              <w:t>. Except as would not reasonably be expected to have a Material Adverse Effect, the Company (i) has operated its business in a manner compliant with all United States federal, state, and local, and non-United States, privacy, data security, and data protection laws and regulations applicable to the Company’s collection, use, transfer, protection, disposal, disclosure, handling, storage, and analysis of data that is defined as “personal data” under applicable law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(ii) has been and is in compliance with its internal policies and procedures designed to ensure the integrity and security of the Personal Data collected, handled or stored by the Company in connection with its business, (iii) has been and is in compliance with its internal policies and procedures designed to ensure compliance with, to the extent applicable to the Company, health care laws that govern privacy and data security and takes, and has taken, reasonably appropriate steps designed to assure its compliance with such policies and procedures. Except as would not reasonably be expected to have a Material Adverse Effect, the Company has taken reasonable steps to maintain the confidentiality of its Personal Data, protected health information, consumer information, and other confidential information of the Company and any third parties in the possession and control of the Company (“</w:t>
            </w:r>
            <w:r>
              <w:rPr>
                <w:rFonts w:ascii="Times New Roman;Times;Serif" w:hAnsi="Times New Roman;Times;Serif"/>
                <w:b w:val="false"/>
                <w:i w:val="false"/>
                <w:caps w:val="false"/>
                <w:smallCaps w:val="false"/>
                <w:sz w:val="20"/>
                <w:u w:val="single"/>
              </w:rPr>
              <w:t>Sensitive Company Data</w:t>
            </w:r>
            <w:r>
              <w:rPr>
                <w:rFonts w:ascii="Times New Roman;Times;Serif" w:hAnsi="Times New Roman;Times;Serif"/>
                <w:b w:val="false"/>
                <w:i w:val="false"/>
                <w:caps w:val="false"/>
                <w:smallCaps w:val="false"/>
                <w:sz w:val="20"/>
              </w:rPr>
              <w:t>”). Except as would not reasonably be expected to have a Material Adverse Effect, the Company’s tangible or digital information technology systems (including computers, screens, servers, workstations, routers, hubs, switches, networks, data communications lines, technical data and hardware), software, websites, applications and telecommunications systems (the “</w:t>
            </w:r>
            <w:r>
              <w:rPr>
                <w:rFonts w:ascii="Times New Roman;Times;Serif" w:hAnsi="Times New Roman;Times;Serif"/>
                <w:b w:val="false"/>
                <w:i w:val="false"/>
                <w:caps w:val="false"/>
                <w:smallCaps w:val="false"/>
                <w:sz w:val="20"/>
                <w:u w:val="single"/>
              </w:rPr>
              <w:t>Company IT Assets</w:t>
            </w:r>
            <w:r>
              <w:rPr>
                <w:rFonts w:ascii="Times New Roman;Times;Serif" w:hAnsi="Times New Roman;Times;Serif"/>
                <w:b w:val="false"/>
                <w:i w:val="false"/>
                <w:caps w:val="false"/>
                <w:smallCaps w:val="false"/>
                <w:sz w:val="20"/>
              </w:rPr>
              <w:t>”) are adequate in capacity and operation for, in accordance with their documentation and functional specifications, the business of the Company as now operated as described in the Registration Statement and the Prospectus, free and clear of all Trojan horses, time bombs, malware, and other bugs, errors, or defects that, in each case, create material risk of a security breach with respect to such Company IT Assets or Sensitive Company Data processed thereon. Except as would not reasonably be expected to have a Material Adverse Effect, the Company has used reasonable efforts to establish, and has established, commercially reasonable disaster recovery and security plans, procedures and facilities for the business of the Company consistent with industry standards and practices, including, without limitation, for the Company IT Assets and Sensitive Company Data held or used by the Company. Except as would not reasonably be expected to have a Material Adverse Effect, (i) to the Company’s knowledge, the Company has not suffered or incurred any security breaches, compromises or incidents with respect to any Company IT Asset or Sensitive Company Data and (ii) to the Company’s knowledge, there has been no unauthorized or illegal use of, or access to, any Company IT Asset or Sensitive Company Data by any unauthorized third party. Except as would not reasonably be expected to have a Material Adverse Effect, to the Company’s knowledge, the Company has not been required to notify any individual of any information security breach, compromise or incident involving Sensitive Company Data.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Consents and Permits</w:t>
            </w:r>
            <w:r>
              <w:rPr>
                <w:rFonts w:ascii="Times New Roman;Times;Serif" w:hAnsi="Times New Roman;Times;Serif"/>
                <w:b w:val="false"/>
                <w:i w:val="false"/>
                <w:caps w:val="false"/>
                <w:smallCaps w:val="false"/>
                <w:sz w:val="20"/>
              </w:rPr>
              <w:t>. The Company and the Subsidiaries have made all filings, applications and submissions required by, and possess and are operating in compliance in all material respects with all approvals, licenses, certificates, certifications, clearances, consents, grants, exemptions, marks, notifications, orders, permits and other authorizations issued by, the appropriate federal, state or foreign Governmental Authority necessary for the ownership or lease of their respective properties or to conduct their businesses as described in the Registration Statement or the Prospectus (collectively,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for such Permits the failure of which to possess, obtain or file would not reasonably be expected to have, individually or in the aggregate, a Material Adverse Effect; the Company and the Subsidiaries are in compliance with the terms and conditions of all such Permits, except where the failure to be in compliance would not reasonably be expected to have, individually or in the aggregate, a Material Adverse Effect; all of the Permits are valid and in full force and effect, except where any invalidity would not reasonably be expected to have, individually or in the aggregate, a Material Adverse Effect; and neither the Company nor any of the Subsidiaries has received any notice relating to the limitation, revocation, cancellation, suspension, modification or non-renewal of any such Permit which, if the subject of an unfavorable decision, ruling or finding, would reasonably be expected to have, individually or in the aggregate, a Material Adverse Effect, or has any reason to believe that any such license, certificate, permit or authorization will not be renewed in the ordinary course. The Company and each Subsidiary possess such valid and current certificates, authorizations or permits issued by the appropriate state, federal or foreign regulatory agencies or bodies necessary to conduct their respective businesses, and neither the Company nor any Subsidiary has received, or has any reason to believe that it will receive, any notice of proceedings relating to the revocation or modification of, or non-compliance with, any such certificate, authorization or permit which, if the subject of an unfavorable decision, ruling or finding, would reasonably be expected to have, individually or in the aggregate, a Material Adverse Effect. The Company has not applied for “approved enterprise”, “benefited enterprise” or “preferred enterprise” status with respect to any of the Company’s facilities or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Neither the Company nor any of the Subsidiaries has failed to file with the applicable Governmental Authority any required filing, declaration, listing, registration, report or submission, except for such failures that would not reasonably be expected to have, individually or in the aggregate, a Material Adverse Effect. All such filings, declarations, listings, registrations, reports or submissions were in substantial compliance with applicable Laws when filed and no deficiencies have been asserted by any applicable regulatory authority with respect to any such filings, declarations, listings, registrations, reports or submissions, except for any deficiencies that would not reasonably be expected to have, individually or in the aggregate,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(other than an Incorporated Document) unless a copy thereof has been submitted to the Agent within a reasonable period of time before the filing and the Agent has not reasonably objected thereto within two (2) Business Days (as defined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provided;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reasonable best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the Prospectus Delivery Period, the Company will use its commercially reasonable efforts to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the filing of any amendment or supplement, if in the judgment of the Company, it is in the best interest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the Prospectus Delivery Period, the Company will use its reasonable best efforts to cause the Placement Shares to be listed on the Exchange and to qualify the Placement Shares for sale under the securities laws of such jurisdictions in the United States as the Agent reasonably designates and to continue such qualifications in effect so long as required for the distribution of the Placement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or file a general consent to service of process in any jurisdiction. The Company will reserve, from its duly authorized capital stock the maximum number of shares of Common Stock issuable pursuant to this Agreement based on the assumed price per share in the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the Agent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restrictions will not be required in connection with the Company’s issuance or sale of (i) Common Stock, restricted stock units, options to purchase Common Stock or Common Stock issuable upon the exercise of options or conversion of restricted stock units pursuant to any employee or director stock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(iii) Common Stock, or securities convertible into or exercisable for Common Stock, offered and sold in a privately negotiated transaction to vendors, customers, strategic partners or potential strategic partners or other investors conducted in a manner so as not to be integrated with the offering of Common Stock hereby; and (iv) Common Stock in connection with any acquisition, strategic investment or other similar transaction (including any joint venture, strategic alliance or partnership).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To the extent that the filing of a prospectus supplement with the Commission with respect to a placement of Placement Shares becomes required under Rule 424(b) under the Securities Act,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provided that the Company may satisfy its obligations under this Section 7(k) by making a filing in accordance with the Exchange Act including such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Each time during the term of this Agreement that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an annual report on Form 10-K under the Exchange Act (including any Form 10-K/A containing amended financial information or a material amendment to the previously filed Form 10-K);</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its quarterly reports on Form 10-Q under the Exchange Act;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8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the Agent (but in the case of clause (iv) above only if the Agent reasonably determines that the information contained in such Form 8-K is material)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The requirement to provide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the Agent sells any Placement Shares, the Company shall provide the Agent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On or prior to the date of the first Placement Notice given hereunder, the Company shall cause to be furnished to the Agent a legal opinion and a negative assurance letter of Porter Hedges LLP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or other counsel reasonably satisfactory to the Agent, in form and substance reasonably satisfactory to the Agent. Thereafter, within five (5) Trading Days of each Representation Date with respect to which the Company is obligated to deliver a certificate in substantially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for which no waiver is applicable, and not more than once per calendar quarter, the Company shall cause to be furnished to the Agent written opinion and a negative assurance letter of Company Counsel in form and substance previously agreed, modified, as necessary, to relate to the Registration Statement and the Prospectus as then amended or supplemented;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lieu of such opinion and negative assurance for subsequent periodic filings under the Exchange Act, Company Counsel may furnish the Agent with a Reliance Letter to the effect that the Agent may rely on the opinions and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of the first Placement Notice given hereunder and within five (5) Trading Days after each subsequent Representation Date, other than pursuant to </w:t>
            </w:r>
            <w:r>
              <w:rPr>
                <w:rFonts w:ascii="Times New Roman;Times;Serif" w:hAnsi="Times New Roman;Times;Serif"/>
                <w:b w:val="false"/>
                <w:i w:val="false"/>
                <w:caps w:val="false"/>
                <w:smallCaps w:val="false"/>
                <w:sz w:val="20"/>
                <w:u w:val="single"/>
              </w:rPr>
              <w:t>Section 7(l)(iii)</w:t>
            </w:r>
            <w:r>
              <w:rPr>
                <w:rFonts w:ascii="Times New Roman;Times;Serif" w:hAnsi="Times New Roman;Times;Serif"/>
                <w:b w:val="false"/>
                <w:i w:val="false"/>
                <w:caps w:val="false"/>
                <w:smallCaps w:val="false"/>
                <w:sz w:val="20"/>
              </w:rPr>
              <w:t>, the Company shall cause its independent accountant to furnish the Agent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provided, that if requested by the Agent, the Company shall cause a Comfort Letter to be furnished to the Agent within five (5) Trading Days of such request following the date of occurrence of any restatement of the Company’s financial statements. The Comfort Letter from the Company’s independent accountants shall be in a form and substance reasonably satisfactory to the Agent, (i) confirming that they are an independent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In addition, on or prior to the date of the first Placement Notice given hereunder and within five (5) Trading Days after each subsequent Representation Date, the Company shall cause its Chief Financial Officer to furnish the Agent a certificate of its Chief Financial Officer in form and substance satisfactory to the Agent.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it will not be or become, at any time prior to the termination of this Agreement, an “investment company,” as such term is defined in the Investment Company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xml:space="preserve">. Other than an Issuer Free Writing Prospectus approved in advance by the Company and the Agent in their capacity as agent hereunder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of the Agent nor the Company (including its agents and representatives, other than the Agent in their capacity as such) will make, use, prepare, authorize, approve or refer to any written communication (as defined in Rule 405), required to be filed with the Commission, that constitutes an offer to sell or solicitation of an offer to buy Placement Shares hereunder.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use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them by others within those entities, particularly during the period in which such periodic reports are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The Agent shall comply with all applicable law and regulations, including but not limited to Regulation M, in connection with the transactions contemplated by this Agreement, including the issuance and sale through the Agent of the Placement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 shall deem reasonably necessary, (ii) the printing and delivery to the Agent of this Agreement and such other documents as may be reasonably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disbursements of counsel to the Agent of: (1) up to $50,000 payable upon execution of this Agreement, (2) up to $25,000 for any program “refresh” executed pursuant to this Agreement (which shall mean the filing of a new registration statement, prospectus or prospectus supplement relating to the Placement Shares and/or an amendment of this Agreement), and (3) up to $3,500 for each calendar quarter for expenses associated with ongoing due diligence; provided no such payment shall be required in any calendar quarter in which amounts pursuant to subsection (v)(2) of this Section 9 have been paid by the Company;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(other than those representations and warranties made as of a specific date or time), to the due performance in all material respects by the Company of its obligations hereunder, to the completion by the Agent of a due diligence review satisfactory to it in its reasonable judgment, and to the continuing reasonable satisfaction (or waiver the Agent in its sole discretion) of the following additional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have become effective and shall be available for the sale of all Placement Shares contemplated to be issued by any Placement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which have not, as of the time of such Placement, been so made;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which changes shall not as of the time of such Placement have been so made.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The Agent shall have received the opinion and negative assurance of Company Counsel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opinions are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 shall have received the Comfort Letter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The Agent shall have received a certificate, signed on behalf of the Company by its corporate Secretary, in form and substance satisfactory to the Agent and its counsel.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CFO Certificate</w:t>
            </w:r>
            <w:r>
              <w:rPr>
                <w:rFonts w:ascii="Times New Roman;Times;Serif" w:hAnsi="Times New Roman;Times;Serif"/>
                <w:b w:val="false"/>
                <w:i w:val="false"/>
                <w:caps w:val="false"/>
                <w:smallCaps w:val="false"/>
                <w:sz w:val="20"/>
              </w:rPr>
              <w:t>. The Agent shall have received a certificate, signed on behalf of the Company by its Chief Financial Officer, in form and substance satisfactory to the Agent and its counsel.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Termination Event; Insurance</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The Company and its Subsidiaries shall maintain, or caused to be maintained, insurance in such amounts and covering such risks as is reasonable and customary for the business in which it is engaged.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Agent shall have received a letter from the Corporate Financing Department of FINRA confirming that such department has determined to raise no objection with respect to the fairness or reasonableness of the terms and arrangements related to the sale of the Placement Shares pursuant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275"/>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and Contribution.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their partners, members, managers, directors, officers, employees and agents and each person, if any, who controls the Agent within the meaning of Section 15 of the Securities Act or Section 20 of the Exchange Act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6" w:type="dxa"/>
            <w:tcBorders/>
            <w:vAlign w:val="center"/>
          </w:tcPr>
          <w:p>
            <w:pPr>
              <w:pStyle w:val="TableContents"/>
              <w:bidi w:val="0"/>
              <w:spacing w:before="0" w:after="283"/>
              <w:jc w:val="both"/>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below) any such settlement is effected with the written consent of the Company, which consent shall not unreasonably be delayed or withheld;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6" w:type="dxa"/>
            <w:tcBorders/>
            <w:vAlign w:val="center"/>
          </w:tcPr>
          <w:p>
            <w:pPr>
              <w:pStyle w:val="TableContents"/>
              <w:bidi w:val="0"/>
              <w:spacing w:before="0" w:after="283"/>
              <w:jc w:val="both"/>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any and all expense whatsoever,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in the Registration Statement (or any amendment thereto) or in any related Issuer Free Writing Prospectus or the Prospectus (or any amendment or supplement thereto) solely in reliance upon and in conformity with the Agent’s Information.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by the Agent</w:t>
            </w:r>
            <w:r>
              <w:rPr>
                <w:rFonts w:ascii="Times New Roman;Times;Serif" w:hAnsi="Times New Roman;Times;Serif"/>
                <w:b w:val="false"/>
                <w:i w:val="false"/>
                <w:caps w:val="false"/>
                <w:smallCaps w:val="false"/>
                <w:sz w:val="20"/>
              </w:rPr>
              <w:t xml:space="preserve">.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as incurred, but only with respect to untrue statements or omissions, made in the Registration Statement (or any amendments thereto) or in any related Issuer Free Writing Prospectus or the Prospectus (or any amendment or supplement thereto) in reliance upon and in conformity with the Agent’s Information, provided that in no case shall the Agent be responsible for any amounts in excess of the fee applicable to the Placement Shares and paid hereunder.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and only to the extent that, such omission results in the forfeiture or material impairment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Each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(plus local counsel) admitted to practice in such jurisdiction at any one time for an indemnified party.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tc>
      </w:tr>
    </w:tbl>
    <w:p>
      <w:pPr>
        <w:pStyle w:val="TextBody"/>
        <w:bidi w:val="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or the Exchange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provided that in no case shall the Agent be responsible for any amounts in excess of the fee applicable to the Placement Shares and paid hereunder.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the Agent shall not be required to contribute any amount in excess of the commissions received by it under this Agreement and no person found guilty of fraudulent misrepresentation (within the meaning of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person who controls a party to this Agreement within the meaning of the Securities Act or the Exchange Act, and any officers, directors, partners, employees or agents of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11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75"/>
        <w:gridCol w:w="1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may terminate this Agreement, by notice to the Company, as hereinafter specified at any time (1) if there has been, since the time of execution of this Agreement or since the date as of which information is given in the Prospectus, any Material Adverse Effect, or any development that is reasonably likely to have a Material Adverse Effect or,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the Agent shall provide the required notice as specified in Section 14 (Notices).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have the right, by giving two (2) days written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have the right, by giving two (2) days written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earlier terminated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this Agreement shall automatically terminate upon the issuance and sale of all of the Placement Shares through the Agent on the terms and subject to the conditions set forth herein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shall remain in full force and effect. Upon termination of this Agreement, the Company shall not have any liability to the Agent for any discount, commission or other compensation with respect to any Placement Shares not otherwise sold by the Agent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notices@hcwco.com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J. Hart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capmkts@egsllp.com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NJ 08831Attention: Robert Powers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rpowers@oceanpowertech.com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Poli</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kpoli@porterhedges.com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val="false"/>
          <w:i w:val="false"/>
          <w:caps w:val="false"/>
          <w:smallCaps w:val="false"/>
          <w:sz w:val="20"/>
          <w:u w:val="single"/>
        </w:rPr>
        <w:t>Electronic Notice</w:t>
      </w:r>
      <w:r>
        <w:rPr>
          <w:rFonts w:ascii="Times New Roman;Times;Serif" w:hAnsi="Times New Roman;Times;Serif"/>
          <w:b w:val="false"/>
          <w:i w:val="false"/>
          <w:caps w:val="false"/>
          <w:smallCaps w:val="false"/>
          <w:sz w:val="20"/>
        </w:rPr>
        <w:t xml:space="preserve">”) shall be deemed written notice for purposes of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if sent to the electronic mail address specified by the receiving party under separate cover. Electronic Notice shall be deemed received at the time the party sending Electronic Notice receives confirmation of receipt by the receiving party. Any party receiving Electronic Notice may request and shall be entitled to receive the notice on paper, in a nonelectronic form (“</w:t>
      </w:r>
      <w:r>
        <w:rPr>
          <w:rFonts w:ascii="Times New Roman;Times;Serif" w:hAnsi="Times New Roman;Times;Serif"/>
          <w:b w:val="false"/>
          <w:i w:val="false"/>
          <w:caps w:val="false"/>
          <w:smallCaps w:val="false"/>
          <w:sz w:val="20"/>
          <w:u w:val="single"/>
        </w:rPr>
        <w:t>Nonelectronic Notice</w:t>
      </w:r>
      <w:r>
        <w:rPr>
          <w:rFonts w:ascii="Times New Roman;Times;Serif" w:hAnsi="Times New Roman;Times;Serif"/>
          <w:b w:val="false"/>
          <w:i w:val="false"/>
          <w:caps w:val="false"/>
          <w:smallCaps w:val="false"/>
          <w:sz w:val="20"/>
        </w:rPr>
        <w:t>”) which shall be sent to the requesting party within ten (10) days of receipt of the written request for Nonelectronic Notice.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their respective successors and the affiliates, controlling persons, officers and directors referred to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 related numbers contained in this Agreement shall be adjusted to take into account any share consolidation, stock split, stock dividend, corporate domestication or similar event effected with respect to the Placement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 may not use any material non-public information about the Company gained in connection with this Agreement and the transactions contemplated by this Agreement, including due diligence, to the extent such information is not otherwise publicly-available, to advise any party with respect to transactions not expressly approved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Schedule and Exhibit headings herein are for convenience only and shall not affect the construction 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The Company represents, warrants and agrees that, unless it obtains the prior consent of the Agent, which shall not be unreasonably withheld, conditioned or delayed, and the Agent represents, warrants and agrees that, unless it obtains the prior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capable of evaluating and understanding, and understands and accepts, the terms, risks and conditions of the transactions contemplated by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Agent has provided any legal, accounting, regulatory or tax advice with respect to the transactions contemplated by this Agreement and it has consulted its own legal, accounting, regulatory and tax advisors to the extent it has deemed appropriate;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aware that the Agent and its respective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 Information</w:t>
      </w:r>
      <w:r>
        <w:rPr>
          <w:rFonts w:ascii="Times New Roman;Times;Serif" w:hAnsi="Times New Roman;Times;Serif"/>
          <w:b w:val="false"/>
          <w:i w:val="false"/>
          <w:caps w:val="false"/>
          <w:smallCaps w:val="false"/>
          <w:sz w:val="20"/>
        </w:rPr>
        <w:t>” means the information in the first sentence of seventh paragraph of the “Plan of Distribution” section of the Prospectus Supplement.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and (ii) the time of each sale of any Placement Shares pursuant to this Agreement.</w:t>
      </w:r>
    </w:p>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lien, charge, pledge, securities interest, encumbrance, right of first refusal, preemptive right or other restriction.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(i) a material adverse effect on the legality, validity or enforceability of any Incorporated Document or the Agreement,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Incorporated Document or the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the page intentionally left blank]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firstLine="72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789"/>
        <w:gridCol w:w="2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9" w:type="dxa"/>
            <w:tcBorders/>
            <w:vAlign w:val="center"/>
          </w:tcPr>
          <w:p>
            <w:pPr>
              <w:pStyle w:val="TableContents"/>
              <w:bidi w:val="0"/>
              <w:spacing w:before="0" w:after="283"/>
              <w:jc w:val="left"/>
              <w:rPr>
                <w:caps w:val="false"/>
                <w:smallCaps w:val="false"/>
              </w:rPr>
            </w:pPr>
            <w:r>
              <w:rPr>
                <w:caps w:val="false"/>
                <w:smallCaps w:val="false"/>
              </w:rPr>
              <w:t> </w:t>
            </w:r>
          </w:p>
        </w:tc>
        <w:tc>
          <w:tcPr>
            <w:tcW w:w="28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9" w:type="dxa"/>
            <w:tcBorders/>
            <w:vAlign w:val="center"/>
          </w:tcPr>
          <w:p>
            <w:pPr>
              <w:pStyle w:val="TableContents"/>
              <w:bidi w:val="0"/>
              <w:spacing w:before="0" w:after="283"/>
              <w:jc w:val="left"/>
              <w:rPr>
                <w:caps w:val="false"/>
                <w:smallCaps w:val="false"/>
              </w:rPr>
            </w:pPr>
            <w:r>
              <w:rPr>
                <w:caps w:val="false"/>
                <w:smallCaps w:val="false"/>
              </w:rPr>
              <w:t> </w:t>
            </w:r>
          </w:p>
        </w:tc>
        <w:tc>
          <w:tcPr>
            <w:tcW w:w="28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961"/>
        <w:gridCol w:w="2943"/>
        <w:gridCol w:w="75"/>
      </w:tblGrid>
      <w:tr>
        <w:trPr/>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29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H.C. Wainwright &amp; Co.,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29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D. Silvera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D. Silvera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25137</Words>
  <Characters>131913</Characters>
  <CharactersWithSpaces>157261</CharactersWithSpaces>
  <Paragraphs>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