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4,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28"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001-33417</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22-2535818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0"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28 Engelhard Drive, Suite B</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Monroe Township, New Jersey</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08831</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730-0400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283"/>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283"/>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283"/>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77"/>
        <w:spacing w:after="0" w:line="524"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Trading Symbol (s)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Common Stock $0.001 Par Value</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OPTT</w:t>
            </w:r>
          </w:p>
        </w:tc>
        <w:tc>
          <w:tcPr>
            <w:tcW w:w="2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NYSE American</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Series A Preferred Stock Purchase Rights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 American</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4, 2026, Ocean Power Technologies, Inc. (the “Company”) entered into a securities purchase agreement (the “Securities Purchase Agreement”) with those institutional accredited investors identified on the signature page thereto (the “Purchasers”) pursuant to which the Company offered for sale to the Purchasers an aggregate of 25,000,000 shares of the Company’s common stock, par value $0.001 per share (the “common stock”), together with common warrants (the “common warrants”) to purchase up to 25,000,000 shares of common stock (the “offering”). The combined purchase price per share of common stock and accompanying common warrant was $0.40. The offering was made pursuant to a shelf registration statement on Form S-3 (File No. 333-275843), which was declared effective by the United States Securities and Exchange Commission (“SEC”) on December 12, 2023, a base prospectus included in the registration statement at the time it originally became effective, and a prospectus supplement, dated June 4, 2026, filed with the SEC on June 8, 2026 pursuant to Rule 424(b)(5) under the Securities Act of 1933, as amended (the “Prospectus Supplement”).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common warrants will be exercisable beginning on the six month anniversary of the initial issuance date at an exercise price of $0.40 per share of common stock, subject to adjustment in certain circumstances, and will expire on the six year anniversary of the initial exercise date. No fractional shares of common stock will be issued in connection with the exercise of a common warrant. In lieu of fractional shares, the Company will round up to the next whole share. The common warrants also provide that in the event of a fundamental transaction, the Company is required to cause any successor entity to assume its obligations under the common warrants. In addition, in the event of a Fundamental Transaction (as such term is defined in the common warrant), the holder of the common warrant will be entitled to receive upon exercise of the common warrant the kind and amount of securities, cash or property that the holder would have received had the holder exercised the common warrant immediately prior to such Fundamental Transaction. Notwithstanding the foregoing, in the event of a Fundamental Transaction, the holders of the common warrants will have the right to require the Company or a successor entity to purchase the common warrant for cash in the amount of the Black Scholes Value (as defined in the common warrant) of the unexercised portion of the common warrants concurrently with or within 30 days following the consummation of a Fundamental Transaction. However, in the event of a Fundamental Transaction which is not in the Company’s control, including a Fundamental Transaction not approved by the Company’s board of directors, the holders of the common warrants will only be entitled to receive from the Company or its successor entity, as of the date of consummation of such Fundamental Transaction, the same type or form of consideration (and in the same proportion), at the Black Scholes Value of the unexercised portion of the common warrant that is being offered and paid to the holders of common stock in connection with the Fundamental Transaction, whether that consideration is in the form of cash, stock or any combination of cash and stock, or whether the holders of common stock are given the choice to receive alternative forms of consideration in connection with the Fundamental Transaction.</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common warrants initially provide that the holder may not exercise any portion of the common warrants to the extent that the holder (together with its affiliates) would exceed 9.99% of the number of shares of common stock outstanding immediately after giving effect to the exercise, as such percentage ownership is determined in accordance with the terms of such common warrant. Such percentage may be increased or decreased to any number not in excess of 9.99% at the holder’s election upon notice to the Company, any such change not to take effect until the 61st day after notice to the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common warrants or by virtue of such holder’s ownership of shares of common stock, the holder of a common warrant will not have the rights or privileges of a holder of common stock, including any voting rights, until the holder exercises such common warrant.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closing of the offering is expected to occur on or about June 8, 2026. The Company expects the gross proceeds from the offering to be $10.0 million. The Company intends to use the net proceeds from the offering for working capital needs and for other general corporate purposes.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Purchase Agreement contains customary representations, warranties and agreements by the Company and customary conditions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Securities Purchase Agreement and the common warrants are not complete and are qualified in their entirety by reference to the full text of the Securities Purchase Agreement and the form of common warrant, copies of which are included as Exhibit 10.1 and Exhibit 4.1, respectively, and incorporated by reference herein.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Securities Purchase Agreement were made only for purposes of such agreement and as of specific dates, were solely for the benefit of the parties to the Securities Purchase Agreement and may be subject to limitations agreed upon by the contracting parties. Accordingly, the Securities Purchase Agreement is incorporated herein by reference only to provide investors with information regarding the terms of the Securities Purchase Agreement and not to provide investors with any other factual information regarding the Company or its business, and should be read in conjunction with the disclosures in the Company’s periodic reports and other filings with the SEC.</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legal opinion, including the related consent, of Porter Hedges LLP relating to the issuance and sale of the shares of common stock, the common warrants and the shares of common stock underlying the common warrants is filed as Exhibit 5.1 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offering, Ladenburg Thalmann &amp; Co. Inc. (“Ladenburg”) acted as exclusive placement agent. Pursuant to an engagement letter with Ladenburg, the Company agreed to pay Ladenburg a cash fee equal to 6.0% of the gross proceeds received in the offering and to reimburse certain expenses of Ladenburg up to $50,000.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and Section 21E of the Securities Exchange Act of 1934, including statements related to the offering. The words “may,” “will,” “could,” “would,” “should,” “expect,” “intend,” “plan,” “anticipate,” “believe,” “estimate,” “predict,” “project,” “potential,” “continue,” “ongoing” and similar expressions are intended to identify forward-looking statements, although not all forward-looking statements contain these identifying words. While the Company believes its plans, intentions and expectations reflected in those forward-looking statements are reasonable, these plans, intentions or expectations may not be achieved. The Company’s actual results, performance or achievements could differ materially from those contemplated, expressed or implied by the forward-looking statements. For information about the factors that could cause such differences, please refer to the Company’s Annual Report on Form 10-K for the year ended April 30, 2025, including the information discussed under the captions “Item 1. Business,” “Item 1A. Risk Factors” and “Item 7. Management’s Discussion and Analysis of Financial Condition and Results of Operations,” as well as the Company’s various other filings with the SEC. Given these uncertainties, you should not place undue reliance on these forward-looking statements. The Company assumes no obligation to update any forward-looking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5, 2026, the Company issued a press release announcing the transactions contemplated by the Securities Purchase Agreement, a copy of which is filed herewith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Form of Common Warrant.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Porter Hedges LLP.</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Form of Securities Purchase Agreement dated June 4, 2026.</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Porter Hedges LLP (included in Exhibit 5.1).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5, 2026.</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8,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Philipp Stratmann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Philipp Stratmann</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8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tc>
      </w:tr>
      <w:tr>
        <w:trPr>
          <w:trHeight w:val="432"/>
        </w:trPr>
        <w:tc>
          <w:tcPr>
            <w:tcW w:w="2960" w:type="dxa"/>
            <w:vAlign w:val="bottom"/>
          </w:tcPr>
          <w:p>
            <w:pPr>
              <w:spacing w:after="0"/>
              <w:rPr>
                <w:sz w:val="24"/>
                <w:szCs w:val="24"/>
                <w:color w:val="auto"/>
              </w:rPr>
            </w:pPr>
          </w:p>
        </w:tc>
        <w:tc>
          <w:tcPr>
            <w:tcW w:w="8280" w:type="dxa"/>
            <w:vAlign w:val="bottom"/>
          </w:tcPr>
          <w:p>
            <w:pPr>
              <w:jc w:val="right"/>
              <w:ind w:right="3750"/>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tc>
      </w:tr>
      <w:tr>
        <w:trPr>
          <w:trHeight w:val="432"/>
        </w:trPr>
        <w:tc>
          <w:tcPr>
            <w:tcW w:w="2960" w:type="dxa"/>
            <w:vAlign w:val="bottom"/>
          </w:tcPr>
          <w:p>
            <w:pPr>
              <w:spacing w:after="0"/>
              <w:rPr>
                <w:sz w:val="24"/>
                <w:szCs w:val="24"/>
                <w:color w:val="auto"/>
              </w:rPr>
            </w:pPr>
          </w:p>
        </w:tc>
        <w:tc>
          <w:tcPr>
            <w:tcW w:w="8280" w:type="dxa"/>
            <w:vAlign w:val="bottom"/>
          </w:tcPr>
          <w:p>
            <w:pPr>
              <w:jc w:val="right"/>
              <w:ind w:right="3850"/>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tc>
      </w:tr>
      <w:tr>
        <w:trPr>
          <w:trHeight w:val="595"/>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Warrant Shares: _________</w:t>
            </w:r>
            <w:r>
              <w:rPr>
                <w:rFonts w:ascii="Times New Roman" w:cs="Times New Roman" w:eastAsia="Times New Roman" w:hAnsi="Times New Roman"/>
                <w:sz w:val="29"/>
                <w:szCs w:val="29"/>
                <w:color w:val="auto"/>
                <w:vertAlign w:val="superscript"/>
              </w:rPr>
              <w:t>1</w:t>
            </w:r>
          </w:p>
        </w:tc>
        <w:tc>
          <w:tcPr>
            <w:tcW w:w="8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Issue Date: June [__], 2026</w:t>
            </w:r>
          </w:p>
        </w:tc>
      </w:tr>
    </w:tbl>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_______________ or its assigns (the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or times on or after the six (6) month anniversary of the Issue Date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six (6) year anniversary of the Initial Exercise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Ocean Power Technologies,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________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June [__], 2026, by and between the Company and the Purchaser signatory thereto. In addition to the terms defined elsewhere in this Warrant, the following words and terms have the meanings indicated in this Section 1:</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N.Y. time) to 4:02 p.m. (New York, N.Y. time)), (b) if the Common Stock is not then listed or quoted on a Trading Market and if the Common Stock is listed or quoted for trading on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the volume weighted average price of the Common Stock for such date (or the nearest preceding date) on OTCQB or OTCQX as applicable, (c) if the Common Stock is not then listed or quoted for trading on a Trading Market, OTCQB or OTCQX and if prices for the Common Stock are then reported on The Pink Open Market (or its successor operated by OTC Markets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jc w:val="both"/>
        <w:ind w:right="20" w:firstLine="58"/>
        <w:spacing w:after="0" w:line="282" w:lineRule="auto"/>
        <w:rPr>
          <w:sz w:val="20"/>
          <w:szCs w:val="20"/>
          <w:color w:val="auto"/>
        </w:rPr>
      </w:pPr>
      <w:r>
        <w:rPr>
          <w:rFonts w:ascii="Times New Roman" w:cs="Times New Roman" w:eastAsia="Times New Roman" w:hAnsi="Times New Roman"/>
          <w:sz w:val="18"/>
          <w:szCs w:val="18"/>
          <w:color w:val="auto"/>
        </w:rPr>
        <w:t>1 Aggregate number of shares of Common Stock underlying the warrant issued to the Holder is equal to 100% of the sum of the number of shares of Common Stock and shares of Common Stock underlying Pre-Funded Warrants, if any, purchased by the Holder pursuant to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on a Trading Market and if the Common Stock is then listed or quoted on the OTCQB or the OTCQX,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 or if more than one Purchaser, then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7" w:lineRule="auto"/>
        <w:tabs>
          <w:tab w:leader="none" w:pos="149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xml:space="preserv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w:t>
      </w:r>
    </w:p>
    <w:p>
      <w:pPr>
        <w:spacing w:after="0" w:line="1"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8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after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8"/>
          <w:szCs w:val="18"/>
          <w:b w:val="1"/>
          <w:bCs w:val="1"/>
          <w:color w:val="auto"/>
        </w:rPr>
        <w:t>The Holder and any assignee, by acceptance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this Warrant, acknowledge and agree that, by reason of the provisions of this paragraph, following the purchase of a portion of the Warrant Shares hereunder, upon exercise of a portion of this Warrant, the number of Warrant Shares available for purchase hereunder at any given time may be less than the amount stated on the face hereof.</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ind w:left="660" w:firstLine="644"/>
        <w:spacing w:after="0" w:line="286" w:lineRule="auto"/>
        <w:tabs>
          <w:tab w:leader="none" w:pos="1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4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jc w:val="both"/>
        <w:ind w:firstLine="1304"/>
        <w:spacing w:after="0" w:line="253" w:lineRule="auto"/>
        <w:tabs>
          <w:tab w:leader="none" w:pos="15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4"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firstLine="1304"/>
        <w:spacing w:after="0" w:line="282" w:lineRule="auto"/>
        <w:tabs>
          <w:tab w:leader="none" w:pos="15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assuming that no commission or other remuneration is paid or given directly or indirectly for soliciting such exercise, the Warrant Shares shall take on the registered characteristics of the Warrants being exercised, including with respect to the holding period and/or the registration thereof. The Company agrees not to take any position contrary to this Section 2(c).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ind w:left="380" w:hanging="196"/>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1" w:lineRule="auto"/>
        <w:tabs>
          <w:tab w:leader="none" w:pos="16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is being exercised via cashless exercise, and otherwise by physical delivery of a certificate or by electronic delivery through books and records maintained by the Company’s transfer agent (at the election of the Holder), registered in the Company’s share register in the name of the Holder or its designee, for the number of Warrant Shares to which the Holder is entitled pursuant to such exercise to the address specified by the Holder in the Notice of Exercise by the date that is the earliest of (i) one (1) Trading Day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Holder duly delivers the Notice of Exercise to the Company but has not delivered the aggregate Exercise Price to the Company within two (2) Trading Days of delivery of such Notice of Exercise, the Warrant Share Delivery Date shall be deemed to occur one (1) Trading Day after delivery of the aggregate Exercise Price to the Company.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partial liquidated damages and not as a penalty, for each $1,000 of Warrant Shares subject to such exercise (based on the VWAP of the Common Stock on the date of the applicable Notice of Exercise), $10 per Trading Day (increasing to $20 per Trading Day beginning five (5) Trading Days after such damages have begun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(or the OTCQB or OTCQX, depending upon which of these the Common Stock trades if the Common Stock is not listed on a Trading Market) with respect to the Common Stock as in effect on the date of delivery of the Notice of Exercise. For the avoidance of doubt, the Standard Settlement Period as of the date of this Warrant is one (1) Trading Day.</w:t>
      </w:r>
    </w:p>
    <w:p>
      <w:pPr>
        <w:spacing w:after="0" w:line="20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8" w:name="page9"/>
    <w:bookmarkEnd w:id="8"/>
    <w:p>
      <w:pPr>
        <w:jc w:val="both"/>
        <w:ind w:left="840" w:firstLine="640"/>
        <w:spacing w:after="0" w:line="261" w:lineRule="auto"/>
        <w:tabs>
          <w:tab w:leader="none" w:pos="16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840" w:firstLine="640"/>
        <w:spacing w:after="0" w:line="282" w:lineRule="auto"/>
        <w:tabs>
          <w:tab w:leader="none" w:pos="17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and mark-ups,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with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9" w:name="page10"/>
    <w:bookmarkEnd w:id="9"/>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jc w:val="both"/>
        <w:ind w:left="840" w:firstLine="640"/>
        <w:spacing w:after="0" w:line="254" w:lineRule="auto"/>
        <w:tabs>
          <w:tab w:leader="none" w:pos="17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 w:name="page11"/>
    <w:bookmarkEnd w:id="10"/>
    <w:p>
      <w:pPr>
        <w:ind w:left="360" w:hanging="176"/>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60" w:firstLine="320"/>
        <w:spacing w:after="0" w:line="250" w:lineRule="auto"/>
        <w:tabs>
          <w:tab w:leader="none" w:pos="16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and any other Persons whose beneficial ownership of the shares of Common Stock would or could be aggregated with the Holder’s for the purposes of Section 13(d) of the Exchange Act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held by such Holder and all other Attribution Parties plus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(other than to the extent that the information on the number of outstanding shares of Common Stock is provided by the Company, either directly or through one or more public filings relied upon by the Holder).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shall be 4.99% (or, upon election by a Holder in compliance with this Section 2(d) prior to the issuance of any Warrants,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w:t>
      </w:r>
    </w:p>
    <w:p>
      <w:pPr>
        <w:spacing w:after="0" w:line="36" w:lineRule="exact"/>
        <w:rPr>
          <w:sz w:val="20"/>
          <w:szCs w:val="20"/>
          <w:color w:val="auto"/>
        </w:rPr>
      </w:pPr>
    </w:p>
    <w:p>
      <w:pPr>
        <w:jc w:val="both"/>
        <w:ind w:left="1160"/>
        <w:spacing w:after="0" w:line="231" w:lineRule="auto"/>
        <w:rPr>
          <w:sz w:val="20"/>
          <w:szCs w:val="20"/>
          <w:color w:val="auto"/>
        </w:rPr>
      </w:pPr>
      <w:r>
        <w:rPr>
          <w:rFonts w:ascii="Times New Roman" w:cs="Times New Roman" w:eastAsia="Times New Roman" w:hAnsi="Times New Roman"/>
          <w:sz w:val="18"/>
          <w:szCs w:val="18"/>
          <w:color w:val="auto"/>
        </w:rPr>
        <w:t>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2" w:name="page13"/>
    <w:bookmarkEnd w:id="12"/>
    <w:p>
      <w:pPr>
        <w:jc w:val="both"/>
        <w:ind w:left="-460" w:firstLine="644"/>
        <w:spacing w:after="0" w:line="265" w:lineRule="auto"/>
        <w:tabs>
          <w:tab w:leader="none" w:pos="3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7"/>
          <w:szCs w:val="17"/>
          <w:u w:val="single" w:color="auto"/>
          <w:color w:val="auto"/>
        </w:rPr>
        <w:t>Fundamental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“Black Scholes Value” means the value of this Warrant based on the Black-Scholes Option Pricing Model obtained from the “OV” function on Bloomberg, L.P.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 100%, (2) the 30 day volatility, (3) the 100 day volatility or (4) the 365 day volatility, each of clauses (2)-(4)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such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“Successor Entity”)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w:t>
      </w:r>
    </w:p>
    <w:p>
      <w:pPr>
        <w:sectPr>
          <w:pgSz w:w="11900" w:h="16838" w:orient="portrait"/>
          <w:cols w:equalWidth="0" w:num="1">
            <w:col w:w="10120"/>
          </w:cols>
          <w:pgMar w:left="1440" w:top="688" w:right="339" w:bottom="26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exercise every right and power of the Company and shall assume all of the obligations of the Company under this Warrant and the other Transaction Documents with the same effect as if such Successor Entity had been named as the Company herein. For the avoidance of doubt, the Holder shall be entitled to the benefits of the provisions of this Section 3(d) regardless of whether the Company has sufficient authorized shares of Common Stock for the issuance of Warrant Shares.</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4" w:name="page15"/>
    <w:bookmarkEnd w:id="14"/>
    <w:p>
      <w:pPr>
        <w:jc w:val="both"/>
        <w:ind w:left="-460" w:firstLine="644"/>
        <w:spacing w:after="0" w:line="266" w:lineRule="auto"/>
        <w:tabs>
          <w:tab w:leader="none" w:pos="3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73" w:lineRule="auto"/>
        <w:tabs>
          <w:tab w:leader="none" w:pos="1628"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For purposes of clarification, whether or not the Company provides any such notice, each Holder shall only be required to pay the adjusted Exercise Price with respect to such exercise, regardless of whether a Holder accurately refers to such price in any Notice of Exercise If the aggregate Exercise Price paid by the Holder exceeds the amount that should have been paid based on the adjusted Exercise Price, the Company shall promptly return any excess aggregate Exercise Price to the Holder.</w:t>
      </w:r>
    </w:p>
    <w:p>
      <w:pPr>
        <w:spacing w:after="0" w:line="171" w:lineRule="exact"/>
        <w:rPr>
          <w:rFonts w:ascii="Times New Roman" w:cs="Times New Roman" w:eastAsia="Times New Roman" w:hAnsi="Times New Roman"/>
          <w:sz w:val="17"/>
          <w:szCs w:val="17"/>
          <w:color w:val="auto"/>
        </w:rPr>
      </w:pPr>
    </w:p>
    <w:p>
      <w:pPr>
        <w:jc w:val="both"/>
        <w:ind w:left="840" w:firstLine="640"/>
        <w:spacing w:after="0" w:line="251" w:lineRule="auto"/>
        <w:tabs>
          <w:tab w:leader="none" w:pos="170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any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(as defined below)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9"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6" w:name="page17"/>
    <w:bookmarkEnd w:id="16"/>
    <w:p>
      <w:pPr>
        <w:jc w:val="both"/>
        <w:ind w:firstLine="644"/>
        <w:spacing w:after="0" w:line="261" w:lineRule="auto"/>
        <w:tabs>
          <w:tab w:leader="none" w:pos="8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81" w:lineRule="auto"/>
        <w:tabs>
          <w:tab w:leader="none" w:pos="8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Until Exercise; No Settlement in Cash</w:t>
      </w:r>
      <w:r>
        <w:rPr>
          <w:rFonts w:ascii="Times New Roman" w:cs="Times New Roman" w:eastAsia="Times New Roman" w:hAnsi="Times New Roman"/>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in no event shall the Company be required to net cash settle an exercise of this Warrant.</w:t>
      </w:r>
    </w:p>
    <w:p>
      <w:pPr>
        <w:spacing w:after="0" w:line="164" w:lineRule="exact"/>
        <w:rPr>
          <w:rFonts w:ascii="Times New Roman" w:cs="Times New Roman" w:eastAsia="Times New Roman" w:hAnsi="Times New Roman"/>
          <w:sz w:val="17"/>
          <w:szCs w:val="17"/>
          <w:color w:val="auto"/>
        </w:rPr>
      </w:pPr>
    </w:p>
    <w:p>
      <w:pPr>
        <w:jc w:val="both"/>
        <w:ind w:firstLine="644"/>
        <w:spacing w:after="0" w:line="258" w:lineRule="auto"/>
        <w:tabs>
          <w:tab w:leader="none" w:pos="8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7" w:name="page18"/>
    <w:bookmarkEnd w:id="1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firstLine="644"/>
        <w:spacing w:after="0" w:line="282" w:lineRule="auto"/>
        <w:tabs>
          <w:tab w:leader="none" w:pos="8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the “cashless exercise” feature,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firstLine="644"/>
        <w:spacing w:after="0" w:line="255" w:lineRule="auto"/>
        <w:tabs>
          <w:tab w:leader="none" w:pos="8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8"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8" w:name="page19"/>
    <w:bookmarkEnd w:id="18"/>
    <w:p>
      <w:pPr>
        <w:jc w:val="both"/>
        <w:ind w:firstLine="644"/>
        <w:spacing w:after="0" w:line="261" w:lineRule="auto"/>
        <w:tabs>
          <w:tab w:leader="none" w:pos="8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(or the beneficial owner of this Warrant), on the other hand.</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8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9" w:name="page20"/>
    <w:bookmarkEnd w:id="1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Philipp Stratmann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OCEAN POWER TECHNOLOGIES, INC.</w:t>
      </w:r>
    </w:p>
    <w:p>
      <w:pPr>
        <w:spacing w:after="0" w:line="225" w:lineRule="exact"/>
        <w:rPr>
          <w:sz w:val="20"/>
          <w:szCs w:val="20"/>
          <w:color w:val="auto"/>
        </w:rPr>
      </w:pPr>
    </w:p>
    <w:p>
      <w:pPr>
        <w:ind w:left="340" w:firstLine="1288"/>
        <w:spacing w:after="0" w:line="282" w:lineRule="auto"/>
        <w:tabs>
          <w:tab w:leader="none" w:pos="191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2540" w:hanging="264"/>
        <w:spacing w:after="0"/>
        <w:tabs>
          <w:tab w:leader="none" w:pos="254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800" w:hanging="200"/>
        <w:spacing w:after="0"/>
        <w:tabs>
          <w:tab w:leader="none" w:pos="2800" w:val="left"/>
        </w:tabs>
        <w:numPr>
          <w:ilvl w:val="3"/>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2600"/>
        <w:spacing w:after="0" w:line="266" w:lineRule="auto"/>
        <w:tabs>
          <w:tab w:leader="none" w:pos="2819" w:val="left"/>
        </w:tabs>
        <w:numPr>
          <w:ilvl w:val="3"/>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2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Investing Entity: </w:t>
      </w:r>
      <w:r>
        <w:rPr>
          <w:rFonts w:ascii="Times New Roman" w:cs="Times New Roman" w:eastAsia="Times New Roman" w:hAnsi="Times New Roman"/>
          <w:sz w:val="18"/>
          <w:szCs w:val="18"/>
          <w:color w:val="auto"/>
        </w:rPr>
        <w:t>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34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582930</wp:posOffset>
            </wp:positionV>
            <wp:extent cx="3488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300355</wp:posOffset>
            </wp:positionV>
            <wp:extent cx="34886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1000 Main Street, 36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-163195</wp:posOffset>
            </wp:positionV>
            <wp:extent cx="8255" cy="711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7118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714500" cy="257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0" cy="25717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Telephone {713} 226-6000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Telecopier {713} 228-1331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porterhedges.com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4,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014660/0032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Engelhard Drive, Suite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Monroe Township, NJ 08831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acted as counsel to Ocean Power Technologies,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preparation for filing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prospectus supplement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related to the Company’s shelf registration statement on Form S-3 (Registration No. 333-275843)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The Prospectus Supplement relates to the issuance by the Company of up to (i) 25,000,000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(ii) common warrants to purchase up to 25,000,000 shares of Common Stock (the “</w:t>
      </w:r>
      <w:r>
        <w:rPr>
          <w:rFonts w:ascii="Times New Roman" w:cs="Times New Roman" w:eastAsia="Times New Roman" w:hAnsi="Times New Roman"/>
          <w:sz w:val="18"/>
          <w:szCs w:val="18"/>
          <w:b w:val="1"/>
          <w:bCs w:val="1"/>
          <w:i w:val="1"/>
          <w:iCs w:val="1"/>
          <w:color w:val="auto"/>
        </w:rPr>
        <w:t>Common Warrants</w:t>
      </w:r>
      <w:r>
        <w:rPr>
          <w:rFonts w:ascii="Times New Roman" w:cs="Times New Roman" w:eastAsia="Times New Roman" w:hAnsi="Times New Roman"/>
          <w:sz w:val="18"/>
          <w:szCs w:val="18"/>
          <w:color w:val="auto"/>
        </w:rPr>
        <w:t>”); and (iii) the 25,000,000 shares of Common Stock underlying the Common Warrants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The Shares, the Common Warrants and the Warrant Shares are being sold by the Company pursuant to a securities purchase agreement (the “</w:t>
      </w:r>
      <w:r>
        <w:rPr>
          <w:rFonts w:ascii="Times New Roman" w:cs="Times New Roman" w:eastAsia="Times New Roman" w:hAnsi="Times New Roman"/>
          <w:sz w:val="18"/>
          <w:szCs w:val="18"/>
          <w:b w:val="1"/>
          <w:bCs w:val="1"/>
          <w:i w:val="1"/>
          <w:iCs w:val="1"/>
          <w:color w:val="auto"/>
        </w:rPr>
        <w:t>SPA</w:t>
      </w:r>
      <w:r>
        <w:rPr>
          <w:rFonts w:ascii="Times New Roman" w:cs="Times New Roman" w:eastAsia="Times New Roman" w:hAnsi="Times New Roman"/>
          <w:sz w:val="18"/>
          <w:szCs w:val="18"/>
          <w:color w:val="auto"/>
        </w:rPr>
        <w:t>”) entered into by and between the Company and certain accredited institutional investors.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purposes of the opinions we express below, we have examined the originals or copies, certified or otherwise identified, of: (i) the certificate of incorporation and amended and restated bylaws, each as amended to date, of the Company; (ii) the Registration Statement; (iii) the Prospectus Supplement; and (iv) the corporate records of the Company, including minute books of the Company, certificates of public officials and of representatives of the Company, statutes and other instruments and documents as we considered appropriate for purposes of the opinions hereafter expressed. In giving such opinions, we have relied upon certificates of officers of the Company and of public officials with respect to the accuracy of the material factual matters contained in such certificates. In giving the opinions below, we have assumed that the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making our examination, we have assumed and have not verified (i) that all signatures on documents examined by us are genuine, (ii) the legal capacity of all natural persons, (iii) the authenticity of all documents submitted to us as originals and (iv) the conformity to the original documents of all documents submitted to us as copies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the foregoing, and subject to the assumptions, limitations and qualifications stated herein, we are of the opinion that (i) the Shares have been duly authorized and, when issued and paid for in accordance with the terms of the SPA, will be validly issued, fully paid and non-assessable, (ii) the Common Warrants have been duly authorized and, when executed and delivered by the Company will constitute the legal, valid and binding obligation of the Company, enforceable against the Company in accordance with their terms, subject to bankruptcy, insolvency or other similar laws affecting creditors’ rights and to general equitable principles and (iii) the Warrant Shares have been duly authorized and, when issued and paid for upon the due exercise of the Common Warrants in accordance with the terms thereof, will be validly issued, fully paid and non-assessable.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opinions set forth above are limited in all respects to matters of the General Corporation Law of the State of Delaware, the applicable law of the State of New York and applicable federal law.</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a Current Report on Form 8-K that will be filed by the Company and incorporated by reference into the Registration Statement. We also consent to the references to our Firm under the heading “Legal Matters” in the prospectus included in the Registration Statement. In giving this consent, we do not hereby admit we are in the category of persons whose consent is required under Section 7 of the Act or the rules and regulations of the Commission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Porter Hedges LLP</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PORTER HEDGES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June 4, 2026, between Ocean Power Technologies,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89"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52" w:lineRule="exact"/>
        <w:rPr>
          <w:sz w:val="20"/>
          <w:szCs w:val="20"/>
          <w:color w:val="auto"/>
        </w:rPr>
      </w:pPr>
    </w:p>
    <w:p>
      <w:pPr>
        <w:ind w:left="980" w:right="20" w:hanging="64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meanings set forth in this Section 1.1:</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4.4.</w:t>
      </w: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3.1.10.</w:t>
      </w:r>
    </w:p>
    <w:p>
      <w:pPr>
        <w:spacing w:after="0" w:line="25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52"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open for use by customers on such day.</w:t>
      </w:r>
    </w:p>
    <w:p>
      <w:pPr>
        <w:spacing w:after="0" w:line="2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both"/>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deliver the Securities, in each case, have been satisfied or waived, but in no event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(or the</w:t>
      </w:r>
      <w:r>
        <w:rPr>
          <w:rFonts w:ascii="Times New Roman" w:cs="Times New Roman" w:eastAsia="Times New Roman" w:hAnsi="Times New Roman"/>
          <w:sz w:val="18"/>
          <w:szCs w:val="18"/>
          <w:color w:val="auto"/>
        </w:rPr>
        <w:t xml:space="preserve"> second (2nd) Trading Day following the date hereof if this Agreement is signed on a day that is not a Trading Day or after 4:00 p.m. (New York City time) and before midnight (New York City time) on a Trading Day).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Warrants</w:t>
      </w:r>
      <w:r>
        <w:rPr>
          <w:rFonts w:ascii="Times New Roman" w:cs="Times New Roman" w:eastAsia="Times New Roman" w:hAnsi="Times New Roman"/>
          <w:sz w:val="18"/>
          <w:szCs w:val="18"/>
          <w:color w:val="auto"/>
        </w:rPr>
        <w:t>” means, collectively, the Common Stock purchase warrants delivered to the Purchasers at the Closing in accordance with Section 2.2.1 hereof, which warrants shall be exercisable beginning on the six (6) month anniversary of the date of issuance and have a term equal to six (6) years from the initial exercise date, in the form of Exhibit C attached hereto.</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 Shares</w:t>
      </w:r>
      <w:r>
        <w:rPr>
          <w:rFonts w:ascii="Times New Roman" w:cs="Times New Roman" w:eastAsia="Times New Roman" w:hAnsi="Times New Roman"/>
          <w:sz w:val="18"/>
          <w:szCs w:val="18"/>
          <w:color w:val="auto"/>
        </w:rPr>
        <w:t>” means the aggregate number of shares of Common Stock issuable upon exercise of the Common Warrants issued to all Purchasers pursuant to the terms of this Agreement, which shall be equal to 100% of the aggregate number of Shares and Pre-Funded Warrant Shares, if any, purchased by all Purchasers pursuant to this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Porter Hedges LLP, with offices located at 1000 Main Street, 36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Houston, Texas 77002.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21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7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options restricted stock units or other securities to employees, officers, directors or independent contractors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provided, however, that any securities issued to independent contractors under this clause (a) are issued as “restricted securities” (as defined in Rule 144) and carry no registration rights that require or permit the filing of any registration statement in connection therewith during the prohibition period in Section 4.9.1, (b) shares of Common Stock issued pursuant to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as otherwise required by the existing terms of such securities)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4.9.1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3.1.16.</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Liens</w:t>
      </w:r>
      <w:r>
        <w:rPr>
          <w:rFonts w:ascii="Times New Roman" w:cs="Times New Roman" w:eastAsia="Times New Roman" w:hAnsi="Times New Roman"/>
          <w:sz w:val="17"/>
          <w:szCs w:val="17"/>
          <w:color w:val="auto"/>
        </w:rPr>
        <w:t>” means a lien, charge, pledge, security interest, encumbrance, right of first refusal, preemptive right or other restriction.</w:t>
      </w:r>
    </w:p>
    <w:p>
      <w:pPr>
        <w:spacing w:after="0" w:line="26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715" w:right="339" w:bottom="1440" w:gutter="0" w:footer="0" w:header="0"/>
        </w:sectPr>
      </w:pPr>
    </w:p>
    <w:bookmarkStart w:id="27" w:name="page28"/>
    <w:bookmarkEnd w:id="2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the Lock-Up Agreement, dated as of the date hereof, by and among the Company and the directors, officers, and certain stockholders of the Company,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3.1.14.</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and Common Warrant Purchase Price</w:t>
      </w:r>
      <w:r>
        <w:rPr>
          <w:rFonts w:ascii="Times New Roman" w:cs="Times New Roman" w:eastAsia="Times New Roman" w:hAnsi="Times New Roman"/>
          <w:sz w:val="18"/>
          <w:szCs w:val="18"/>
          <w:color w:val="auto"/>
        </w:rPr>
        <w:t>” equals $[●], subject to adjustment for reverse and forward stock splits, stock dividends, stock combinations and other similar transactions of the Common Stock that occur after the date of this Agreement, provided that the purchase price per Pre-Funded Warrant and Common Warrant shall be the Per Share and Common Warrant Purchase Price minus $0.001.</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Ladenburg Thalmann &amp; Co. Inc.</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means, collectively, the pre-funded warrants to purchase shares of Common Stock delivered to the Purchasers at the Closing in accordance with Section 2.2.1 hereof, which warrants shall be exercisable upon issuance and will not expire until exercised in full, in the form of Exhibit B attached hereto.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to the Company’s knowledge, threatened.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4.7.</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333-275843 which registers the sale of the Securities to the Purchasers, and includes any Rule 462(b) Registration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3.1.5.</w:t>
      </w:r>
    </w:p>
    <w:p>
      <w:pPr>
        <w:spacing w:after="0" w:line="2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715"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means any registration statement prepared by the Company registering additional Public Securities, which was filed with the Commission on or prior to the date hereof and became automatically effective pursuant to Rule 462(b) promulgated by the Commission pursuant to the Securities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(and/or the Pre-Funded Warrants) and Common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on Exhibit 21.1 of the Company’s Annual Report on Form 10-K for the year ended April 30, 2025, and shall, where applicable, also include any direct or indirect subsidiary of the Company formed or acquired after the date hereof.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20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715" w:right="339" w:bottom="1440" w:gutter="0" w:footer="0" w:header="0"/>
        </w:sectPr>
      </w:pPr>
    </w:p>
    <w:bookmarkStart w:id="29" w:name="page30"/>
    <w:bookmarkEnd w:id="29"/>
    <w:p>
      <w:pPr>
        <w:ind w:left="9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all exhibits and schedules thereto and hereto, the Warrants, and any other documents or agreements executed in connection with the transactions contemplated hereunder.</w:t>
      </w:r>
    </w:p>
    <w:p>
      <w:pPr>
        <w:spacing w:after="0" w:line="18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N.A., the current transfer agent of the Company, with a mailing address of 250 Royall Street, Canton, MA 02021-1011, and any successor transfer agent of the Company.</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4.9.2.</w:t>
      </w: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Common Warrants and the Pre-Funded Warrants.</w:t>
      </w: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52"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p>
    <w:p>
      <w:pPr>
        <w:spacing w:after="0" w:line="252" w:lineRule="exact"/>
        <w:rPr>
          <w:rFonts w:ascii="Times New Roman" w:cs="Times New Roman" w:eastAsia="Times New Roman" w:hAnsi="Times New Roman"/>
          <w:sz w:val="18"/>
          <w:szCs w:val="18"/>
          <w:color w:val="auto"/>
        </w:rPr>
      </w:pPr>
    </w:p>
    <w:p>
      <w:pPr>
        <w:ind w:left="980" w:hanging="648"/>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severally and not jointly, agree to purchase, up to an aggregate of $[___] of Shares and Common Warrants; provided, however,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to purchase Pre-Funded Warrants in lieu of Shares in such manner to result in the same aggregate purchase price being paid by such Purchaser to the Company.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Securities, and the Company and each Purchaser shall deliver the other items set forth in Section 2.2 deliverable at the Closing. On the Closing Date, the Company will (A) cause the Transfer Agent to issue the Shares in book-entry form, free and clear of all restrictive and other legends (except as expressly provided in Section 4.13 hereof), (B) deliver to each Purchaser Common Warrants exercisable for a number of shares of Common Stock as set forth on the signature page of this Agreement with respect to such Purchaser, and (C) deliver to each Purchaser that elected to receive Pre-Funded Warrants, Pre-Funded Warrants exercisable for a number of shares of Common Stock as set forth on the signature page of this Agreement with respect to such Purchaser. Upon satisfaction of the covenants and conditions set forth in Sections 2.2 and 2.3, the Closing shall take place remotely by electronic transfer of the Closing documentation. Unless otherwise directed by the Placement Agent, settlement of the Shares shall occur via “Delivery Versus Payment”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Notwithstanding anything to the contrary herein and a Purchaser’s Subscription Amount set forth on the signature pages attached hereto, the number of Shares purchased by a Purchaser (and its Affiliates) hereunder shall not, when aggregated with all other shares of Common Stock owned by such Purchaser (and its Affiliates) at such time, result in such Purchaser beneficially owning (as determined in accordance with Section 13(d) of the Exchange Act) in excess of 9.9% of the then issued and outstanding Common Stock outstanding at the Closing (the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and such Purchaser’s Subscription Amount, to the extent it would otherwise exceed the Beneficial Ownership Maximum immediately prior to the Closing, shall be conditioned upon the issuance of Securities at the Closing to the other Purchasers signatory hereto. To the extent that a Purchaser’s beneficial ownership of the Securities would otherwise be deemed to exceed the Beneficial Ownership Maximum, such Purchaser’s Subscription Amount shall automatically be reduced as necessary in order to comply with this paragraph. Purchaser shall not engage in net short sales prior to Closing.</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7"/>
          <w:szCs w:val="17"/>
          <w:u w:val="single" w:color="auto"/>
          <w:color w:val="auto"/>
        </w:rPr>
        <w:t>Deliveries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2.2.1.</w:t>
        <w:tab/>
        <w:t>On or prior to the Closing Date (except as indicated below), the Company shall deliver or cause to be delivered to each Purchaser the following: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2.2.1.1. this Agreement duly executed by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2.2.1.2. a legal opinion of Company Counsel, substantially in the form reasonably acceptable to each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2.2.1.3. subject to the last sentence of Section 2.1, the Company shall have provided each Purchaser with the Company’s wire instructions;</w:t>
      </w:r>
    </w:p>
    <w:p>
      <w:pPr>
        <w:spacing w:after="0" w:line="225" w:lineRule="exact"/>
        <w:rPr>
          <w:sz w:val="20"/>
          <w:szCs w:val="20"/>
          <w:color w:val="auto"/>
        </w:rPr>
      </w:pPr>
    </w:p>
    <w:p>
      <w:pPr>
        <w:jc w:val="both"/>
        <w:ind w:left="640" w:hanging="647"/>
        <w:spacing w:after="0" w:line="258" w:lineRule="auto"/>
        <w:rPr>
          <w:sz w:val="20"/>
          <w:szCs w:val="20"/>
          <w:color w:val="auto"/>
        </w:rPr>
      </w:pPr>
      <w:r>
        <w:rPr>
          <w:rFonts w:ascii="Times New Roman" w:cs="Times New Roman" w:eastAsia="Times New Roman" w:hAnsi="Times New Roman"/>
          <w:sz w:val="18"/>
          <w:szCs w:val="18"/>
          <w:color w:val="auto"/>
        </w:rPr>
        <w:t>2.2.1.4. subject to the last sentence of Section 2.1, a copy of the irrevocable instructions to the Transfer Agent instructing the Transfer Agent to deliver on an expedited basis via The Depository Trust Company Deposit or Withdrawal at Custodian system Shares equal to such Purchaser’s Subscription Amount divided by the Per Share and Common Warrant Purchase Price (minus the number of shares of Common Stock issuable upon exercise of such Purchaser’s Pre-Funded Warrant, if applicable), registered in the name of such Purchaser;</w:t>
      </w:r>
    </w:p>
    <w:p>
      <w:pPr>
        <w:spacing w:after="0" w:line="183" w:lineRule="exact"/>
        <w:rPr>
          <w:sz w:val="20"/>
          <w:szCs w:val="20"/>
          <w:color w:val="auto"/>
        </w:rPr>
      </w:pPr>
    </w:p>
    <w:p>
      <w:pPr>
        <w:jc w:val="both"/>
        <w:ind w:left="640" w:hanging="647"/>
        <w:spacing w:after="0" w:line="261" w:lineRule="auto"/>
        <w:rPr>
          <w:sz w:val="20"/>
          <w:szCs w:val="20"/>
          <w:color w:val="auto"/>
        </w:rPr>
      </w:pPr>
      <w:r>
        <w:rPr>
          <w:rFonts w:ascii="Times New Roman" w:cs="Times New Roman" w:eastAsia="Times New Roman" w:hAnsi="Times New Roman"/>
          <w:sz w:val="18"/>
          <w:szCs w:val="18"/>
          <w:color w:val="auto"/>
        </w:rPr>
        <w:t>2.2.1.5. a Common Warrant registered in the name of such Purchaser to purchase up to a number of shares of Common Stock equal to [____]% of the sum of such Purchaser’s Shares and Pre-Funded Warrant Shares, with an exercise price equal to $____, subject to</w:t>
      </w:r>
    </w:p>
    <w:p>
      <w:pPr>
        <w:ind w:left="640"/>
        <w:spacing w:after="0"/>
        <w:rPr>
          <w:sz w:val="20"/>
          <w:szCs w:val="20"/>
          <w:color w:val="auto"/>
        </w:rPr>
      </w:pPr>
      <w:r>
        <w:rPr>
          <w:rFonts w:ascii="Times New Roman" w:cs="Times New Roman" w:eastAsia="Times New Roman" w:hAnsi="Times New Roman"/>
          <w:sz w:val="18"/>
          <w:szCs w:val="18"/>
          <w:color w:val="auto"/>
        </w:rPr>
        <w:t>adjustment therein;</w:t>
      </w:r>
    </w:p>
    <w:p>
      <w:pPr>
        <w:spacing w:after="0" w:line="207" w:lineRule="exact"/>
        <w:rPr>
          <w:sz w:val="20"/>
          <w:szCs w:val="20"/>
          <w:color w:val="auto"/>
        </w:rPr>
      </w:pPr>
    </w:p>
    <w:p>
      <w:pPr>
        <w:jc w:val="both"/>
        <w:ind w:left="640" w:hanging="647"/>
        <w:spacing w:after="0" w:line="261" w:lineRule="auto"/>
        <w:rPr>
          <w:sz w:val="20"/>
          <w:szCs w:val="20"/>
          <w:color w:val="auto"/>
        </w:rPr>
      </w:pPr>
      <w:r>
        <w:rPr>
          <w:rFonts w:ascii="Times New Roman" w:cs="Times New Roman" w:eastAsia="Times New Roman" w:hAnsi="Times New Roman"/>
          <w:sz w:val="18"/>
          <w:szCs w:val="18"/>
          <w:color w:val="auto"/>
        </w:rPr>
        <w:t>2.2.1.6. for each Purchaser of Pre-Funded Warrants pursuant to Section 2.1, a Pre-Funded Warrant registered in the name of such Purchaser to purchase up to a number of shares of Common Stock equal to the portion of such Purchaser’s Subscription Amount applicable to Pre-Funded Warrant divided by the Per Share and Common Warrant Purchase Price minus $0.001, with an exercise price equal to $0.001, subject to adjustment therein;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2.2.1.7. on the date hereof, the duly executed Lock-Up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2.2.1.8. an Officer’s Certificate, in form and substance reasonably satisfactory to the Placement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2.2.1.9. a Secretary’s Certificate, in form and substance reasonably satisfactory to the Placement Agent; and</w:t>
      </w:r>
    </w:p>
    <w:p>
      <w:pPr>
        <w:spacing w:after="0" w:line="225" w:lineRule="exact"/>
        <w:rPr>
          <w:sz w:val="20"/>
          <w:szCs w:val="20"/>
          <w:color w:val="auto"/>
        </w:rPr>
      </w:pPr>
    </w:p>
    <w:p>
      <w:pPr>
        <w:jc w:val="both"/>
        <w:ind w:left="640" w:right="20" w:hanging="647"/>
        <w:spacing w:after="0" w:line="282" w:lineRule="auto"/>
        <w:rPr>
          <w:sz w:val="20"/>
          <w:szCs w:val="20"/>
          <w:color w:val="auto"/>
        </w:rPr>
      </w:pPr>
      <w:r>
        <w:rPr>
          <w:rFonts w:ascii="Times New Roman" w:cs="Times New Roman" w:eastAsia="Times New Roman" w:hAnsi="Times New Roman"/>
          <w:sz w:val="18"/>
          <w:szCs w:val="18"/>
          <w:color w:val="auto"/>
        </w:rPr>
        <w:t>2.2.1.10.from the Chief Financial Officer of the Company, a certificate certifying as to certain financial matters set forth therein and in form and substance satisfactory in all respects to the Placement Agent, dated as of the date of this Agreement; and</w:t>
      </w:r>
    </w:p>
    <w:p>
      <w:pPr>
        <w:spacing w:after="0" w:line="162"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2.2.1.11. the Prospectus and Prospectus Supplement (which may be delivered in accordance with Rule 172 under the Securities Act).</w:t>
      </w:r>
    </w:p>
    <w:p>
      <w:pPr>
        <w:spacing w:after="0" w:line="26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715" w:right="339" w:bottom="1440" w:gutter="0" w:footer="0" w:header="0"/>
        </w:sectPr>
      </w:pPr>
    </w:p>
    <w:bookmarkStart w:id="31" w:name="page32"/>
    <w:bookmarkEnd w:id="31"/>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color w:val="auto"/>
        </w:rPr>
        <w:t>On or prior to the Closing Date, each Purchaser shall deliver or cause to be delivered to the Company, the following:</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2.2.2.1. this Agreement duly executed by such Purchaser; and</w:t>
      </w:r>
    </w:p>
    <w:p>
      <w:pPr>
        <w:spacing w:after="0" w:line="225" w:lineRule="exact"/>
        <w:rPr>
          <w:sz w:val="20"/>
          <w:szCs w:val="20"/>
          <w:color w:val="auto"/>
        </w:rPr>
      </w:pPr>
    </w:p>
    <w:p>
      <w:pPr>
        <w:jc w:val="both"/>
        <w:ind w:left="1280" w:right="20" w:hanging="647"/>
        <w:spacing w:after="0" w:line="282" w:lineRule="auto"/>
        <w:rPr>
          <w:sz w:val="20"/>
          <w:szCs w:val="20"/>
          <w:color w:val="auto"/>
        </w:rPr>
      </w:pPr>
      <w:r>
        <w:rPr>
          <w:rFonts w:ascii="Times New Roman" w:cs="Times New Roman" w:eastAsia="Times New Roman" w:hAnsi="Times New Roman"/>
          <w:sz w:val="18"/>
          <w:szCs w:val="18"/>
          <w:color w:val="auto"/>
        </w:rPr>
        <w:t>2.2.2.2. such Purchaser’s Subscription Amount, which shall be made available for “Delivery Versus Payment” settlement with the Company or its designee.</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Closing Conditions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The obligations of the Company hereunder in connection with the Closing are subject to the following conditions being met:</w:t>
      </w:r>
    </w:p>
    <w:p>
      <w:pPr>
        <w:spacing w:after="0" w:line="252" w:lineRule="exact"/>
        <w:rPr>
          <w:sz w:val="20"/>
          <w:szCs w:val="20"/>
          <w:color w:val="auto"/>
        </w:rPr>
      </w:pPr>
    </w:p>
    <w:p>
      <w:pPr>
        <w:jc w:val="both"/>
        <w:ind w:left="1280" w:hanging="647"/>
        <w:spacing w:after="0" w:line="261" w:lineRule="auto"/>
        <w:rPr>
          <w:sz w:val="20"/>
          <w:szCs w:val="20"/>
          <w:color w:val="auto"/>
        </w:rPr>
      </w:pPr>
      <w:r>
        <w:rPr>
          <w:rFonts w:ascii="Times New Roman" w:cs="Times New Roman" w:eastAsia="Times New Roman" w:hAnsi="Times New Roman"/>
          <w:sz w:val="18"/>
          <w:szCs w:val="18"/>
          <w:color w:val="auto"/>
        </w:rPr>
        <w:t>2.3.1.1. 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80" w:lineRule="exact"/>
        <w:rPr>
          <w:sz w:val="20"/>
          <w:szCs w:val="20"/>
          <w:color w:val="auto"/>
        </w:rPr>
      </w:pPr>
    </w:p>
    <w:p>
      <w:pPr>
        <w:jc w:val="both"/>
        <w:ind w:left="1280" w:hanging="647"/>
        <w:spacing w:after="0" w:line="282" w:lineRule="auto"/>
        <w:rPr>
          <w:sz w:val="20"/>
          <w:szCs w:val="20"/>
          <w:color w:val="auto"/>
        </w:rPr>
      </w:pPr>
      <w:r>
        <w:rPr>
          <w:rFonts w:ascii="Times New Roman" w:cs="Times New Roman" w:eastAsia="Times New Roman" w:hAnsi="Times New Roman"/>
          <w:sz w:val="18"/>
          <w:szCs w:val="18"/>
          <w:color w:val="auto"/>
        </w:rPr>
        <w:t>2.3.1.2. all obligations, covenants and agreements of each Purchaser required to be performed at or prior to the Closing Date shall have been performed; and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2.3.1.3. the delivery by each Purchaser of the items set forth in Section 2.2.2 of this Agreement.</w:t>
      </w:r>
    </w:p>
    <w:p>
      <w:pPr>
        <w:spacing w:after="0" w:line="252"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The respective obligations of the Purchasers hereunder in connection with the Closing are subject to the following conditions being met:</w:t>
      </w:r>
    </w:p>
    <w:p>
      <w:pPr>
        <w:spacing w:after="0" w:line="252" w:lineRule="exact"/>
        <w:rPr>
          <w:sz w:val="20"/>
          <w:szCs w:val="20"/>
          <w:color w:val="auto"/>
        </w:rPr>
      </w:pPr>
    </w:p>
    <w:p>
      <w:pPr>
        <w:jc w:val="both"/>
        <w:ind w:left="1280" w:hanging="647"/>
        <w:spacing w:after="0" w:line="261" w:lineRule="auto"/>
        <w:rPr>
          <w:sz w:val="20"/>
          <w:szCs w:val="20"/>
          <w:color w:val="auto"/>
        </w:rPr>
      </w:pPr>
      <w:r>
        <w:rPr>
          <w:rFonts w:ascii="Times New Roman" w:cs="Times New Roman" w:eastAsia="Times New Roman" w:hAnsi="Times New Roman"/>
          <w:sz w:val="18"/>
          <w:szCs w:val="18"/>
          <w:color w:val="auto"/>
        </w:rPr>
        <w:t>2.3.2.1.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80" w:lineRule="exact"/>
        <w:rPr>
          <w:sz w:val="20"/>
          <w:szCs w:val="20"/>
          <w:color w:val="auto"/>
        </w:rPr>
      </w:pPr>
    </w:p>
    <w:p>
      <w:pPr>
        <w:jc w:val="both"/>
        <w:ind w:left="1280" w:hanging="647"/>
        <w:spacing w:after="0" w:line="282" w:lineRule="auto"/>
        <w:rPr>
          <w:sz w:val="20"/>
          <w:szCs w:val="20"/>
          <w:color w:val="auto"/>
        </w:rPr>
      </w:pPr>
      <w:r>
        <w:rPr>
          <w:rFonts w:ascii="Times New Roman" w:cs="Times New Roman" w:eastAsia="Times New Roman" w:hAnsi="Times New Roman"/>
          <w:sz w:val="18"/>
          <w:szCs w:val="18"/>
          <w:color w:val="auto"/>
        </w:rPr>
        <w:t>2.3.2.2. all obligations, covenants and agreements of the Company required to be performed at or prior to the Closing Date shall have been performed;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2.3.2.3. the delivery by the Company of the items set forth in Section 2.2.1 of this Agreement;</w:t>
      </w:r>
    </w:p>
    <w:p>
      <w:pPr>
        <w:spacing w:after="0" w:line="25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715" w:right="339" w:bottom="1440" w:gutter="0" w:footer="0" w:header="0"/>
        </w:sectPr>
      </w:pPr>
    </w:p>
    <w:bookmarkStart w:id="32" w:name="page33"/>
    <w:bookmarkEnd w:id="32"/>
    <w:p>
      <w:pPr>
        <w:ind w:left="980"/>
        <w:spacing w:after="0"/>
        <w:rPr>
          <w:sz w:val="20"/>
          <w:szCs w:val="20"/>
          <w:color w:val="auto"/>
        </w:rPr>
      </w:pPr>
      <w:r>
        <w:rPr>
          <w:rFonts w:ascii="Times New Roman" w:cs="Times New Roman" w:eastAsia="Times New Roman" w:hAnsi="Times New Roman"/>
          <w:sz w:val="18"/>
          <w:szCs w:val="18"/>
          <w:color w:val="auto"/>
        </w:rPr>
        <w:t>2.3.2.4. there shall have been no Material Adverse Effect with respect to the Company since the date hereof;</w:t>
      </w:r>
    </w:p>
    <w:p>
      <w:pPr>
        <w:spacing w:after="0" w:line="225" w:lineRule="exact"/>
        <w:rPr>
          <w:sz w:val="20"/>
          <w:szCs w:val="20"/>
          <w:color w:val="auto"/>
        </w:rPr>
      </w:pPr>
    </w:p>
    <w:p>
      <w:pPr>
        <w:jc w:val="both"/>
        <w:ind w:left="1620" w:hanging="647"/>
        <w:spacing w:after="0" w:line="254" w:lineRule="auto"/>
        <w:rPr>
          <w:sz w:val="20"/>
          <w:szCs w:val="20"/>
          <w:color w:val="auto"/>
        </w:rPr>
      </w:pPr>
      <w:r>
        <w:rPr>
          <w:rFonts w:ascii="Times New Roman" w:cs="Times New Roman" w:eastAsia="Times New Roman" w:hAnsi="Times New Roman"/>
          <w:sz w:val="18"/>
          <w:szCs w:val="18"/>
          <w:color w:val="auto"/>
        </w:rPr>
        <w:t>2.3.2.5.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219"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p>
    <w:p>
      <w:pPr>
        <w:spacing w:after="0" w:line="252" w:lineRule="exact"/>
        <w:rPr>
          <w:sz w:val="20"/>
          <w:szCs w:val="20"/>
          <w:color w:val="auto"/>
        </w:rPr>
      </w:pPr>
    </w:p>
    <w:p>
      <w:pPr>
        <w:jc w:val="both"/>
        <w:ind w:left="980" w:hanging="647"/>
        <w:spacing w:after="0" w:line="258" w:lineRule="auto"/>
        <w:tabs>
          <w:tab w:leader="none" w:pos="9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or the Disclosure Schedules, which Disclosure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 as of the date hereof and as of the Closing Date as follows (unless as of a specific date therein, in which case they shall be accurate as of such date):</w:t>
      </w:r>
    </w:p>
    <w:p>
      <w:pPr>
        <w:spacing w:after="0" w:line="210"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subsidiaries of the Company are set forth on Exhibit 21.1 of the Company’s Annual Report on Form 10-K for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year ended April 30, 2025.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3"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existing and in good standing under the laws of the jurisdiction of its incorporation or organization, with the requisite power and authority to own and use its properties and assets and to carry on its business as currently conducted, except where the failure to be in good standing could not reasonably be expected to have a Material Adverse Effect.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97"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the Company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3" w:name="page34"/>
    <w:bookmarkEnd w:id="33"/>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any Subsidiary pursuant to,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spacing w:after="0" w:line="187" w:lineRule="exact"/>
        <w:rPr>
          <w:sz w:val="20"/>
          <w:szCs w:val="20"/>
          <w:color w:val="auto"/>
        </w:rPr>
      </w:pPr>
    </w:p>
    <w:p>
      <w:pPr>
        <w:jc w:val="both"/>
        <w:ind w:left="180" w:hanging="647"/>
        <w:spacing w:after="0" w:line="256" w:lineRule="auto"/>
        <w:tabs>
          <w:tab w:leader="none" w:pos="16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4.3 of this Agreement, (ii) the filing with the Commission of the Prospectus Supplement, (iii) application(s) to each applicable Trading Market for the listing of the Shares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80" w:hanging="647"/>
        <w:spacing w:after="0" w:line="251" w:lineRule="auto"/>
        <w:tabs>
          <w:tab w:leader="none" w:pos="16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Shares and the Warrants are duly authorized and, when issued and paid for in accordance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 the applicable Transaction Documents, will be duly and validly issued, fully paid and nonassessable, free and clear of all Liens imposed by the Company. The Warrants, when paid for and issued in accordance with this Agreement, will constitute valid and binding obligations of the Company, enforceable against the Company in accordance with their terms, except as such enforceability may be limited by bankruptcy, insolvency, reorganization, moratorium and similar laws affecting the rights of creditors generally and subject to general principles of equity. The Warrant Shares, when issued in accordance with the terms of the Warrants, will be validly issued, fully paid and nonassessable, free and clear of all Liens imposed by the Company. The Company has reserved and will keep available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December 12, 2023,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does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does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I.B.I of Form S-3.</w:t>
      </w:r>
    </w:p>
    <w:p>
      <w:pPr>
        <w:spacing w:after="0" w:line="2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15" w:right="339" w:bottom="1440" w:gutter="0" w:footer="0" w:header="0"/>
        </w:sectPr>
      </w:pPr>
    </w:p>
    <w:bookmarkStart w:id="34" w:name="page35"/>
    <w:bookmarkEnd w:id="34"/>
    <w:p>
      <w:pPr>
        <w:jc w:val="both"/>
        <w:ind w:left="180" w:hanging="647"/>
        <w:spacing w:after="0" w:line="251" w:lineRule="auto"/>
        <w:tabs>
          <w:tab w:leader="none" w:pos="16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has an authorized and outstanding capitalization as set forth in the SEC Reports. The Company has not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Schedule 3.1.7 or as a result of the purchase and sale of the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5" w:lineRule="exact"/>
        <w:rPr>
          <w:sz w:val="20"/>
          <w:szCs w:val="20"/>
          <w:color w:val="auto"/>
        </w:rPr>
      </w:pPr>
    </w:p>
    <w:p>
      <w:pPr>
        <w:jc w:val="both"/>
        <w:ind w:left="180" w:hanging="647"/>
        <w:spacing w:after="0" w:line="252" w:lineRule="auto"/>
        <w:tabs>
          <w:tab w:leader="none" w:pos="16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filed by the Company under the Securities Act and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15" w:right="339" w:bottom="1440" w:gutter="0" w:footer="0" w:header="0"/>
        </w:sectPr>
      </w:pPr>
    </w:p>
    <w:bookmarkStart w:id="35" w:name="page36"/>
    <w:bookmarkEnd w:id="35"/>
    <w:p>
      <w:pPr>
        <w:jc w:val="both"/>
        <w:ind w:left="180" w:hanging="647"/>
        <w:spacing w:after="0" w:line="252" w:lineRule="auto"/>
        <w:tabs>
          <w:tab w:leader="none" w:pos="160"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within the SEC Reports, and except as otherwise set forth in Schedule 3.1.9, (i) there has been no event, occurrence or development that has had or that would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spacing w:after="0" w:line="197"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3.1.10.</w:t>
      </w:r>
      <w:r>
        <w:rPr>
          <w:sz w:val="20"/>
          <w:szCs w:val="20"/>
          <w:color w:val="auto"/>
        </w:rPr>
        <w:tab/>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disclosed in Schedule 3.1.10, there is no action, suit, inquiry, notice of violation, proceeding or investigation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 adversely affects or challenges the legality, validity or enforceability of any of the Transaction Documents or the Securities or (ii) would,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to the Company’s knowledge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2"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3.1.11.</w:t>
      </w:r>
      <w:r>
        <w:rPr>
          <w:sz w:val="20"/>
          <w:szCs w:val="20"/>
          <w:color w:val="auto"/>
        </w:rPr>
        <w:tab/>
      </w: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2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15" w:right="339" w:bottom="1440" w:gutter="0" w:footer="0" w:header="0"/>
        </w:sectPr>
      </w:pPr>
    </w:p>
    <w:bookmarkStart w:id="36" w:name="page37"/>
    <w:bookmarkEnd w:id="36"/>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3.1.12.</w:t>
      </w:r>
      <w:r>
        <w:rPr>
          <w:sz w:val="20"/>
          <w:szCs w:val="20"/>
          <w:color w:val="auto"/>
        </w:rPr>
        <w:tab/>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88"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3.1.13.</w:t>
      </w:r>
      <w:r>
        <w:rPr>
          <w:sz w:val="20"/>
          <w:szCs w:val="20"/>
          <w:color w:val="auto"/>
        </w:rPr>
        <w:tab/>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To the Company’s knowledge, the Company and its Subsidiaries (i) are in compliance in all material respects with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sz w:val="20"/>
          <w:szCs w:val="20"/>
          <w:color w:val="auto"/>
        </w:rPr>
      </w:pPr>
    </w:p>
    <w:p>
      <w:pPr>
        <w:jc w:val="both"/>
        <w:ind w:left="180" w:hanging="647"/>
        <w:spacing w:after="0" w:line="258" w:lineRule="auto"/>
        <w:tabs>
          <w:tab w:leader="none" w:pos="160" w:val="left"/>
        </w:tabs>
        <w:rPr>
          <w:sz w:val="20"/>
          <w:szCs w:val="20"/>
          <w:color w:val="auto"/>
        </w:rPr>
      </w:pPr>
      <w:r>
        <w:rPr>
          <w:rFonts w:ascii="Times New Roman" w:cs="Times New Roman" w:eastAsia="Times New Roman" w:hAnsi="Times New Roman"/>
          <w:sz w:val="18"/>
          <w:szCs w:val="18"/>
          <w:color w:val="auto"/>
        </w:rPr>
        <w:t>3.1.14.</w:t>
      </w:r>
      <w:r>
        <w:rPr>
          <w:sz w:val="20"/>
          <w:szCs w:val="20"/>
          <w:color w:val="auto"/>
        </w:rPr>
        <w:tab/>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75"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3.1.15.</w:t>
      </w:r>
      <w:r>
        <w:rPr>
          <w:sz w:val="20"/>
          <w:szCs w:val="20"/>
          <w:color w:val="auto"/>
        </w:rPr>
        <w:tab/>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and except those matters that would not reasonably be expected, individually or in the aggregate, to have a Material Adverse Effect. Any real property and facilities held under lease by the Company and the Subsidiaries are held by them under valid, subsisting and enforceable leases with which the Company and the Subsidiaries are in compliance, except where the failure to be in compliance would not reasonably be expected to have a Material Adverse Effect.</w:t>
      </w:r>
    </w:p>
    <w:p>
      <w:pPr>
        <w:spacing w:after="0" w:line="188" w:lineRule="exact"/>
        <w:rPr>
          <w:sz w:val="20"/>
          <w:szCs w:val="20"/>
          <w:color w:val="auto"/>
        </w:rPr>
      </w:pPr>
    </w:p>
    <w:p>
      <w:pPr>
        <w:jc w:val="both"/>
        <w:ind w:left="180" w:hanging="647"/>
        <w:spacing w:after="0" w:line="252" w:lineRule="auto"/>
        <w:tabs>
          <w:tab w:leader="none" w:pos="160" w:val="left"/>
        </w:tabs>
        <w:rPr>
          <w:sz w:val="20"/>
          <w:szCs w:val="20"/>
          <w:color w:val="auto"/>
        </w:rPr>
      </w:pPr>
      <w:r>
        <w:rPr>
          <w:rFonts w:ascii="Times New Roman" w:cs="Times New Roman" w:eastAsia="Times New Roman" w:hAnsi="Times New Roman"/>
          <w:sz w:val="18"/>
          <w:szCs w:val="18"/>
          <w:color w:val="auto"/>
        </w:rPr>
        <w:t>3.1.16.</w:t>
      </w:r>
      <w:r>
        <w:rPr>
          <w:sz w:val="20"/>
          <w:szCs w:val="20"/>
          <w:color w:val="auto"/>
        </w:rPr>
        <w:tab/>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would not, individually or in the aggregate, reasonably be expected to have a Material Adverse Effect,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except as would not have a Material Adverse Effect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9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15" w:right="339" w:bottom="1440" w:gutter="0" w:footer="0" w:header="0"/>
        </w:sectPr>
      </w:pPr>
    </w:p>
    <w:bookmarkStart w:id="37" w:name="page38"/>
    <w:bookmarkEnd w:id="37"/>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3.1.17.</w:t>
      </w:r>
      <w:r>
        <w:rPr>
          <w:sz w:val="20"/>
          <w:szCs w:val="20"/>
          <w:color w:val="auto"/>
        </w:rPr>
        <w:tab/>
      </w:r>
      <w:r>
        <w:rPr>
          <w:rFonts w:ascii="Times New Roman" w:cs="Times New Roman" w:eastAsia="Times New Roman" w:hAnsi="Times New Roman"/>
          <w:sz w:val="17"/>
          <w:szCs w:val="17"/>
          <w:color w:val="auto"/>
        </w:rPr>
        <w:t>[RESERVED]</w:t>
      </w:r>
    </w:p>
    <w:p>
      <w:pPr>
        <w:spacing w:after="0" w:line="225"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3.1.18.</w:t>
      </w:r>
      <w:r>
        <w:rPr>
          <w:sz w:val="20"/>
          <w:szCs w:val="20"/>
          <w:color w:val="auto"/>
        </w:rPr>
        <w:tab/>
      </w:r>
      <w:r>
        <w:rPr>
          <w:rFonts w:ascii="Times New Roman" w:cs="Times New Roman" w:eastAsia="Times New Roman" w:hAnsi="Times New Roman"/>
          <w:sz w:val="18"/>
          <w:szCs w:val="18"/>
          <w:u w:val="single" w:color="auto"/>
          <w:color w:val="auto"/>
        </w:rPr>
        <w:t>Data Security</w:t>
      </w:r>
      <w:r>
        <w:rPr>
          <w:rFonts w:ascii="Times New Roman" w:cs="Times New Roman" w:eastAsia="Times New Roman" w:hAnsi="Times New Roman"/>
          <w:sz w:val="18"/>
          <w:szCs w:val="18"/>
          <w:color w:val="auto"/>
        </w:rPr>
        <w:t>. (i) To the best of the Company’s knowledge, the Company has complied and is presently in compliance in all material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respects with all internal and external privacy policies, contractual obligations,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of personal, personally identifiable, household, sensitive, confidential or regulated data (“</w:t>
      </w:r>
      <w:r>
        <w:rPr>
          <w:rFonts w:ascii="Times New Roman" w:cs="Times New Roman" w:eastAsia="Times New Roman" w:hAnsi="Times New Roman"/>
          <w:sz w:val="18"/>
          <w:szCs w:val="18"/>
          <w:u w:val="single" w:color="auto"/>
          <w:color w:val="auto"/>
        </w:rPr>
        <w:t>Data Security 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(ii) the Company has not received any notification of or complaint regarding and is unaware of any other facts that, individually or in the aggregate, would reasonably indicate non-compliance with any Data Security Obligation; and (iii) there is no action, suit or proceeding by or before any court or governmental agency, authority or body pending or, to the Company’s knowledge, threatened alleging non-compliance with any Data Security Obligation nor are there any incidents under internal review or investigations relating to the same.</w:t>
      </w:r>
    </w:p>
    <w:p>
      <w:pPr>
        <w:spacing w:after="0" w:line="188"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3.1.19.</w:t>
      </w:r>
      <w:r>
        <w:rPr>
          <w:sz w:val="20"/>
          <w:szCs w:val="20"/>
          <w:color w:val="auto"/>
        </w:rPr>
        <w:tab/>
      </w:r>
      <w:r>
        <w:rPr>
          <w:rFonts w:ascii="Times New Roman" w:cs="Times New Roman" w:eastAsia="Times New Roman" w:hAnsi="Times New Roman"/>
          <w:sz w:val="18"/>
          <w:szCs w:val="18"/>
          <w:u w:val="single" w:color="auto"/>
          <w:color w:val="auto"/>
        </w:rPr>
        <w:t>Data Protection; No Breaches</w:t>
      </w:r>
      <w:r>
        <w:rPr>
          <w:rFonts w:ascii="Times New Roman" w:cs="Times New Roman" w:eastAsia="Times New Roman" w:hAnsi="Times New Roman"/>
          <w:sz w:val="18"/>
          <w:szCs w:val="18"/>
          <w:color w:val="auto"/>
        </w:rPr>
        <w:t>. To the best of the Company’s knowledge, the Company’s information technology assets and equipment,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computers, systems, networks, hardware, software, websites, applications, and databases are adequate for, and operate and perform in all material respects as required in connection with, the operation of the business of the Company as currently conducted, free and clear of all material bugs, errors, defects, Trojan horses, time bombs, malware and other corruptants. The Company has taken commercially reasonable efforts to protect the information technology systems and Data used in connection with the operation of the Company’s business. Without limiting the foregoing, the Company has used reasonable efforts to establish and maintain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business (“</w:t>
      </w: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There has been no such Breach, and the Company has not been notified of and has no knowledge of any event or condition that would reasonably be expected to result in, any such Breach.</w:t>
      </w:r>
    </w:p>
    <w:p>
      <w:pPr>
        <w:spacing w:after="0" w:line="2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715" w:right="339" w:bottom="1440" w:gutter="0" w:footer="0" w:header="0"/>
        </w:sectPr>
      </w:pPr>
    </w:p>
    <w:bookmarkStart w:id="38" w:name="page39"/>
    <w:bookmarkEnd w:id="38"/>
    <w:p>
      <w:pPr>
        <w:jc w:val="both"/>
        <w:ind w:left="180" w:hanging="647"/>
        <w:spacing w:after="0" w:line="258" w:lineRule="auto"/>
        <w:tabs>
          <w:tab w:leader="none" w:pos="160" w:val="left"/>
        </w:tabs>
        <w:rPr>
          <w:sz w:val="20"/>
          <w:szCs w:val="20"/>
          <w:color w:val="auto"/>
        </w:rPr>
      </w:pPr>
      <w:r>
        <w:rPr>
          <w:rFonts w:ascii="Times New Roman" w:cs="Times New Roman" w:eastAsia="Times New Roman" w:hAnsi="Times New Roman"/>
          <w:sz w:val="18"/>
          <w:szCs w:val="18"/>
          <w:color w:val="auto"/>
        </w:rPr>
        <w:t>3.1.20.</w:t>
      </w:r>
      <w:r>
        <w:rPr>
          <w:sz w:val="20"/>
          <w:szCs w:val="20"/>
          <w:color w:val="auto"/>
        </w:rPr>
        <w:tab/>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3.1.21.</w:t>
      </w:r>
      <w:r>
        <w:rPr>
          <w:sz w:val="20"/>
          <w:szCs w:val="20"/>
          <w:color w:val="auto"/>
        </w:rPr>
        <w:tab/>
      </w: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None of the officers or directors of the Company or any Subsidiary and, to the knowledge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sz w:val="20"/>
          <w:szCs w:val="20"/>
          <w:color w:val="auto"/>
        </w:rPr>
      </w:pPr>
    </w:p>
    <w:p>
      <w:pPr>
        <w:jc w:val="both"/>
        <w:ind w:left="180" w:hanging="647"/>
        <w:spacing w:after="0" w:line="252" w:lineRule="auto"/>
        <w:tabs>
          <w:tab w:leader="none" w:pos="160" w:val="left"/>
        </w:tabs>
        <w:rPr>
          <w:sz w:val="20"/>
          <w:szCs w:val="20"/>
          <w:color w:val="auto"/>
        </w:rPr>
      </w:pPr>
      <w:r>
        <w:rPr>
          <w:rFonts w:ascii="Times New Roman" w:cs="Times New Roman" w:eastAsia="Times New Roman" w:hAnsi="Times New Roman"/>
          <w:sz w:val="18"/>
          <w:szCs w:val="18"/>
          <w:color w:val="auto"/>
        </w:rPr>
        <w:t>3.1.22.</w:t>
      </w:r>
      <w:r>
        <w:rPr>
          <w:sz w:val="20"/>
          <w:szCs w:val="20"/>
          <w:color w:val="auto"/>
        </w:rPr>
        <w:tab/>
      </w: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requirements of the Sarbanes-Oxley Act of 2002, as amended, that are effective as of the date hereof, and any and all applicable rules and regulations promulgated by the Commission thereunder that are effective as of the date hereof and as of the Closing Date. Except as disclosed in the Disclosure Schedules,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differences. Except as disclosed in the Disclosure Schedules,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2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15" w:right="339" w:bottom="1440" w:gutter="0" w:footer="0" w:header="0"/>
        </w:sectPr>
      </w:pPr>
    </w:p>
    <w:bookmarkStart w:id="39" w:name="page40"/>
    <w:bookmarkEnd w:id="39"/>
    <w:p>
      <w:pPr>
        <w:jc w:val="both"/>
        <w:ind w:left="180" w:hanging="647"/>
        <w:spacing w:after="0" w:line="258" w:lineRule="auto"/>
        <w:tabs>
          <w:tab w:leader="none" w:pos="160" w:val="left"/>
        </w:tabs>
        <w:rPr>
          <w:sz w:val="20"/>
          <w:szCs w:val="20"/>
          <w:color w:val="auto"/>
        </w:rPr>
      </w:pPr>
      <w:r>
        <w:rPr>
          <w:rFonts w:ascii="Times New Roman" w:cs="Times New Roman" w:eastAsia="Times New Roman" w:hAnsi="Times New Roman"/>
          <w:sz w:val="18"/>
          <w:szCs w:val="18"/>
          <w:color w:val="auto"/>
        </w:rPr>
        <w:t>3.1.23.</w:t>
      </w:r>
      <w:r>
        <w:rPr>
          <w:sz w:val="20"/>
          <w:szCs w:val="20"/>
          <w:color w:val="auto"/>
        </w:rPr>
        <w:tab/>
      </w: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sz w:val="20"/>
          <w:szCs w:val="20"/>
          <w:color w:val="auto"/>
        </w:rPr>
      </w:pPr>
    </w:p>
    <w:p>
      <w:pPr>
        <w:jc w:val="both"/>
        <w:ind w:left="18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color w:val="auto"/>
        </w:rPr>
        <w:t>3.1.24.</w:t>
      </w:r>
      <w:r>
        <w:rPr>
          <w:sz w:val="20"/>
          <w:szCs w:val="20"/>
          <w:color w:val="auto"/>
        </w:rPr>
        <w:tab/>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0" w:lineRule="exact"/>
        <w:rPr>
          <w:sz w:val="20"/>
          <w:szCs w:val="20"/>
          <w:color w:val="auto"/>
        </w:rPr>
      </w:pPr>
    </w:p>
    <w:p>
      <w:pPr>
        <w:jc w:val="both"/>
        <w:ind w:left="18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color w:val="auto"/>
        </w:rPr>
        <w:t>3.1.25.</w:t>
      </w:r>
      <w:r>
        <w:rPr>
          <w:sz w:val="20"/>
          <w:szCs w:val="20"/>
          <w:color w:val="auto"/>
        </w:rPr>
        <w:tab/>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disclosed in the Disclosure Schedules, no Person has any right to cause the Company or any Subsidiary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effect the registration under the Securities Act of any securities of the Company or any Subsidiary.</w:t>
      </w:r>
    </w:p>
    <w:p>
      <w:pPr>
        <w:spacing w:after="0" w:line="162"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3.1.26.</w:t>
      </w:r>
      <w:r>
        <w:rPr>
          <w:sz w:val="20"/>
          <w:szCs w:val="20"/>
          <w:color w:val="auto"/>
        </w:rPr>
        <w:tab/>
      </w: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of the Exchange Act, and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2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15" w:right="339" w:bottom="1440" w:gutter="0" w:footer="0" w:header="0"/>
        </w:sectPr>
      </w:pPr>
    </w:p>
    <w:bookmarkStart w:id="40" w:name="page41"/>
    <w:bookmarkEnd w:id="40"/>
    <w:p>
      <w:pPr>
        <w:jc w:val="both"/>
        <w:ind w:left="180" w:hanging="647"/>
        <w:spacing w:after="0" w:line="256" w:lineRule="auto"/>
        <w:tabs>
          <w:tab w:leader="none" w:pos="160" w:val="left"/>
        </w:tabs>
        <w:rPr>
          <w:sz w:val="20"/>
          <w:szCs w:val="20"/>
          <w:color w:val="auto"/>
        </w:rPr>
      </w:pPr>
      <w:r>
        <w:rPr>
          <w:rFonts w:ascii="Times New Roman" w:cs="Times New Roman" w:eastAsia="Times New Roman" w:hAnsi="Times New Roman"/>
          <w:sz w:val="18"/>
          <w:szCs w:val="18"/>
          <w:color w:val="auto"/>
        </w:rPr>
        <w:t>3.1.27.</w:t>
      </w:r>
      <w:r>
        <w:rPr>
          <w:sz w:val="20"/>
          <w:szCs w:val="20"/>
          <w:color w:val="auto"/>
        </w:rPr>
        <w:tab/>
      </w: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3.1.28.</w:t>
      </w:r>
      <w:r>
        <w:rPr>
          <w:sz w:val="20"/>
          <w:szCs w:val="20"/>
          <w:color w:val="auto"/>
        </w:rPr>
        <w:tab/>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7" w:lineRule="exact"/>
        <w:rPr>
          <w:sz w:val="20"/>
          <w:szCs w:val="20"/>
          <w:color w:val="auto"/>
        </w:rPr>
      </w:pPr>
    </w:p>
    <w:p>
      <w:pPr>
        <w:jc w:val="both"/>
        <w:ind w:left="180" w:hanging="647"/>
        <w:spacing w:after="0" w:line="258" w:lineRule="auto"/>
        <w:tabs>
          <w:tab w:leader="none" w:pos="160" w:val="left"/>
        </w:tabs>
        <w:rPr>
          <w:sz w:val="20"/>
          <w:szCs w:val="20"/>
          <w:color w:val="auto"/>
        </w:rPr>
      </w:pPr>
      <w:r>
        <w:rPr>
          <w:rFonts w:ascii="Times New Roman" w:cs="Times New Roman" w:eastAsia="Times New Roman" w:hAnsi="Times New Roman"/>
          <w:sz w:val="18"/>
          <w:szCs w:val="18"/>
          <w:color w:val="auto"/>
        </w:rPr>
        <w:t>3.1.29.</w:t>
      </w:r>
      <w:r>
        <w:rPr>
          <w:sz w:val="20"/>
          <w:szCs w:val="20"/>
          <w:color w:val="auto"/>
        </w:rPr>
        <w:tab/>
      </w: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15" w:right="339" w:bottom="1440" w:gutter="0" w:footer="0" w:header="0"/>
        </w:sectPr>
      </w:pPr>
    </w:p>
    <w:bookmarkStart w:id="41" w:name="page42"/>
    <w:bookmarkEnd w:id="41"/>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3.1.30.</w:t>
      </w:r>
      <w:r>
        <w:rPr>
          <w:sz w:val="20"/>
          <w:szCs w:val="20"/>
          <w:color w:val="auto"/>
        </w:rPr>
        <w:tab/>
      </w:r>
      <w:r>
        <w:rPr>
          <w:rFonts w:ascii="Times New Roman" w:cs="Times New Roman" w:eastAsia="Times New Roman" w:hAnsi="Times New Roman"/>
          <w:sz w:val="18"/>
          <w:szCs w:val="18"/>
          <w:u w:val="single" w:color="auto"/>
          <w:color w:val="auto"/>
        </w:rPr>
        <w:t xml:space="preserve">Solvency. </w:t>
      </w:r>
      <w:r>
        <w:rPr>
          <w:rFonts w:ascii="Times New Roman" w:cs="Times New Roman" w:eastAsia="Times New Roman" w:hAnsi="Times New Roman"/>
          <w:sz w:val="18"/>
          <w:szCs w:val="18"/>
          <w:color w:val="auto"/>
        </w:rPr>
        <w:t>Based on the consolidated financial condition of the Company as of the date hereof, after giving effect to the receipt by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w:t>
      </w:r>
    </w:p>
    <w:p>
      <w:pPr>
        <w:spacing w:after="0" w:line="190" w:lineRule="exact"/>
        <w:rPr>
          <w:sz w:val="20"/>
          <w:szCs w:val="20"/>
          <w:color w:val="auto"/>
        </w:rPr>
      </w:pPr>
    </w:p>
    <w:p>
      <w:pPr>
        <w:jc w:val="both"/>
        <w:ind w:left="180" w:hanging="647"/>
        <w:spacing w:after="0" w:line="255" w:lineRule="auto"/>
        <w:tabs>
          <w:tab w:leader="none" w:pos="160" w:val="left"/>
        </w:tabs>
        <w:rPr>
          <w:sz w:val="20"/>
          <w:szCs w:val="20"/>
          <w:color w:val="auto"/>
        </w:rPr>
      </w:pPr>
      <w:r>
        <w:rPr>
          <w:rFonts w:ascii="Times New Roman" w:cs="Times New Roman" w:eastAsia="Times New Roman" w:hAnsi="Times New Roman"/>
          <w:sz w:val="18"/>
          <w:szCs w:val="18"/>
          <w:color w:val="auto"/>
        </w:rPr>
        <w:t>3.1.31.</w:t>
      </w:r>
      <w:r>
        <w:rPr>
          <w:sz w:val="20"/>
          <w:szCs w:val="20"/>
          <w:color w:val="auto"/>
        </w:rPr>
        <w:tab/>
      </w: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9" w:lineRule="exact"/>
        <w:rPr>
          <w:sz w:val="20"/>
          <w:szCs w:val="20"/>
          <w:color w:val="auto"/>
        </w:rPr>
      </w:pPr>
    </w:p>
    <w:p>
      <w:pPr>
        <w:jc w:val="both"/>
        <w:ind w:left="180" w:hanging="647"/>
        <w:spacing w:after="0" w:line="256" w:lineRule="auto"/>
        <w:tabs>
          <w:tab w:leader="none" w:pos="160" w:val="left"/>
        </w:tabs>
        <w:rPr>
          <w:sz w:val="20"/>
          <w:szCs w:val="20"/>
          <w:color w:val="auto"/>
        </w:rPr>
      </w:pPr>
      <w:r>
        <w:rPr>
          <w:rFonts w:ascii="Times New Roman" w:cs="Times New Roman" w:eastAsia="Times New Roman" w:hAnsi="Times New Roman"/>
          <w:sz w:val="18"/>
          <w:szCs w:val="18"/>
          <w:color w:val="auto"/>
        </w:rPr>
        <w:t>3.1.32.</w:t>
      </w:r>
      <w:r>
        <w:rPr>
          <w:sz w:val="20"/>
          <w:szCs w:val="20"/>
          <w:color w:val="auto"/>
        </w:rPr>
        <w:tab/>
      </w: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2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15" w:right="339" w:bottom="1440" w:gutter="0" w:footer="0" w:header="0"/>
        </w:sectPr>
      </w:pPr>
    </w:p>
    <w:bookmarkStart w:id="42" w:name="page43"/>
    <w:bookmarkEnd w:id="42"/>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3.1.33.</w:t>
      </w:r>
      <w:r>
        <w:rPr>
          <w:sz w:val="20"/>
          <w:szCs w:val="20"/>
          <w:color w:val="auto"/>
        </w:rPr>
        <w:tab/>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Baker Tilly US, LLP. To the knowledge and belief of the Company, such accounting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firm (i) is a registered public accounting firm as required by the Exchange Act and (ii) shall express its opinion with respect to the financial statements to be included in the Company’s Annual Report for the fiscal year ending April 30, 2026.</w:t>
      </w:r>
    </w:p>
    <w:p>
      <w:pPr>
        <w:spacing w:after="0" w:line="176"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3.1.34.</w:t>
      </w:r>
      <w:r>
        <w:rPr>
          <w:sz w:val="20"/>
          <w:szCs w:val="20"/>
          <w:color w:val="auto"/>
        </w:rPr>
        <w:tab/>
      </w:r>
      <w:r>
        <w:rPr>
          <w:rFonts w:ascii="Times New Roman" w:cs="Times New Roman" w:eastAsia="Times New Roman" w:hAnsi="Times New Roman"/>
          <w:sz w:val="18"/>
          <w:szCs w:val="18"/>
          <w:u w:val="single" w:color="auto"/>
          <w:color w:val="auto"/>
        </w:rPr>
        <w:t xml:space="preserve">Acknowledgment Regarding Purchasers’ Purchase of </w:t>
      </w:r>
      <w:r>
        <w:rPr>
          <w:rFonts w:ascii="Times New Roman" w:cs="Times New Roman" w:eastAsia="Times New Roman" w:hAnsi="Times New Roman"/>
          <w:sz w:val="18"/>
          <w:szCs w:val="18"/>
          <w:color w:val="auto"/>
        </w:rPr>
        <w:t>Securities. The Company acknowledges and agrees that each of the Purchasers 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acting solely in the capacity of an arm’s length purchaser with respect to the Transaction Documents and the transactions contemplated thereby. The Company further acknowledges that, to its knowledge,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2" w:lineRule="exact"/>
        <w:rPr>
          <w:sz w:val="20"/>
          <w:szCs w:val="20"/>
          <w:color w:val="auto"/>
        </w:rPr>
      </w:pPr>
    </w:p>
    <w:p>
      <w:pPr>
        <w:jc w:val="both"/>
        <w:ind w:left="180" w:hanging="647"/>
        <w:spacing w:after="0" w:line="252" w:lineRule="auto"/>
        <w:tabs>
          <w:tab w:leader="none" w:pos="160" w:val="left"/>
        </w:tabs>
        <w:rPr>
          <w:sz w:val="20"/>
          <w:szCs w:val="20"/>
          <w:color w:val="auto"/>
        </w:rPr>
      </w:pPr>
      <w:r>
        <w:rPr>
          <w:rFonts w:ascii="Times New Roman" w:cs="Times New Roman" w:eastAsia="Times New Roman" w:hAnsi="Times New Roman"/>
          <w:sz w:val="18"/>
          <w:szCs w:val="18"/>
          <w:color w:val="auto"/>
        </w:rPr>
        <w:t>3.1.35.</w:t>
      </w:r>
      <w:r>
        <w:rPr>
          <w:sz w:val="20"/>
          <w:szCs w:val="20"/>
          <w:color w:val="auto"/>
        </w:rPr>
        <w:tab/>
      </w: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notwithstanding (except for Sections 3.2.6 and 4.11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and/or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the Securities are being determined, and (z) such hedging activities (if any) could reduce the value of the existing stockholders’ equity interests in the Company at and after the time that the hedging activities are conducted. The Company acknowledges that such aforementioned hedging activities do not constitute a breach of any of the Transaction Documents. Each Purchaser will comply with Regulation M and anti-manipulation laws.</w:t>
      </w: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15" w:right="339" w:bottom="1440" w:gutter="0" w:footer="0" w:header="0"/>
        </w:sectPr>
      </w:pPr>
    </w:p>
    <w:bookmarkStart w:id="43" w:name="page44"/>
    <w:bookmarkEnd w:id="43"/>
    <w:p>
      <w:pPr>
        <w:jc w:val="both"/>
        <w:ind w:left="180" w:hanging="647"/>
        <w:spacing w:after="0" w:line="256" w:lineRule="auto"/>
        <w:tabs>
          <w:tab w:leader="none" w:pos="160" w:val="left"/>
        </w:tabs>
        <w:rPr>
          <w:sz w:val="20"/>
          <w:szCs w:val="20"/>
          <w:color w:val="auto"/>
        </w:rPr>
      </w:pPr>
      <w:r>
        <w:rPr>
          <w:rFonts w:ascii="Times New Roman" w:cs="Times New Roman" w:eastAsia="Times New Roman" w:hAnsi="Times New Roman"/>
          <w:sz w:val="18"/>
          <w:szCs w:val="18"/>
          <w:color w:val="auto"/>
        </w:rPr>
        <w:t>3.1.36.</w:t>
      </w:r>
      <w:r>
        <w:rPr>
          <w:sz w:val="20"/>
          <w:szCs w:val="20"/>
          <w:color w:val="auto"/>
        </w:rPr>
        <w:tab/>
      </w: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7"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3.1.37.</w:t>
      </w:r>
      <w:r>
        <w:rPr>
          <w:sz w:val="20"/>
          <w:szCs w:val="20"/>
          <w:color w:val="auto"/>
        </w:rPr>
        <w:tab/>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To the Company’s knowledge, (i)(x) there has been no security breach or other compromise of or relating to any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Company’s or any Subsidiary’s information technology and computer systems, networks, hardware, software, data (including the data of its respective customers, employees, suppliers, vendors and to the Company’s knowledge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87" w:lineRule="exact"/>
        <w:rPr>
          <w:sz w:val="20"/>
          <w:szCs w:val="20"/>
          <w:color w:val="auto"/>
        </w:rPr>
      </w:pPr>
    </w:p>
    <w:p>
      <w:pPr>
        <w:jc w:val="both"/>
        <w:ind w:left="180" w:hanging="647"/>
        <w:spacing w:after="0" w:line="255" w:lineRule="auto"/>
        <w:tabs>
          <w:tab w:leader="none" w:pos="160" w:val="left"/>
        </w:tabs>
        <w:rPr>
          <w:sz w:val="20"/>
          <w:szCs w:val="20"/>
          <w:color w:val="auto"/>
        </w:rPr>
      </w:pPr>
      <w:r>
        <w:rPr>
          <w:rFonts w:ascii="Times New Roman" w:cs="Times New Roman" w:eastAsia="Times New Roman" w:hAnsi="Times New Roman"/>
          <w:sz w:val="18"/>
          <w:szCs w:val="18"/>
          <w:color w:val="auto"/>
        </w:rPr>
        <w:t>3.1.38.</w:t>
      </w:r>
      <w:r>
        <w:rPr>
          <w:sz w:val="20"/>
          <w:szCs w:val="20"/>
          <w:color w:val="auto"/>
        </w:rPr>
        <w:tab/>
      </w: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2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15" w:right="339" w:bottom="1440" w:gutter="0" w:footer="0" w:header="0"/>
        </w:sectPr>
      </w:pPr>
    </w:p>
    <w:bookmarkStart w:id="44" w:name="page45"/>
    <w:bookmarkEnd w:id="44"/>
    <w:p>
      <w:pPr>
        <w:jc w:val="both"/>
        <w:ind w:left="960" w:hanging="647"/>
        <w:spacing w:after="0" w:line="255" w:lineRule="auto"/>
        <w:tabs>
          <w:tab w:leader="none" w:pos="940" w:val="left"/>
        </w:tabs>
        <w:rPr>
          <w:sz w:val="20"/>
          <w:szCs w:val="20"/>
          <w:color w:val="auto"/>
        </w:rPr>
      </w:pPr>
      <w:r>
        <w:rPr>
          <w:rFonts w:ascii="Times New Roman" w:cs="Times New Roman" w:eastAsia="Times New Roman" w:hAnsi="Times New Roman"/>
          <w:sz w:val="18"/>
          <w:szCs w:val="18"/>
          <w:color w:val="auto"/>
        </w:rPr>
        <w:t>3.1.39.</w:t>
      </w:r>
      <w:r>
        <w:rPr>
          <w:sz w:val="20"/>
          <w:szCs w:val="20"/>
          <w:color w:val="auto"/>
        </w:rPr>
        <w:tab/>
      </w: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employee or affiliate of the Company or any Subsidiary is currently subject to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and including, without limitation, the designation as a “specially designated national” or “blocked person”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Since April 24, 2019, the Company nor any of its Subsidiaries have knowingly engaged in or are now knowingly engaged in any dealings or transactions with any person that at the time of the dealing or transaction is or was the subject or the target of Sanctions or with any Sanctioned Country.</w:t>
      </w:r>
    </w:p>
    <w:p>
      <w:pPr>
        <w:spacing w:after="0" w:line="189" w:lineRule="exact"/>
        <w:rPr>
          <w:sz w:val="20"/>
          <w:szCs w:val="20"/>
          <w:color w:val="auto"/>
        </w:rPr>
      </w:pPr>
    </w:p>
    <w:p>
      <w:pPr>
        <w:jc w:val="both"/>
        <w:ind w:left="960" w:hanging="64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3.1.40.</w:t>
      </w:r>
      <w:r>
        <w:rPr>
          <w:sz w:val="20"/>
          <w:szCs w:val="20"/>
          <w:color w:val="auto"/>
        </w:rPr>
        <w:tab/>
      </w: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meaning of Section 897 of the Internal Revenue Code of 1986, as amended, and the Company shall so certify upon Purchaser’s request.</w:t>
      </w:r>
    </w:p>
    <w:p>
      <w:pPr>
        <w:spacing w:after="0" w:line="162" w:lineRule="exact"/>
        <w:rPr>
          <w:sz w:val="20"/>
          <w:szCs w:val="20"/>
          <w:color w:val="auto"/>
        </w:rPr>
      </w:pPr>
    </w:p>
    <w:p>
      <w:pPr>
        <w:jc w:val="both"/>
        <w:ind w:left="960" w:hanging="647"/>
        <w:spacing w:after="0" w:line="255" w:lineRule="auto"/>
        <w:tabs>
          <w:tab w:leader="none" w:pos="940" w:val="left"/>
        </w:tabs>
        <w:rPr>
          <w:sz w:val="20"/>
          <w:szCs w:val="20"/>
          <w:color w:val="auto"/>
        </w:rPr>
      </w:pPr>
      <w:r>
        <w:rPr>
          <w:rFonts w:ascii="Times New Roman" w:cs="Times New Roman" w:eastAsia="Times New Roman" w:hAnsi="Times New Roman"/>
          <w:sz w:val="18"/>
          <w:szCs w:val="18"/>
          <w:color w:val="auto"/>
        </w:rPr>
        <w:t>3.1.41.</w:t>
      </w:r>
      <w:r>
        <w:rPr>
          <w:sz w:val="20"/>
          <w:szCs w:val="20"/>
          <w:color w:val="auto"/>
        </w:rPr>
        <w:tab/>
      </w: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9" w:lineRule="exact"/>
        <w:rPr>
          <w:sz w:val="20"/>
          <w:szCs w:val="20"/>
          <w:color w:val="auto"/>
        </w:rPr>
      </w:pPr>
    </w:p>
    <w:p>
      <w:pPr>
        <w:jc w:val="both"/>
        <w:ind w:left="960" w:hanging="647"/>
        <w:spacing w:after="0" w:line="256" w:lineRule="auto"/>
        <w:tabs>
          <w:tab w:leader="none" w:pos="940" w:val="left"/>
        </w:tabs>
        <w:rPr>
          <w:sz w:val="20"/>
          <w:szCs w:val="20"/>
          <w:color w:val="auto"/>
        </w:rPr>
      </w:pPr>
      <w:r>
        <w:rPr>
          <w:rFonts w:ascii="Times New Roman" w:cs="Times New Roman" w:eastAsia="Times New Roman" w:hAnsi="Times New Roman"/>
          <w:sz w:val="18"/>
          <w:szCs w:val="18"/>
          <w:color w:val="auto"/>
        </w:rPr>
        <w:t>3.1.42.</w:t>
      </w:r>
      <w:r>
        <w:rPr>
          <w:sz w:val="20"/>
          <w:szCs w:val="20"/>
          <w:color w:val="auto"/>
        </w:rPr>
        <w:tab/>
      </w: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214"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date hereof and as of the Closing Date to the Company as follows (unless as of a specific date therein, in which case they shall be accurate as of such date):</w:t>
      </w:r>
    </w:p>
    <w:p>
      <w:pPr>
        <w:spacing w:after="0" w:line="203" w:lineRule="exact"/>
        <w:rPr>
          <w:sz w:val="20"/>
          <w:szCs w:val="20"/>
          <w:color w:val="auto"/>
        </w:rPr>
      </w:pPr>
    </w:p>
    <w:p>
      <w:pPr>
        <w:jc w:val="both"/>
        <w:ind w:left="960" w:hanging="647"/>
        <w:spacing w:after="0" w:line="253" w:lineRule="auto"/>
        <w:tabs>
          <w:tab w:leader="none" w:pos="9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1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715" w:right="339" w:bottom="1440" w:gutter="0" w:footer="0" w:header="0"/>
        </w:sectPr>
      </w:pPr>
    </w:p>
    <w:bookmarkStart w:id="45" w:name="page46"/>
    <w:bookmarkEnd w:id="45"/>
    <w:p>
      <w:pPr>
        <w:jc w:val="both"/>
        <w:ind w:left="180" w:hanging="647"/>
        <w:spacing w:after="0" w:line="258" w:lineRule="auto"/>
        <w:tabs>
          <w:tab w:leader="none" w:pos="1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83" w:lineRule="exact"/>
        <w:rPr>
          <w:sz w:val="20"/>
          <w:szCs w:val="20"/>
          <w:color w:val="auto"/>
        </w:rPr>
      </w:pPr>
    </w:p>
    <w:p>
      <w:pPr>
        <w:jc w:val="both"/>
        <w:ind w:left="18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 “accredited investor” as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defined in Rule 501(a)(1), (a)(2), (a)(3), (a)(7), (a)(8), (a)(9), (a)(12) or (a)(13) under the Securities Act.</w:t>
      </w:r>
    </w:p>
    <w:p>
      <w:pPr>
        <w:spacing w:after="0" w:line="162" w:lineRule="exact"/>
        <w:rPr>
          <w:sz w:val="20"/>
          <w:szCs w:val="20"/>
          <w:color w:val="auto"/>
        </w:rPr>
      </w:pPr>
    </w:p>
    <w:p>
      <w:pPr>
        <w:jc w:val="both"/>
        <w:ind w:left="18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0"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3.2.5.</w:t>
      </w:r>
      <w:r>
        <w:rPr>
          <w:sz w:val="20"/>
          <w:szCs w:val="20"/>
          <w:color w:val="auto"/>
        </w:rPr>
        <w:tab/>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2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15" w:right="339" w:bottom="1440" w:gutter="0" w:footer="0" w:header="0"/>
        </w:sectPr>
      </w:pPr>
    </w:p>
    <w:bookmarkStart w:id="46" w:name="page47"/>
    <w:bookmarkEnd w:id="46"/>
    <w:p>
      <w:pPr>
        <w:jc w:val="both"/>
        <w:ind w:left="1300" w:hanging="647"/>
        <w:spacing w:after="0" w:line="252" w:lineRule="auto"/>
        <w:tabs>
          <w:tab w:leader="none" w:pos="1280" w:val="left"/>
        </w:tabs>
        <w:rPr>
          <w:sz w:val="20"/>
          <w:szCs w:val="20"/>
          <w:color w:val="auto"/>
        </w:rPr>
      </w:pPr>
      <w:r>
        <w:rPr>
          <w:rFonts w:ascii="Times New Roman" w:cs="Times New Roman" w:eastAsia="Times New Roman" w:hAnsi="Times New Roman"/>
          <w:sz w:val="18"/>
          <w:szCs w:val="18"/>
          <w:color w:val="auto"/>
        </w:rPr>
        <w:t>3.2.6.</w:t>
      </w:r>
      <w:r>
        <w:rPr>
          <w:sz w:val="20"/>
          <w:szCs w:val="20"/>
          <w:color w:val="auto"/>
        </w:rPr>
        <w:tab/>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7"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3.2.7.</w:t>
      </w:r>
      <w:r>
        <w:rPr>
          <w:sz w:val="20"/>
          <w:szCs w:val="20"/>
          <w:color w:val="auto"/>
        </w:rPr>
        <w:tab/>
      </w:r>
      <w:r>
        <w:rPr>
          <w:rFonts w:ascii="Times New Roman" w:cs="Times New Roman" w:eastAsia="Times New Roman" w:hAnsi="Times New Roman"/>
          <w:sz w:val="18"/>
          <w:szCs w:val="18"/>
          <w:u w:val="single" w:color="auto"/>
          <w:color w:val="auto"/>
        </w:rPr>
        <w:t>Independent Investment Decision</w:t>
      </w:r>
      <w:r>
        <w:rPr>
          <w:rFonts w:ascii="Times New Roman" w:cs="Times New Roman" w:eastAsia="Times New Roman" w:hAnsi="Times New Roman"/>
          <w:sz w:val="18"/>
          <w:szCs w:val="18"/>
          <w:color w:val="auto"/>
        </w:rPr>
        <w:t>. Each Purchaser has independently evaluated the merits of its decision to purchase Securities pursuant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 this Agreement. Each Purchaser understands that nothing in this Agreement or any other materials presented by or on behalf of the Company to the Purchaser in connection with the purchase of the Securities constitutes legal, tax or investment advice. Each Purchaser has consulted such legal, tax and investment advisors as it, in its sole discretion, has deemed necessary or appropriate in connection with its purchase of the Securities.</w:t>
      </w:r>
    </w:p>
    <w:p>
      <w:pPr>
        <w:spacing w:after="0" w:line="183"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3.2.8.</w:t>
      </w:r>
      <w:r>
        <w:rPr>
          <w:sz w:val="20"/>
          <w:szCs w:val="20"/>
          <w:color w:val="auto"/>
        </w:rPr>
        <w:tab/>
      </w:r>
      <w:r>
        <w:rPr>
          <w:rFonts w:ascii="Times New Roman" w:cs="Times New Roman" w:eastAsia="Times New Roman" w:hAnsi="Times New Roman"/>
          <w:sz w:val="18"/>
          <w:szCs w:val="18"/>
          <w:u w:val="single" w:color="auto"/>
          <w:color w:val="auto"/>
        </w:rPr>
        <w:t>Acknowledgment of Risk</w:t>
      </w:r>
      <w:r>
        <w:rPr>
          <w:rFonts w:ascii="Times New Roman" w:cs="Times New Roman" w:eastAsia="Times New Roman" w:hAnsi="Times New Roman"/>
          <w:sz w:val="18"/>
          <w:szCs w:val="18"/>
          <w:color w:val="auto"/>
        </w:rPr>
        <w:t>. Each Purchaser acknowledges and understands that its investment in the Securities involves a significant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degree of risk, including, without limitation: (i) the Company may remain a development stage business with limited operating history and requires substantial funds in addition to the proceeds from the sale of the Securities; (ii) an investment in the Company is speculative, and only investors who can afford the loss of their entire investment should consider investing in the Company and the Common Stock;</w:t>
      </w:r>
    </w:p>
    <w:p>
      <w:pPr>
        <w:spacing w:after="0" w:line="3" w:lineRule="exact"/>
        <w:rPr>
          <w:sz w:val="20"/>
          <w:szCs w:val="20"/>
          <w:color w:val="auto"/>
        </w:rPr>
      </w:pPr>
    </w:p>
    <w:p>
      <w:pPr>
        <w:jc w:val="both"/>
        <w:ind w:left="1300" w:firstLine="4"/>
        <w:spacing w:after="0" w:line="252"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may not be able to liquidate its investment; (iv) transferability of the Securities is extremely limited; (v) in the event of a disposition of the Securities, the Purchaser could sustain the loss of its entire investment; (vi) the Company has not paid any dividends on its Common Stock since inception and does not anticipate the payment of dividends in the foreseeable future; (vii) the foregoing risks are more fully set forth in the SEC Reports; and (viii)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215"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214"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Agreements of the Parties</w:t>
      </w:r>
    </w:p>
    <w:p>
      <w:pPr>
        <w:spacing w:after="0" w:line="252" w:lineRule="exact"/>
        <w:rPr>
          <w:sz w:val="20"/>
          <w:szCs w:val="20"/>
          <w:color w:val="auto"/>
        </w:rPr>
      </w:pPr>
    </w:p>
    <w:p>
      <w:pPr>
        <w:jc w:val="both"/>
        <w:ind w:left="9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time that no Purchaser owns Securities, the Company covenants to timely file (or obtain extensions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7" w:name="page48"/>
    <w:bookmarkEnd w:id="47"/>
    <w:p>
      <w:pPr>
        <w:jc w:val="both"/>
        <w:ind w:left="640" w:hanging="647"/>
        <w:spacing w:after="0" w:line="251"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entered into connection with the transaction contemplated by this Agreement, whether written or oral, between the Company, any of its Subsidiaries or any of their respective officers, directors, agents,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or the rules of any Trading Market,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206"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2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715" w:right="339" w:bottom="1440" w:gutter="0" w:footer="0" w:header="0"/>
        </w:sectPr>
      </w:pPr>
    </w:p>
    <w:bookmarkStart w:id="48" w:name="page49"/>
    <w:bookmarkEnd w:id="48"/>
    <w:p>
      <w:pPr>
        <w:jc w:val="both"/>
        <w:ind w:left="640" w:hanging="647"/>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Documents, which shall be disclosed pursuant to Section 4.3,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5"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purposes and shall not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use such proceeds: (a) for the redemption of any Common Stock or Common Stock Equivalents, (b) for the settlement of any outstanding litigation or (c) in violation of FCPA or OFAC regulations.</w:t>
      </w:r>
    </w:p>
    <w:p>
      <w:pPr>
        <w:spacing w:after="0" w:line="176" w:lineRule="exact"/>
        <w:rPr>
          <w:sz w:val="20"/>
          <w:szCs w:val="20"/>
          <w:color w:val="auto"/>
        </w:rPr>
      </w:pPr>
    </w:p>
    <w:p>
      <w:pPr>
        <w:jc w:val="both"/>
        <w:ind w:left="640" w:hanging="647"/>
        <w:spacing w:after="0" w:line="251" w:lineRule="auto"/>
        <w:tabs>
          <w:tab w:leader="none" w:pos="6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4.7, the Company will indemnify and hold each Purchaser and its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directors, officers, shareholders, members, partners, investment managers,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investment managers,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reasonably acceptable to the Purchaser Party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such Purchaser Party’s representations, warranties or covenants under the Transaction Documents, as determined by a final, non-appealable judgment of a court of competent jurisdiction. The Company shall not, without the prior written consent of the Purchaser Party, effect any settlement of any pending or threatened action or proceeding in respect of which any Purchaser Party is or could have been a party and indemnity could have been sought hereunder by such Purchaser Party, unless such settlement includes an unconditional release of such Purchaser Party from all liability on claims that are the subject matter of such proceeding and does not include any statements as to or any findings of fault, culpability or failure to act by or on behalf of any Purchaser Party. The indemnification required by this Section 4.7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715" w:right="339" w:bottom="1440" w:gutter="0" w:footer="0" w:header="0"/>
        </w:sectPr>
      </w:pPr>
    </w:p>
    <w:bookmarkStart w:id="49" w:name="page50"/>
    <w:bookmarkEnd w:id="49"/>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u w:val="single" w:color="auto"/>
          <w:color w:val="auto"/>
        </w:rPr>
        <w:t>Listing and Reservation of Common Stock</w:t>
      </w:r>
      <w:r>
        <w:rPr>
          <w:rFonts w:ascii="Times New Roman" w:cs="Times New Roman" w:eastAsia="Times New Roman" w:hAnsi="Times New Roman"/>
          <w:sz w:val="18"/>
          <w:szCs w:val="18"/>
          <w:color w:val="auto"/>
        </w:rPr>
        <w:t>. The Company hereby agrees to use best efforts to maintain the listing or quotation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the exercise of the Warrants.</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left="960" w:hanging="647"/>
        <w:spacing w:after="0" w:line="261" w:lineRule="auto"/>
        <w:tabs>
          <w:tab w:leader="none" w:pos="940" w:val="left"/>
        </w:tabs>
        <w:rPr>
          <w:sz w:val="20"/>
          <w:szCs w:val="20"/>
          <w:color w:val="auto"/>
        </w:rPr>
      </w:pPr>
      <w:r>
        <w:rPr>
          <w:rFonts w:ascii="Times New Roman" w:cs="Times New Roman" w:eastAsia="Times New Roman" w:hAnsi="Times New Roman"/>
          <w:sz w:val="18"/>
          <w:szCs w:val="18"/>
          <w:color w:val="auto"/>
        </w:rPr>
        <w:t>4.9.1.</w:t>
        <w:tab/>
        <w:t>From the date hereof until thirty (30) days after the Closing Date, neither the Company nor any Subsidiary shall (i) issue, enter into any agreement to issue or announce the issuance or proposed issuance of any shares of Common Stock or Common Stock Equivalents or (ii) file any registration statement or amendment or supplement thereto, other than the Prospectus Supplement or filing a registration statement on Form S-8 in connection with any employee benefit plan.</w:t>
      </w:r>
    </w:p>
    <w:p>
      <w:pPr>
        <w:spacing w:after="0" w:line="180" w:lineRule="exact"/>
        <w:rPr>
          <w:sz w:val="20"/>
          <w:szCs w:val="20"/>
          <w:color w:val="auto"/>
        </w:rPr>
      </w:pPr>
    </w:p>
    <w:p>
      <w:pPr>
        <w:jc w:val="both"/>
        <w:ind w:left="960" w:hanging="647"/>
        <w:spacing w:after="0" w:line="252" w:lineRule="auto"/>
        <w:tabs>
          <w:tab w:leader="none" w:pos="940" w:val="left"/>
        </w:tabs>
        <w:rPr>
          <w:sz w:val="20"/>
          <w:szCs w:val="20"/>
          <w:color w:val="auto"/>
        </w:rPr>
      </w:pPr>
      <w:r>
        <w:rPr>
          <w:rFonts w:ascii="Times New Roman" w:cs="Times New Roman" w:eastAsia="Times New Roman" w:hAnsi="Times New Roman"/>
          <w:sz w:val="18"/>
          <w:szCs w:val="18"/>
          <w:color w:val="auto"/>
        </w:rPr>
        <w:t>4.9.2.</w:t>
        <w:tab/>
        <w:t>From the date hereof until the six (6) month anniversary of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whereby the Company may issue securities at a future determined price regardless of whether shares pursuant to such agreement have actually been issued and regardless of whether such agreement is subsequently canceled. Notwithstanding anything to the contrary contained in this Section 4.9.2, sales of Common Stock pursuant to the At Market Issuance Sales Agreement, dated August 8, 2025, between the Company and Ladenburg Thalmann &amp; Co. Inc. shall be permitted beginning thirty (30) days after the Closing Date. Any Purchaser shall be entitled to obtain injunctive relief against the Company to preclude any issuance prohibited under this Section 4.9.2, which remedy shall be in addition to any right to collect damages.</w:t>
      </w:r>
    </w:p>
    <w:p>
      <w:pPr>
        <w:spacing w:after="0" w:line="195" w:lineRule="exact"/>
        <w:rPr>
          <w:sz w:val="20"/>
          <w:szCs w:val="20"/>
          <w:color w:val="auto"/>
        </w:rPr>
      </w:pPr>
    </w:p>
    <w:p>
      <w:pPr>
        <w:jc w:val="both"/>
        <w:ind w:left="960" w:hanging="64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4.9.3.</w:t>
        <w:tab/>
        <w:t>Notwithstanding the foregoing, this Section 4.9 shall not apply in respect of an Exempt Issuance, except that no Variable Rate Transaction shall be an Exempt Issuance.</w:t>
      </w:r>
    </w:p>
    <w:p>
      <w:pPr>
        <w:spacing w:after="0" w:line="1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715" w:right="339" w:bottom="1440" w:gutter="0" w:footer="0" w:header="0"/>
        </w:sectPr>
      </w:pPr>
    </w:p>
    <w:bookmarkStart w:id="50" w:name="page51"/>
    <w:bookmarkEnd w:id="50"/>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Person to amend or consent to a waiver or modification of any provision of the Transaction Documents unless the same consideration is also offered to all of the parties to such Transaction Document.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7"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4.3. Each Purchaser, severally and not jointly with the other Purchasers, covenants that until such time as the transactions contemplated by this Agreement are publicly disclosed by the Company pursuant to the initial press release as described in Section 4.3,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4.3,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4.3 and</w:t>
      </w:r>
    </w:p>
    <w:p>
      <w:pPr>
        <w:spacing w:after="0" w:line="1" w:lineRule="exact"/>
        <w:rPr>
          <w:sz w:val="20"/>
          <w:szCs w:val="20"/>
          <w:color w:val="auto"/>
        </w:rPr>
      </w:pPr>
    </w:p>
    <w:p>
      <w:pPr>
        <w:jc w:val="both"/>
        <w:ind w:left="640"/>
        <w:spacing w:after="0" w:line="251"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4.3. Notwithstanding the foregoing, (A)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 and (B) in the case of a Purchaser that has implemented internal information barriers pursuant to an information controls policy to “wall off” certain trading personnel, this Section 4.13 shall apply only with respect to activities of trading personnel who are not so walled-off from the persons who made the investment decision to purchase the Securities covered by this Agreement.</w:t>
      </w:r>
    </w:p>
    <w:p>
      <w:pPr>
        <w:spacing w:after="0" w:line="193"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180"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u w:val="single" w:color="auto"/>
          <w:color w:val="auto"/>
        </w:rPr>
        <w:t xml:space="preserve">Legends. </w:t>
      </w:r>
      <w:r>
        <w:rPr>
          <w:rFonts w:ascii="Times New Roman" w:cs="Times New Roman" w:eastAsia="Times New Roman" w:hAnsi="Times New Roman"/>
          <w:sz w:val="18"/>
          <w:szCs w:val="18"/>
          <w:color w:val="auto"/>
        </w:rPr>
        <w:t>The Shares shall be issued free of all restrictive legends. If all or any portion of a Warrant is exercised at a time when there is 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effective registration statement to cover the issuance or resale of the Warrant Shares or if the Warrant is exercised via cashless exercise,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best efforts to keep a registration statement (including the Registration Statement) registering the issuance or resale of the Warrant Shares effective during the term of the Warrants.</w:t>
      </w:r>
    </w:p>
    <w:p>
      <w:pPr>
        <w:spacing w:after="0" w:line="22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715" w:right="339" w:bottom="1440" w:gutter="0" w:footer="0" w:header="0"/>
        </w:sectPr>
      </w:pPr>
    </w:p>
    <w:bookmarkStart w:id="51" w:name="page52"/>
    <w:bookmarkEnd w:id="51"/>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52"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whatsoever on the obligations between the Company and the other Purchasers, by written notice to the other parties, if the Closing has not</w:t>
      </w:r>
    </w:p>
    <w:p>
      <w:pPr>
        <w:ind w:left="980"/>
        <w:spacing w:after="0" w:line="209" w:lineRule="auto"/>
        <w:rPr>
          <w:sz w:val="20"/>
          <w:szCs w:val="20"/>
          <w:color w:val="auto"/>
        </w:rPr>
      </w:pPr>
      <w:r>
        <w:rPr>
          <w:rFonts w:ascii="Times New Roman" w:cs="Times New Roman" w:eastAsia="Times New Roman" w:hAnsi="Times New Roman"/>
          <w:sz w:val="18"/>
          <w:szCs w:val="18"/>
          <w:color w:val="auto"/>
        </w:rPr>
        <w:t>been 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ind w:left="980" w:hanging="647"/>
        <w:spacing w:after="0" w:line="258" w:lineRule="auto"/>
        <w:tabs>
          <w:tab w:leader="none" w:pos="9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Each party shall pay the fees and expenses of its advisers, counsel, accountants and other experts, if any, and all other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expenses incurred by such party incident to the negotiation, preparation, execution, delivery and performance of this Agreement. The Company shall pay all Transfer Agent fees, stamp taxes and other taxes and duties levied in connection with the delivery of any Securities to the Purchaser, as well as the fees and expenses of the Placement Agent as set forth in the Placement Agency Agreement, by and between the Company and the Placement Agent.</w:t>
      </w:r>
    </w:p>
    <w:p>
      <w:pPr>
        <w:spacing w:after="0" w:line="183"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left="980" w:hanging="647"/>
        <w:spacing w:after="0" w:line="254" w:lineRule="auto"/>
        <w:tabs>
          <w:tab w:leader="none" w:pos="96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w:t>
      </w:r>
    </w:p>
    <w:p>
      <w:pPr>
        <w:spacing w:after="0" w:line="3" w:lineRule="exact"/>
        <w:rPr>
          <w:sz w:val="20"/>
          <w:szCs w:val="20"/>
          <w:color w:val="auto"/>
        </w:rPr>
      </w:pPr>
    </w:p>
    <w:p>
      <w:pPr>
        <w:jc w:val="both"/>
        <w:ind w:left="980"/>
        <w:spacing w:after="0" w:line="231" w:lineRule="auto"/>
        <w:rPr>
          <w:sz w:val="20"/>
          <w:szCs w:val="20"/>
          <w:color w:val="auto"/>
        </w:rPr>
      </w:pPr>
      <w:r>
        <w:rPr>
          <w:rFonts w:ascii="Times New Roman" w:cs="Times New Roman" w:eastAsia="Times New Roman" w:hAnsi="Times New Roman"/>
          <w:sz w:val="18"/>
          <w:szCs w:val="18"/>
          <w:color w:val="auto"/>
        </w:rPr>
        <w:t>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52" w:name="page53"/>
    <w:bookmarkEnd w:id="52"/>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signed, in the case of an amendment, by the Company and Purchasers which purchased at least 50%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0"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any of the provisions hereof.</w:t>
      </w:r>
    </w:p>
    <w:p>
      <w:pPr>
        <w:spacing w:after="0" w:line="162"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assigns only, and is not for the benefit of, nor may any provision hereof be enforced by, any other Person.</w:t>
      </w:r>
    </w:p>
    <w:p>
      <w:pPr>
        <w:spacing w:after="0" w:line="162"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4.7,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2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715" w:right="339" w:bottom="1440" w:gutter="0" w:footer="0" w:header="0"/>
        </w:sectPr>
      </w:pPr>
    </w:p>
    <w:bookmarkStart w:id="53" w:name="page54"/>
    <w:bookmarkEnd w:id="53"/>
    <w:p>
      <w:pPr>
        <w:spacing w:after="0"/>
        <w:tabs>
          <w:tab w:leader="none" w:pos="62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83"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2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715" w:right="339" w:bottom="1440" w:gutter="0" w:footer="0" w:header="0"/>
        </w:sectPr>
      </w:pPr>
    </w:p>
    <w:bookmarkStart w:id="54" w:name="page55"/>
    <w:bookmarkEnd w:id="54"/>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8"/>
          <w:szCs w:val="18"/>
          <w:u w:val="single" w:color="auto"/>
          <w:color w:val="auto"/>
        </w:rPr>
        <w:t xml:space="preserve">Replacement of </w:t>
      </w:r>
      <w:r>
        <w:rPr>
          <w:rFonts w:ascii="Times New Roman" w:cs="Times New Roman" w:eastAsia="Times New Roman" w:hAnsi="Times New Roman"/>
          <w:sz w:val="18"/>
          <w:szCs w:val="18"/>
          <w:color w:val="auto"/>
        </w:rPr>
        <w:t>Securities. If any certificate or instrument evidencing any Securities is mutilated, lost, stolen or destroyed, the Company shall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3"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5.16.</w:t>
      </w:r>
      <w:r>
        <w:rPr>
          <w:sz w:val="20"/>
          <w:szCs w:val="20"/>
          <w:color w:val="auto"/>
        </w:rPr>
        <w:tab/>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9"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5.17.</w:t>
      </w:r>
      <w:r>
        <w:rPr>
          <w:sz w:val="20"/>
          <w:szCs w:val="20"/>
          <w:color w:val="auto"/>
        </w:rPr>
        <w:tab/>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7"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5.18.</w:t>
      </w:r>
      <w:r>
        <w:rPr>
          <w:sz w:val="20"/>
          <w:szCs w:val="20"/>
          <w:color w:val="auto"/>
        </w:rPr>
        <w:tab/>
      </w:r>
      <w:r>
        <w:rPr>
          <w:rFonts w:ascii="Times New Roman" w:cs="Times New Roman" w:eastAsia="Times New Roman" w:hAnsi="Times New Roman"/>
          <w:sz w:val="18"/>
          <w:szCs w:val="18"/>
          <w:u w:val="single" w:color="auto"/>
          <w:color w:val="auto"/>
        </w:rPr>
        <w:t xml:space="preserve">Saturdays, Sundays, Holidays, etc. </w:t>
      </w:r>
      <w:r>
        <w:rPr>
          <w:rFonts w:ascii="Times New Roman" w:cs="Times New Roman" w:eastAsia="Times New Roman" w:hAnsi="Times New Roman"/>
          <w:sz w:val="18"/>
          <w:szCs w:val="18"/>
          <w:color w:val="auto"/>
        </w:rPr>
        <w:t>If the last or appointed day for the taking of any action or the expiration of any right required or granted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herein shall not be a Business Day, then such action may be taken or such right may be exercised on the next succeeding Business Day.</w:t>
      </w:r>
    </w:p>
    <w:p>
      <w:pPr>
        <w:spacing w:after="0" w:line="162"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5.19.</w:t>
      </w:r>
      <w:r>
        <w:rPr>
          <w:sz w:val="20"/>
          <w:szCs w:val="20"/>
          <w:color w:val="auto"/>
        </w:rPr>
        <w:tab/>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83"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5.20.</w:t>
      </w:r>
      <w:r>
        <w:rPr>
          <w:sz w:val="20"/>
          <w:szCs w:val="20"/>
          <w:color w:val="auto"/>
        </w:rPr>
        <w:tab/>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715" w:right="339" w:bottom="1440" w:gutter="0" w:footer="0" w:header="0"/>
        </w:sectPr>
      </w:pPr>
    </w:p>
    <w:bookmarkStart w:id="55" w:name="page56"/>
    <w:bookmarkEnd w:id="5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8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Ocean Power Technologies, Inc.</w:t>
      </w:r>
      <w:r>
        <w:rPr>
          <w:sz w:val="20"/>
          <w:szCs w:val="20"/>
          <w:color w:val="auto"/>
        </w:rPr>
        <w:tab/>
      </w:r>
      <w:r>
        <w:rPr>
          <w:rFonts w:ascii="Times New Roman" w:cs="Times New Roman" w:eastAsia="Times New Roman" w:hAnsi="Times New Roman"/>
          <w:sz w:val="17"/>
          <w:szCs w:val="17"/>
          <w:u w:val="single" w:color="auto"/>
          <w:color w:val="auto"/>
        </w:rPr>
        <w:t>Address for Notice:</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28 Engelhard Drive, Suite B</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Monroe Township, New Jersey 08831</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Attention: Robert Powers</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Email: rpowers@oceanpowertech.com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Porter Hedges LLP</w:t>
      </w:r>
    </w:p>
    <w:p>
      <w:pPr>
        <w:spacing w:after="0" w:line="205" w:lineRule="auto"/>
        <w:rPr>
          <w:sz w:val="20"/>
          <w:szCs w:val="20"/>
          <w:color w:val="auto"/>
        </w:rPr>
      </w:pPr>
      <w:r>
        <w:rPr>
          <w:rFonts w:ascii="Times New Roman" w:cs="Times New Roman" w:eastAsia="Times New Roman" w:hAnsi="Times New Roman"/>
          <w:sz w:val="18"/>
          <w:szCs w:val="18"/>
          <w:color w:val="auto"/>
        </w:rPr>
        <w:t>1000 Main Street, 36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Kevin J. Poli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KPoli@porterhedges.com</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for purchaser follows.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t>[PURCHASER SIGNATURE PAGES TO SECURITIES PURCHASE AGREEMENT]</w:t>
      </w:r>
    </w:p>
    <w:p>
      <w:pPr>
        <w:spacing w:after="0" w:line="25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Signatory:_________________________________________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Shares to Purchaser (if not same as address for notice):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2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 Shares: 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5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Common Warrant Shares: 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w:t>
      </w:r>
    </w:p>
    <w:p>
      <w:pPr>
        <w:spacing w:after="0" w:line="252" w:lineRule="exact"/>
        <w:rPr>
          <w:sz w:val="20"/>
          <w:szCs w:val="20"/>
          <w:color w:val="auto"/>
        </w:rPr>
      </w:pPr>
    </w:p>
    <w:p>
      <w:pPr>
        <w:jc w:val="both"/>
        <w:ind w:right="20" w:firstLine="8"/>
        <w:spacing w:after="0" w:line="261" w:lineRule="auto"/>
        <w:tabs>
          <w:tab w:leader="none" w:pos="228"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31" w:lineRule="auto"/>
        <w:rPr>
          <w:sz w:val="20"/>
          <w:szCs w:val="20"/>
          <w:color w:val="auto"/>
        </w:rPr>
      </w:pPr>
      <w:r>
        <w:rPr>
          <w:rFonts w:ascii="Times New Roman" w:cs="Times New Roman" w:eastAsia="Times New Roman" w:hAnsi="Times New Roman"/>
          <w:sz w:val="18"/>
          <w:szCs w:val="18"/>
          <w:color w:val="auto"/>
        </w:rPr>
        <w:t>the above-signed, shall be unconditional and all conditions to Closing shall be disregarded, (ii) the Closing shall occur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__,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640 5th Avenue, 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Ocean Power Technologies, Inc. Registered Direct Offering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you, as the placement agent (the “</w:t>
      </w:r>
      <w:r>
        <w:rPr>
          <w:rFonts w:ascii="Times New Roman" w:cs="Times New Roman" w:eastAsia="Times New Roman" w:hAnsi="Times New Roman"/>
          <w:sz w:val="18"/>
          <w:szCs w:val="18"/>
          <w:i w:val="1"/>
          <w:iCs w:val="1"/>
          <w:color w:val="auto"/>
        </w:rPr>
        <w:t>Placement Agent</w:t>
      </w:r>
      <w:r>
        <w:rPr>
          <w:rFonts w:ascii="Times New Roman" w:cs="Times New Roman" w:eastAsia="Times New Roman" w:hAnsi="Times New Roman"/>
          <w:sz w:val="18"/>
          <w:szCs w:val="18"/>
          <w:color w:val="auto"/>
        </w:rPr>
        <w:t>”), propose to enter into a placement agency agreement (the “</w:t>
      </w:r>
      <w:r>
        <w:rPr>
          <w:rFonts w:ascii="Times New Roman" w:cs="Times New Roman" w:eastAsia="Times New Roman" w:hAnsi="Times New Roman"/>
          <w:sz w:val="18"/>
          <w:szCs w:val="18"/>
          <w:i w:val="1"/>
          <w:iCs w:val="1"/>
          <w:color w:val="auto"/>
        </w:rPr>
        <w:t>Placement Agency Agreement</w:t>
      </w:r>
      <w:r>
        <w:rPr>
          <w:rFonts w:ascii="Times New Roman" w:cs="Times New Roman" w:eastAsia="Times New Roman" w:hAnsi="Times New Roman"/>
          <w:sz w:val="18"/>
          <w:szCs w:val="18"/>
          <w:color w:val="auto"/>
        </w:rPr>
        <w:t>”), as Placement Agent, with Ocean Power Technologies,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providing for the offer and sale (the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of securities of the Company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Capitalized terms used herein and not otherwise defined shall have the meanings set forth in the Placement Agency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 Up</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consideration of the Placement Agent’s agreement to act as Placement Agent for the Offering of the Securities, and for other good and valuable consideration receipt of which is hereby acknowledged, the undersigned hereby agrees that, without the prior written consent of the Placement Agent, the undersigned will not, and will not cause any direct or indirect affiliate to, during the period beginning on the date of the final prospectus supplement relating to the Offering (the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and ending at the close of business 30 days after the date of the Prospectus (such period, the “</w:t>
      </w:r>
      <w:r>
        <w:rPr>
          <w:rFonts w:ascii="Times New Roman" w:cs="Times New Roman" w:eastAsia="Times New Roman" w:hAnsi="Times New Roman"/>
          <w:sz w:val="18"/>
          <w:szCs w:val="18"/>
          <w:i w:val="1"/>
          <w:i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Period</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left="1140" w:hanging="484"/>
        <w:spacing w:after="0" w:line="25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par value $0.001 per share, of the Company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w:t>
      </w:r>
      <w:r>
        <w:rPr>
          <w:rFonts w:ascii="Times New Roman" w:cs="Times New Roman" w:eastAsia="Times New Roman" w:hAnsi="Times New Roman"/>
          <w:sz w:val="18"/>
          <w:szCs w:val="18"/>
          <w:i w:val="1"/>
          <w:iCs w:val="1"/>
          <w:color w:val="auto"/>
        </w:rPr>
        <w:t>Lock-Up Securities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ind w:left="1140" w:hanging="48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Lock-Up Securities, or</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it has furnished the Placement Agent with the details of any transaction the undersigned, or any of its affiliates, is a party to as of the date hereof, which transaction would have been restricted by this Letter Agreement (the “Letter Agreement”) if it had been entered into by the undersigned during the Restricted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 Up Exceptions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252" w:lineRule="exact"/>
        <w:rPr>
          <w:sz w:val="20"/>
          <w:szCs w:val="20"/>
          <w:color w:val="auto"/>
        </w:rPr>
      </w:pPr>
    </w:p>
    <w:p>
      <w:pPr>
        <w:ind w:left="1140" w:hanging="48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dispose of the undersigned’s Lock-Up Securities:</w:t>
      </w:r>
    </w:p>
    <w:p>
      <w:pPr>
        <w:spacing w:after="0" w:line="252"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or for bona fide estate planning purposes,</w:t>
      </w:r>
    </w:p>
    <w:p>
      <w:pPr>
        <w:spacing w:after="0" w:line="225"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intestacy,</w:t>
      </w:r>
    </w:p>
    <w:p>
      <w:pPr>
        <w:spacing w:after="0" w:line="225" w:lineRule="exact"/>
        <w:rPr>
          <w:rFonts w:ascii="Times New Roman" w:cs="Times New Roman" w:eastAsia="Times New Roman" w:hAnsi="Times New Roman"/>
          <w:sz w:val="18"/>
          <w:szCs w:val="18"/>
          <w:color w:val="auto"/>
        </w:rPr>
      </w:pPr>
    </w:p>
    <w:p>
      <w:pPr>
        <w:jc w:val="both"/>
        <w:ind w:left="1300" w:hanging="482"/>
        <w:spacing w:after="0" w:line="261"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179" w:lineRule="exact"/>
        <w:rPr>
          <w:rFonts w:ascii="Times New Roman" w:cs="Times New Roman" w:eastAsia="Times New Roman" w:hAnsi="Times New Roman"/>
          <w:sz w:val="18"/>
          <w:szCs w:val="18"/>
          <w:color w:val="auto"/>
        </w:rPr>
      </w:pPr>
    </w:p>
    <w:p>
      <w:pPr>
        <w:ind w:left="1300" w:hanging="482"/>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corporation, partnership, limited liability company or other entity of which the undersigned or the immediate family of the undersigned are the legal and beneficial owner of all of the outstanding equity securities or similar interests,</w:t>
      </w:r>
    </w:p>
    <w:p>
      <w:pPr>
        <w:spacing w:after="0" w:line="161" w:lineRule="exact"/>
        <w:rPr>
          <w:rFonts w:ascii="Times New Roman" w:cs="Times New Roman" w:eastAsia="Times New Roman" w:hAnsi="Times New Roman"/>
          <w:sz w:val="18"/>
          <w:szCs w:val="18"/>
          <w:color w:val="auto"/>
        </w:rPr>
      </w:pPr>
    </w:p>
    <w:p>
      <w:pPr>
        <w:ind w:left="1300" w:hanging="482"/>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(iv) above,</w:t>
      </w:r>
    </w:p>
    <w:p>
      <w:pPr>
        <w:spacing w:after="0" w:line="161" w:lineRule="exact"/>
        <w:rPr>
          <w:rFonts w:ascii="Times New Roman" w:cs="Times New Roman" w:eastAsia="Times New Roman" w:hAnsi="Times New Roman"/>
          <w:sz w:val="18"/>
          <w:szCs w:val="18"/>
          <w:color w:val="auto"/>
        </w:rPr>
      </w:pPr>
    </w:p>
    <w:p>
      <w:pPr>
        <w:jc w:val="both"/>
        <w:ind w:left="1300" w:hanging="482"/>
        <w:spacing w:after="0" w:line="25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partners, shareholders or other equity holders of the undersigned,</w:t>
      </w:r>
    </w:p>
    <w:p>
      <w:pPr>
        <w:spacing w:after="0" w:line="187" w:lineRule="exact"/>
        <w:rPr>
          <w:rFonts w:ascii="Times New Roman" w:cs="Times New Roman" w:eastAsia="Times New Roman" w:hAnsi="Times New Roman"/>
          <w:sz w:val="18"/>
          <w:szCs w:val="18"/>
          <w:color w:val="auto"/>
        </w:rPr>
      </w:pPr>
    </w:p>
    <w:p>
      <w:pPr>
        <w:ind w:left="1300" w:right="20" w:hanging="482"/>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 or related court order,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59" w:name="page60"/>
    <w:bookmarkEnd w:id="59"/>
    <w:p>
      <w:pPr>
        <w:ind w:left="1300" w:hanging="482"/>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in each case, of such employee,</w:t>
      </w:r>
    </w:p>
    <w:p>
      <w:pPr>
        <w:spacing w:after="0" w:line="225"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sale of the undersigned’s Lock-Up Securities acquired in open market transactions after the completion of the Offering,</w:t>
      </w:r>
    </w:p>
    <w:p>
      <w:pPr>
        <w:spacing w:after="0" w:line="225" w:lineRule="exact"/>
        <w:rPr>
          <w:rFonts w:ascii="Times New Roman" w:cs="Times New Roman" w:eastAsia="Times New Roman" w:hAnsi="Times New Roman"/>
          <w:sz w:val="18"/>
          <w:szCs w:val="18"/>
          <w:color w:val="auto"/>
        </w:rPr>
      </w:pPr>
    </w:p>
    <w:p>
      <w:pPr>
        <w:jc w:val="both"/>
        <w:ind w:left="1300" w:hanging="482"/>
        <w:spacing w:after="0" w:line="254"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vesting, settlement, exchange, conversion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(other than such shares as are transferred or surrendered to the Company in connection with such vesting, settlement or exercise event)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Incorporated Documents, the Base Prospectus and the Final Prospectus, or</w:t>
      </w:r>
    </w:p>
    <w:p>
      <w:pPr>
        <w:spacing w:after="0" w:line="188" w:lineRule="exact"/>
        <w:rPr>
          <w:rFonts w:ascii="Times New Roman" w:cs="Times New Roman" w:eastAsia="Times New Roman" w:hAnsi="Times New Roman"/>
          <w:sz w:val="18"/>
          <w:szCs w:val="18"/>
          <w:color w:val="auto"/>
        </w:rPr>
      </w:pPr>
    </w:p>
    <w:p>
      <w:pPr>
        <w:jc w:val="both"/>
        <w:ind w:left="1300" w:hanging="482"/>
        <w:spacing w:after="0" w:line="23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the Company; provided that in the event that such tender offer, merger, consolidation or other similar transaction is not completed, the undersigned’s Lock-Up Securities shall remain subject to the provisions of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0" w:lineRule="exact"/>
        <w:rPr>
          <w:sz w:val="20"/>
          <w:szCs w:val="20"/>
          <w:color w:val="auto"/>
        </w:rPr>
      </w:pPr>
    </w:p>
    <w:p>
      <w:pPr>
        <w:jc w:val="both"/>
        <w:ind w:firstLine="8"/>
        <w:spacing w:after="0" w:line="219" w:lineRule="auto"/>
        <w:tabs>
          <w:tab w:leader="none" w:pos="12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shall mean the transfer (whether by tender offer, merger, consolidation or other similar transaction), in one transaction or a series of related transactions, to a person or group of affiliated persons (other than the Placement Agent pursuant to the Offering), of shares of capital stock if, after such transfer, such person or group of affiliated persons would hold more than 50% of the outstanding voting securities of the Company (or the surviving entity).</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0" w:name="page61"/>
    <w:bookmarkEnd w:id="60"/>
    <w:p>
      <w:pPr>
        <w:jc w:val="both"/>
        <w:ind w:left="320"/>
        <w:spacing w:after="0" w:line="253" w:lineRule="auto"/>
        <w:rPr>
          <w:sz w:val="20"/>
          <w:szCs w:val="20"/>
          <w:color w:val="auto"/>
        </w:rPr>
      </w:pPr>
      <w:r>
        <w:rPr>
          <w:rFonts w:ascii="Times New Roman" w:cs="Times New Roman" w:eastAsia="Times New Roman" w:hAnsi="Times New Roman"/>
          <w:sz w:val="18"/>
          <w:szCs w:val="18"/>
          <w:color w:val="auto"/>
        </w:rPr>
        <w:t>In addition, notwithstanding anything herein to the contrary, the undersigned may, without the consent of the Placement Agent, (i) establish a trading plan under Rule 10b5-1 under the Exchange Act (a “</w:t>
      </w:r>
      <w:r>
        <w:rPr>
          <w:rFonts w:ascii="Times New Roman" w:cs="Times New Roman" w:eastAsia="Times New Roman" w:hAnsi="Times New Roman"/>
          <w:sz w:val="18"/>
          <w:szCs w:val="18"/>
          <w:i w:val="1"/>
          <w:iCs w:val="1"/>
          <w:color w:val="auto"/>
        </w:rPr>
        <w:t>10b5-1 Trading Plan</w:t>
      </w:r>
      <w:r>
        <w:rPr>
          <w:rFonts w:ascii="Times New Roman" w:cs="Times New Roman" w:eastAsia="Times New Roman" w:hAnsi="Times New Roman"/>
          <w:sz w:val="18"/>
          <w:szCs w:val="18"/>
          <w:color w:val="auto"/>
        </w:rPr>
        <w:t xml:space="preserve">”) or amend an existing 10b5-1 Trading Plan so long as there are no sales of Common Stock of the Company or derivative instruments under such plan during the Restricted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establishment of a 10b5-1 Trading Plan or the amendment of a 10b5-1 Trading Plan, in either case, providing for sales of shares of Common Stock of the Company or any derivative instrument shall only be permitted if (1) the establishment or amendment of such plan is not required to be reported during the Restricted Period in any public report or filing with the SEC, or otherwise, and (2) the undersigned does not otherwise voluntarily effect any public filing or report regarding the establishment or amendment of such plan, and (ii) transfer shares of Common Stock of the Company pursuant to a 10b5-1 Trading Plan in effect as of the date hereof which has been provided to the Placement Agent or their legal counsel, provided that any filing required under Section 16 of the Exchange Act during the Restricted Period shall clearly indicate in the footnotes thereto that the filing relates to a transaction pursuant to a 10b5-1 Trading Plan.</w:t>
      </w:r>
    </w:p>
    <w:p>
      <w:pPr>
        <w:spacing w:after="0" w:line="221"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Furthermore, the undersigned may, without the consent of Placement Agent, sell shares of Common Stock of the Company purchased by the undersigned in the Offering or on the open market following the Offering if and only if (i) such sales are not required to be reported in any public report or filing with the SEC, or otherwise, during the Restricted Period and (ii) the undersigned does not otherwise voluntarily effect any public filing or report regarding such sales during the Restricted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52" w:lineRule="exact"/>
        <w:rPr>
          <w:sz w:val="20"/>
          <w:szCs w:val="20"/>
          <w:color w:val="auto"/>
        </w:rPr>
      </w:pPr>
    </w:p>
    <w:p>
      <w:pPr>
        <w:ind w:left="640" w:right="20" w:hanging="482"/>
        <w:spacing w:after="0" w:line="282"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clauses (a)(i), (ii), (iii), (iv), (v) and (vi), such transfer shall not involve a disposition for value,</w:t>
      </w:r>
    </w:p>
    <w:p>
      <w:pPr>
        <w:spacing w:after="0" w:line="161" w:lineRule="exact"/>
        <w:rPr>
          <w:rFonts w:ascii="Times New Roman" w:cs="Times New Roman" w:eastAsia="Times New Roman" w:hAnsi="Times New Roman"/>
          <w:sz w:val="18"/>
          <w:szCs w:val="18"/>
          <w:color w:val="auto"/>
        </w:rPr>
      </w:pPr>
    </w:p>
    <w:p>
      <w:pPr>
        <w:ind w:left="640" w:hanging="482"/>
        <w:spacing w:after="0" w:line="282"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clauses (a)(i), (ii), (iii), (iv), (v), (vi) and (vii), each donee, devisee, transferee or distributee shall execute and deliver to the Placement Agent a lock-up letter in the form of this Letter Agreement,</w:t>
      </w:r>
    </w:p>
    <w:p>
      <w:pPr>
        <w:spacing w:after="0" w:line="161" w:lineRule="exact"/>
        <w:rPr>
          <w:rFonts w:ascii="Times New Roman" w:cs="Times New Roman" w:eastAsia="Times New Roman" w:hAnsi="Times New Roman"/>
          <w:sz w:val="18"/>
          <w:szCs w:val="18"/>
          <w:color w:val="auto"/>
        </w:rPr>
      </w:pPr>
    </w:p>
    <w:p>
      <w:pPr>
        <w:jc w:val="both"/>
        <w:ind w:left="640" w:hanging="482"/>
        <w:spacing w:after="0" w:line="261"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 (a)(ii), (iii), (iv), (v) and (vi), no filing by any party (donor, donee, devisee, transferor, transferee, distributer or distributee) under the Exchange Act, or other public announcement reporting a reduction in beneficial ownership of shares of Common Stock shall be required or shall be made voluntarily in connection with such transfer or distribution (other than a filing on a Form 5 made after the expiration of the Restricted Period referred to above), and</w:t>
      </w:r>
    </w:p>
    <w:p>
      <w:pPr>
        <w:spacing w:after="0" w:line="179" w:lineRule="exact"/>
        <w:rPr>
          <w:rFonts w:ascii="Times New Roman" w:cs="Times New Roman" w:eastAsia="Times New Roman" w:hAnsi="Times New Roman"/>
          <w:sz w:val="18"/>
          <w:szCs w:val="18"/>
          <w:color w:val="auto"/>
        </w:rPr>
      </w:pPr>
    </w:p>
    <w:p>
      <w:pPr>
        <w:jc w:val="both"/>
        <w:ind w:left="640" w:hanging="482"/>
        <w:spacing w:after="0" w:line="258"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clauses (a)(i), (vii), (viii)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21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715" w:right="339" w:bottom="1440" w:gutter="0" w:footer="0" w:header="0"/>
        </w:sectPr>
      </w:pPr>
    </w:p>
    <w:bookmarkStart w:id="61" w:name="page62"/>
    <w:bookmarkEnd w:id="61"/>
    <w:p>
      <w:pPr>
        <w:jc w:val="both"/>
        <w:ind w:left="1300" w:hanging="482"/>
        <w:spacing w:after="0" w:line="254"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outstanding options, settle restricted stock units or other equity awards or exercise outstanding warrants pursuant to plans described in the Registration Statement, the Incorporated Documents, the Base Prospectus and the Final Prospectus; provided that any Lock-up Securities received upon such exercise, vesting or settlement shall be subject to the terms of this Letter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undersigned is required to make any filing under Section 16(a) of the Exchange Act, or other public filing, report or announcement during the Restricted Period, the undersigned shall clearly indicate in the footnotes thereto that the filing relates to the circumstances described in this clause and that the shares of Common Stock received upon the exercise or settlement, as applicable, of the stock option, warrant or restricted stock unit or other right or vesting event are subject to this Letter Agreement, and no public filing, report or announcement shall be voluntarily made; and</w:t>
      </w:r>
    </w:p>
    <w:p>
      <w:pPr>
        <w:spacing w:after="0" w:line="191" w:lineRule="exact"/>
        <w:rPr>
          <w:rFonts w:ascii="Times New Roman" w:cs="Times New Roman" w:eastAsia="Times New Roman" w:hAnsi="Times New Roman"/>
          <w:sz w:val="18"/>
          <w:szCs w:val="18"/>
          <w:color w:val="auto"/>
        </w:rPr>
      </w:pPr>
    </w:p>
    <w:p>
      <w:pPr>
        <w:ind w:left="1300" w:hanging="482"/>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trading plans pursuant to Rule 10b5-1 under the Exchange Act for the transfer of shares of Lock-Up Securities (each such plan, a “</w:t>
      </w:r>
      <w:r>
        <w:rPr>
          <w:rFonts w:ascii="Times New Roman" w:cs="Times New Roman" w:eastAsia="Times New Roman" w:hAnsi="Times New Roman"/>
          <w:sz w:val="18"/>
          <w:szCs w:val="18"/>
          <w:i w:val="1"/>
          <w:iCs w:val="1"/>
          <w:color w:val="auto"/>
        </w:rPr>
        <w:t>Trading Plan</w:t>
      </w:r>
      <w:r>
        <w:rPr>
          <w:rFonts w:ascii="Times New Roman" w:cs="Times New Roman" w:eastAsia="Times New Roman" w:hAnsi="Times New Roman"/>
          <w:sz w:val="18"/>
          <w:szCs w:val="18"/>
          <w:color w:val="auto"/>
        </w:rPr>
        <w:t>”); provided that such Trading Plans do not provide for the transfer of Lock-Up Securities during the Restricted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undersigned is not a natural person, the undersigned represents and warrants that no single natural person, entity or “group” (within the meaning of Section 13(d)(3) of the Exchange Act) other than a natural person, entity or “group” (as described above) that has executed a Letter Agreement in substantially the same form as this Letter Agreement, beneficially owns, directly or indirectly, 50% or more of the common equity interests, or 50% or more of the voting power, in the undersigned.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and Authority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Placement Agent Recommendation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acknowledges and agrees that the Placement Agent has not provided any recommendation or investment advice nor has the Placement Agent solicited any action from the undersigned with respect to the Offering of the Securities and the undersigned has consulted its own legal, accounting, financial, regulatory and tax advisors to the extent deemed appropriate. The undersigned further acknowledges and agrees that, although the Placement Agent may be required or choose to provide certain Regulation Best Interest and Form CRS disclosures to you in connection with the Offering, the Placement Agent is not making a recommendation to you to enter into this Letter Agreement, and nothing set forth in such disclosures is intended to suggest that the Placement Agent is making such a recommendation.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understands that, (i) if the Placement Agency Agreement does not become effective by [●], 2026, (ii) if the Placement Agency Agreement (other than the provisions thereof which survive termination) shall terminate or be terminated prior to payment for and delivery of the Common Stock to be sold thereunder, (iii) the Company notifies the Placement Agent in writing prior to the execution of the Placement Agency Agreement that it does not intend to proceed with the Offering, or (iv) prior to payment for the Securities, the Registration Statement is withdrawn prior to the execution of the Placement Agency Agreement, this Letter Agreement shall automatically terminate and be of no further force or effect and undersigned shall be released from all obligations under this Letter Agreement. The undersigned understands that the Placement Agent is entering into the Placement Agency Agreement and proceeding with the Offering in reliance upon this Letter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undersigned hereby consents to receipt of this Letter Agreement in electronic form and understands and agrees that this Letter Agreement may be signed electronically. In the event that any signature is delivered by facsimile transmission, electronic mail, or otherwise by electronic transmission (including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evidencing an intent to sign this Letter Agreement, such facsimile transmission, electronic mail or other electronic transmission shall create a valid and binding obligation of the undersigned with the same force and effect as if such signature were an original. Execution and delivery of this Letter Agreement by facsimile transmission, electronic mail or other electronic transmission is legal, valid and binding for all purposes.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blank intentionally. Signature page follows.</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2" w:name="page63"/>
    <w:bookmarkEnd w:id="62"/>
    <w:p>
      <w:pPr>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Name of Security Holder </w:t>
      </w:r>
      <w:r>
        <w:rPr>
          <w:rFonts w:ascii="Times New Roman" w:cs="Times New Roman" w:eastAsia="Times New Roman" w:hAnsi="Times New Roman"/>
          <w:sz w:val="18"/>
          <w:szCs w:val="18"/>
          <w:i w:val="1"/>
          <w:iCs w:val="1"/>
          <w:color w:val="auto"/>
        </w:rPr>
        <w:t>(Print exact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-126365</wp:posOffset>
            </wp:positionV>
            <wp:extent cx="35572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-126365</wp:posOffset>
            </wp:positionV>
            <wp:extent cx="35572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-126365</wp:posOffset>
            </wp:positionV>
            <wp:extent cx="35572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(indicate capacity of person signing if signing as custodian, trustee, or on</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behalf of an entity)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Announces Pricing of $10,000,000 Registered Direct Offering Priced At A Premium to Market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MONROE TOWNSHIP, NEW JERSEY, June 5, 2026 — Ocean Power Technologies, Inc. (NYSE American: OPTT) (“OPT” or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that it has entered into securities purchase agreements with certain institutional investors for the purchase and sale of 25,000,000 shares of the Company’s common stock together with common warrants to purchase up to 25,000,000 shares of common stock in a registered direct offering at a combined purchase price of $0.40 per share of common stock and accompanying common warrant. The offering was priced at a premium to yesterday’s closing price. The common warrants will be exercisable on the six month anniversary of the date of issuance at an exercise price of $0.40 per share and will expire 6 years from the initial date of exercise.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 is acting as the exclusive placement agent for the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registered direct offering is expected to occur on or about June 8, 2026, subject to the satisfaction of customary closing conditions.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proceeds to the Company from the registered direct offering, before deducting the placement agent fees and other offering expenses payable by the Company, are expected to be approximately $10.0 million. The Company intends to use the net proceeds from the offering for working capital and for general corporate purposes.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described above are being offered pursuant to a shelf registration statement on Form S-3 (File No. 333-275843, which was declared effective by the United States Securities and Exchange Commission (“SEC”) on December 12, 2023. A prospectus supplement describing the terms of the proposed offering will be filed with the SEC and will be available on the SEC’s website at http://www.sec.gov . Electronic copies of the prospectus supplement and accompanying base prospectus may be obtained, when available, by contacting Ladenburg Thalmann &amp; Co. Inc., Prospectus Department, 640 Fifth Avenue, 4th Floor, New York, New York 10019 or by email at prospectus@ladenburg.com.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of the securities described therein, nor shall there be any sales of these securities in any jurisdiction in which such offer, solicitation or sale would be unlawful prior to registration or qualification under the securities laws of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Ocean Power Technologies,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OPT’s PowerBuoy® platforms provide clean and reliable electric power and real-time data communications for remote maritime and subsea applications. OPT also provides WAM-V® unmanned surface vessels (USVs) and marine robotics services. The Company’s headquarters are in Monroe Township, New Jersey, with an additional office in Richmond, California.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 forward-looking statements included in this press release include statements regarding the anticipated closing of the registered direct offering and the use of proceeds. These forward-looking statements reflect the Company’s current expectations about its future plans and performance. These forward-looking statements rely on a number of assumptions and estimates which could be inaccurate and which are subject to risks and uncertainties. Actual results could vary materially from those anticipated or expressed in any forward-looking statement made by the Company. Please refer to the prospectus and the Company’s most recent Form 10-K and subsequent filings with the SEC on Forms 10-Q and Form 8-K for a further discussion of these risks and uncertainties. The Company disclaims any obligation or intent to update the forward-looking statements in order to reflect events or circumstances after the date of this release.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w:t>
      </w:r>
      <w:r>
        <w:rPr>
          <w:rFonts w:ascii="Times New Roman" w:cs="Times New Roman" w:eastAsia="Times New Roman" w:hAnsi="Times New Roman"/>
          <w:sz w:val="18"/>
          <w:szCs w:val="18"/>
          <w:u w:val="single" w:color="auto"/>
          <w:color w:val="auto"/>
        </w:rPr>
        <w:t>203-561-6945 or investorrelations@oceanpowertech.com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w:t>
      </w:r>
      <w:r>
        <w:rPr>
          <w:rFonts w:ascii="Times New Roman" w:cs="Times New Roman" w:eastAsia="Times New Roman" w:hAnsi="Times New Roman"/>
          <w:sz w:val="18"/>
          <w:szCs w:val="18"/>
          <w:u w:val="single" w:color="auto"/>
          <w:color w:val="auto"/>
        </w:rPr>
        <w:t>609-730-0400 x402 or MediaRelations@oceanpowertech.com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lowerRoman"/>
      <w:start w:val="1"/>
    </w:lvl>
    <w:lvl w:ilvl="1">
      <w:lvlJc w:val="left"/>
      <w:lvlText w:val="%2)"/>
      <w:numFmt w:val="lowerLetter"/>
      <w:start w:val="1"/>
    </w:lvl>
  </w:abstractNum>
  <w:abstractNum w:abstractNumId="2">
    <w:nsid w:val="257130A3"/>
    <w:multiLevelType w:val="hybridMultilevel"/>
    <w:lvl w:ilvl="0">
      <w:lvlJc w:val="left"/>
      <w:lvlText w:val="(%1)"/>
      <w:numFmt w:val="lowerRoman"/>
      <w:start w:val="1"/>
    </w:lvl>
    <w:lvl w:ilvl="1">
      <w:lvlJc w:val="left"/>
      <w:lvlText w:val="%2"/>
      <w:numFmt w:val="lowerLetter"/>
      <w:start w:val="1"/>
    </w:lvl>
  </w:abstractNum>
  <w:abstractNum w:abstractNumId="3">
    <w:nsid w:val="62BBD95A"/>
    <w:multiLevelType w:val="hybridMultilevel"/>
    <w:lvl w:ilvl="0">
      <w:lvlJc w:val="left"/>
      <w:lvlText w:val="%1)"/>
      <w:numFmt w:val="lowerLetter"/>
      <w:start w:val="2"/>
    </w:lvl>
  </w:abstractNum>
  <w:abstractNum w:abstractNumId="4">
    <w:nsid w:val="436C6125"/>
    <w:multiLevelType w:val="hybridMultilevel"/>
    <w:lvl w:ilvl="0">
      <w:lvlJc w:val="left"/>
      <w:lvlText w:val="(%1)"/>
      <w:numFmt w:val="upperLetter"/>
      <w:start w:val="1"/>
    </w:lvl>
  </w:abstractNum>
  <w:abstractNum w:abstractNumId="5">
    <w:nsid w:val="628C895D"/>
    <w:multiLevelType w:val="hybridMultilevel"/>
    <w:lvl w:ilvl="0">
      <w:lvlJc w:val="left"/>
      <w:lvlText w:val="(%1)"/>
      <w:numFmt w:val="upperLetter"/>
      <w:start w:val="24"/>
    </w:lvl>
  </w:abstractNum>
  <w:abstractNum w:abstractNumId="6">
    <w:nsid w:val="333AB105"/>
    <w:multiLevelType w:val="hybridMultilevel"/>
    <w:lvl w:ilvl="0">
      <w:lvlJc w:val="left"/>
      <w:lvlText w:val="%1)"/>
      <w:numFmt w:val="lowerLetter"/>
      <w:start w:val="4"/>
    </w:lvl>
    <w:lvl w:ilvl="1">
      <w:lvlJc w:val="left"/>
      <w:lvlText w:val="%2."/>
      <w:numFmt w:val="lowerRoman"/>
      <w:start w:val="1"/>
    </w:lvl>
  </w:abstractNum>
  <w:abstractNum w:abstractNumId="7">
    <w:nsid w:val="721DA317"/>
    <w:multiLevelType w:val="hybridMultilevel"/>
    <w:lvl w:ilvl="0">
      <w:lvlJc w:val="left"/>
      <w:lvlText w:val="%1."/>
      <w:numFmt w:val="lowerRoman"/>
      <w:start w:val="2"/>
    </w:lvl>
  </w:abstractNum>
  <w:abstractNum w:abstractNumId="8">
    <w:nsid w:val="2443A858"/>
    <w:multiLevelType w:val="hybridMultilevel"/>
    <w:lvl w:ilvl="0">
      <w:lvlJc w:val="left"/>
      <w:lvlText w:val="%1."/>
      <w:numFmt w:val="lowerRoman"/>
      <w:start w:val="6"/>
    </w:lvl>
  </w:abstractNum>
  <w:abstractNum w:abstractNumId="9">
    <w:nsid w:val="2D1D5AE9"/>
    <w:multiLevelType w:val="hybridMultilevel"/>
    <w:lvl w:ilvl="0">
      <w:lvlJc w:val="left"/>
      <w:lvlText w:val="%1)"/>
      <w:numFmt w:val="lowerLetter"/>
      <w:start w:val="5"/>
    </w:lvl>
    <w:lvl w:ilvl="1">
      <w:lvlJc w:val="left"/>
      <w:lvlText w:val="%2."/>
      <w:numFmt w:val="lowerRoman"/>
      <w:start w:val="1"/>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lowerLetter"/>
      <w:start w:val="4"/>
    </w:lvl>
  </w:abstractNum>
  <w:abstractNum w:abstractNumId="12">
    <w:nsid w:val="8EDBDAB"/>
    <w:multiLevelType w:val="hybridMultilevel"/>
    <w:lvl w:ilvl="0">
      <w:lvlJc w:val="left"/>
      <w:lvlText w:val="%1)"/>
      <w:numFmt w:val="lowerLetter"/>
      <w:start w:val="5"/>
    </w:lvl>
    <w:lvl w:ilvl="1">
      <w:lvlJc w:val="left"/>
      <w:lvlText w:val="%2."/>
      <w:numFmt w:val="lowerRoman"/>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5"/>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5"/>
    </w:lvl>
  </w:abstractNum>
  <w:abstractNum w:abstractNumId="17">
    <w:nsid w:val="54E49EB4"/>
    <w:multiLevelType w:val="hybridMultilevel"/>
    <w:lvl w:ilvl="0">
      <w:lvlJc w:val="left"/>
      <w:lvlText w:val="%1)"/>
      <w:numFmt w:val="lowerLetter"/>
      <w:start w:val="9"/>
    </w:lvl>
  </w:abstractNum>
  <w:abstractNum w:abstractNumId="18">
    <w:nsid w:val="71F32454"/>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
      <w:numFmt w:val="bullet"/>
      <w:start w:val="1"/>
    </w:lvl>
  </w:abstractNum>
  <w:abstractNum w:abstractNumId="19">
    <w:nsid w:val="2CA88611"/>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lvl w:ilvl="3">
      <w:lvlJc w:val="left"/>
      <w:lvlText w:val="☐"/>
      <w:numFmt w:val="bullet"/>
      <w:start w:val="1"/>
    </w:lvl>
  </w:abstractNum>
  <w:abstractNum w:abstractNumId="20">
    <w:nsid w:val="836C40E"/>
    <w:multiLevelType w:val="hybridMultilevel"/>
    <w:lvl w:ilvl="0">
      <w:lvlJc w:val="left"/>
      <w:lvlText w:val="(%1)"/>
      <w:numFmt w:val="decimal"/>
      <w:start w:val="4"/>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2"/>
    </w:lvl>
  </w:abstractNum>
  <w:abstractNum w:abstractNumId="23">
    <w:nsid w:val="8138641"/>
    <w:multiLevelType w:val="hybridMultilevel"/>
    <w:lvl w:ilvl="0">
      <w:lvlJc w:val="left"/>
      <w:lvlText w:val="%1."/>
      <w:numFmt w:val="decimal"/>
      <w:start w:val="3"/>
    </w:lvl>
  </w:abstractNum>
  <w:abstractNum w:abstractNumId="24">
    <w:nsid w:val="1E7FF521"/>
    <w:multiLevelType w:val="hybridMultilevel"/>
    <w:lvl w:ilvl="0">
      <w:lvlJc w:val="left"/>
      <w:lvlText w:val="(%1)"/>
      <w:numFmt w:val="lowerRoman"/>
      <w:start w:val="3"/>
    </w:lvl>
  </w:abstractNum>
  <w:abstractNum w:abstractNumId="25">
    <w:nsid w:val="7C3DBD3D"/>
    <w:multiLevelType w:val="hybridMultilevel"/>
    <w:lvl w:ilvl="0">
      <w:lvlJc w:val="left"/>
      <w:lvlText w:val="%1."/>
      <w:numFmt w:val="decimal"/>
      <w:start w:val="4"/>
    </w:lvl>
  </w:abstractNum>
  <w:abstractNum w:abstractNumId="26">
    <w:nsid w:val="737B8DDC"/>
    <w:multiLevelType w:val="hybridMultilevel"/>
    <w:lvl w:ilvl="0">
      <w:lvlJc w:val="left"/>
      <w:lvlText w:val="(%1)"/>
      <w:numFmt w:val="lowerRoman"/>
      <w:start w:val="3"/>
    </w:lvl>
  </w:abstractNum>
  <w:abstractNum w:abstractNumId="27">
    <w:nsid w:val="6CEAF087"/>
    <w:multiLevelType w:val="hybridMultilevel"/>
    <w:lvl w:ilvl="0">
      <w:lvlJc w:val="left"/>
      <w:lvlText w:val="%1."/>
      <w:numFmt w:val="decimal"/>
      <w:start w:val="5"/>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3"/>
    </w:lvl>
  </w:abstractNum>
  <w:abstractNum w:abstractNumId="31">
    <w:nsid w:val="614FD4A1"/>
    <w:multiLevelType w:val="hybridMultilevel"/>
    <w:lvl w:ilvl="0">
      <w:lvlJc w:val="left"/>
      <w:lvlText w:val="(%1)"/>
      <w:numFmt w:val="lowerLetter"/>
      <w:start w:val="1"/>
    </w:lvl>
    <w:lvl w:ilvl="1">
      <w:lvlJc w:val="left"/>
      <w:lvlText w:val="(%2)"/>
      <w:numFmt w:val="lowerRoman"/>
      <w:start w:val="1"/>
    </w:lvl>
  </w:abstractNum>
  <w:abstractNum w:abstractNumId="32">
    <w:nsid w:val="419AC241"/>
    <w:multiLevelType w:val="hybridMultilevel"/>
    <w:lvl w:ilvl="0">
      <w:lvlJc w:val="left"/>
      <w:lvlText w:val="(%1)"/>
      <w:numFmt w:val="lowerRoman"/>
      <w:start w:val="8"/>
    </w:lvl>
  </w:abstractNum>
  <w:abstractNum w:abstractNumId="33">
    <w:nsid w:val="5577F8E1"/>
    <w:multiLevelType w:val="hybridMultilevel"/>
    <w:lvl w:ilvl="0">
      <w:lvlJc w:val="left"/>
      <w:lvlText w:val="1"/>
      <w:numFmt w:val="bullet"/>
      <w:start w:val="1"/>
    </w:lvl>
  </w:abstractNum>
  <w:abstractNum w:abstractNumId="34">
    <w:nsid w:val="440BADFC"/>
    <w:multiLevelType w:val="hybridMultilevel"/>
    <w:lvl w:ilvl="0">
      <w:lvlJc w:val="left"/>
      <w:lvlText w:val="(%1)"/>
      <w:numFmt w:val="upperLetter"/>
      <w:start w:val="1"/>
    </w:lvl>
  </w:abstractNum>
  <w:abstractNum w:abstractNumId="35">
    <w:nsid w:val="507236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2026-06-08T08:04:59Z</dcterms:created>
  <dcterms:modified xsi:type="dcterms:W3CDTF">2026-06-08T08:04:59Z</dcterms:modified>
</cp:coreProperties>
</file>