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October 31, 2010</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4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001-33417</w:t>
      </w:r>
    </w:p>
    <w:p>
      <w:pPr>
        <w:spacing w:after="0" w:line="173"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OCEAN POWER TECHNOLOGIES,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0219"/>
          </w:cols>
          <w:pgMar w:left="240" w:top="122" w:right="1440" w:bottom="1440" w:gutter="0" w:footer="0" w:header="0"/>
        </w:sect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0"/>
          <w:szCs w:val="20"/>
          <w:color w:val="auto"/>
        </w:rPr>
      </w:pPr>
    </w:p>
    <w:p>
      <w:pPr>
        <w:jc w:val="center"/>
        <w:ind w:right="1199"/>
        <w:spacing w:after="0"/>
        <w:rPr>
          <w:sz w:val="20"/>
          <w:szCs w:val="20"/>
          <w:color w:val="auto"/>
        </w:rPr>
      </w:pPr>
      <w:r>
        <w:rPr>
          <w:rFonts w:ascii="Arial" w:cs="Arial" w:eastAsia="Arial" w:hAnsi="Arial"/>
          <w:sz w:val="16"/>
          <w:szCs w:val="16"/>
          <w:i w:val="1"/>
          <w:iCs w:val="1"/>
          <w:color w:val="auto"/>
        </w:rPr>
        <w:t>(I.R.S. Employer Identification No.)</w:t>
      </w:r>
    </w:p>
    <w:p>
      <w:pPr>
        <w:spacing w:after="0" w:line="189" w:lineRule="exact"/>
        <w:rPr>
          <w:sz w:val="20"/>
          <w:szCs w:val="20"/>
          <w:color w:val="auto"/>
        </w:rPr>
      </w:pPr>
    </w:p>
    <w:p>
      <w:pPr>
        <w:sectPr>
          <w:pgSz w:w="11900" w:h="16838" w:orient="portrait"/>
          <w:cols w:equalWidth="0" w:num="2">
            <w:col w:w="5740" w:space="720"/>
            <w:col w:w="3759"/>
          </w:cols>
          <w:pgMar w:left="240" w:top="122" w:right="1440" w:bottom="1440" w:gutter="0" w:footer="0" w:header="0"/>
          <w:type w:val="continuous"/>
        </w:sectPr>
      </w:pPr>
    </w:p>
    <w:p>
      <w:pPr>
        <w:jc w:val="center"/>
        <w:ind w:right="-160"/>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84" w:lineRule="exact"/>
        <w:rPr>
          <w:sz w:val="20"/>
          <w:szCs w:val="20"/>
          <w:color w:val="auto"/>
        </w:rPr>
      </w:pPr>
    </w:p>
    <w:p>
      <w:pPr>
        <w:jc w:val="both"/>
        <w:ind w:left="340" w:right="21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06" w:lineRule="exact"/>
        <w:rPr>
          <w:sz w:val="20"/>
          <w:szCs w:val="20"/>
          <w:color w:val="auto"/>
        </w:rPr>
      </w:pPr>
    </w:p>
    <w:p>
      <w:pPr>
        <w:jc w:val="both"/>
        <w:ind w:left="340" w:right="2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080" w:space="420"/>
            <w:col w:w="1420" w:space="420"/>
            <w:col w:w="3340" w:space="260"/>
            <w:col w:w="2279"/>
          </w:cols>
          <w:pgMar w:left="240" w:top="122" w:right="1440" w:bottom="1440" w:gutter="0" w:footer="0" w:header="0"/>
          <w:type w:val="continuous"/>
        </w:sectPr>
      </w:pPr>
    </w:p>
    <w:p>
      <w:pPr>
        <w:ind w:left="720" w:right="399"/>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30, 2010, the number of outstanding shares of common stock of the registrant was 10,418,111.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THREE AND SIX MONTHS ENDED OCTOBER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3240" w:type="dxa"/>
            <w:vAlign w:val="bottom"/>
            <w:gridSpan w:val="12"/>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20" w:type="dxa"/>
            <w:vAlign w:val="bottom"/>
            <w:gridSpan w:val="9"/>
            <w:vMerge w:val="restart"/>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74"/>
        </w:trPr>
        <w:tc>
          <w:tcPr>
            <w:tcW w:w="3240" w:type="dxa"/>
            <w:vAlign w:val="bottom"/>
            <w:tcBorders>
              <w:bottom w:val="single" w:sz="8" w:color="0000EE"/>
            </w:tcBorders>
            <w:gridSpan w:val="12"/>
            <w:vMerge w:val="continue"/>
          </w:tcPr>
          <w:p>
            <w:pPr>
              <w:spacing w:after="0"/>
              <w:rPr>
                <w:sz w:val="14"/>
                <w:szCs w:val="14"/>
                <w:color w:val="auto"/>
              </w:rPr>
            </w:pPr>
          </w:p>
        </w:tc>
        <w:tc>
          <w:tcPr>
            <w:tcW w:w="5420" w:type="dxa"/>
            <w:vAlign w:val="bottom"/>
            <w:gridSpan w:val="9"/>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9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Item 1. Financial Statements (unaudited):</w:t>
              </w:r>
            </w:hyperlink>
          </w:p>
        </w:tc>
        <w:tc>
          <w:tcPr>
            <w:tcW w:w="548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October 31, 2010 and April 30, 2010</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Operations for the Three and Six Months Ended October 31, 2010 and 2009</w:t>
              </w:r>
            </w:hyperlink>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October 31, 2010 and 2009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 and Comprehensive Loss for the Six Months Ended</w:t>
              </w:r>
            </w:hyperlink>
          </w:p>
        </w:tc>
        <w:tc>
          <w:tcPr>
            <w:tcW w:w="9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October 31, 2010 and 2009</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4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4. Controls and Procedures</w:t>
              </w:r>
            </w:hyperlink>
          </w:p>
        </w:tc>
        <w:tc>
          <w:tcPr>
            <w:tcW w:w="610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94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572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58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35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558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660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 CERTIFICATION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EX-32.1: 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 CERTIFICATION</w:t>
      </w:r>
    </w:p>
    <w:p>
      <w:pPr>
        <w:spacing w:after="0" w:line="186" w:lineRule="exact"/>
        <w:rPr>
          <w:sz w:val="20"/>
          <w:szCs w:val="20"/>
          <w:color w:val="auto"/>
        </w:rPr>
      </w:pPr>
    </w:p>
    <w:p>
      <w:pPr>
        <w:ind w:right="319"/>
        <w:spacing w:after="0" w:line="342" w:lineRule="auto"/>
        <w:rPr>
          <w:sz w:val="20"/>
          <w:szCs w:val="20"/>
          <w:color w:val="auto"/>
        </w:rPr>
      </w:pPr>
      <w:r>
        <w:rPr>
          <w:rFonts w:ascii="Arial" w:cs="Arial" w:eastAsia="Arial" w:hAnsi="Arial"/>
          <w:sz w:val="16"/>
          <w:szCs w:val="16"/>
          <w:color w:val="auto"/>
        </w:rPr>
        <w:t>PowerBuoy</w:t>
      </w:r>
      <w:r>
        <w:rPr>
          <w:rFonts w:ascii="Arial" w:cs="Arial" w:eastAsia="Arial" w:hAnsi="Arial"/>
          <w:sz w:val="13"/>
          <w:szCs w:val="13"/>
          <w:color w:val="auto"/>
        </w:rPr>
        <w:t>®</w:t>
      </w:r>
      <w:r>
        <w:rPr>
          <w:rFonts w:ascii="Arial" w:cs="Arial" w:eastAsia="Arial" w:hAnsi="Arial"/>
          <w:sz w:val="16"/>
          <w:szCs w:val="16"/>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right="259" w:firstLine="389"/>
        <w:spacing w:after="0" w:line="273"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51" w:lineRule="exact"/>
        <w:rPr>
          <w:sz w:val="20"/>
          <w:szCs w:val="20"/>
          <w:color w:val="auto"/>
        </w:rPr>
      </w:pPr>
    </w:p>
    <w:p>
      <w:pPr>
        <w:ind w:right="319" w:firstLine="389"/>
        <w:spacing w:after="0" w:line="291"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2010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27" w:lineRule="exact"/>
        <w:rPr>
          <w:sz w:val="20"/>
          <w:szCs w:val="20"/>
          <w:color w:val="auto"/>
        </w:rPr>
      </w:pPr>
    </w:p>
    <w:p>
      <w:pPr>
        <w:jc w:val="both"/>
        <w:ind w:right="359" w:firstLine="389"/>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79"/>
          </w:cols>
          <w:pgMar w:left="580" w:top="931" w:right="1440" w:bottom="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b w:val="1"/>
                <w:bCs w:val="1"/>
                <w:color w:val="auto"/>
              </w:rPr>
              <w:t>October 31, 2010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April 30, 2010</w:t>
            </w:r>
          </w:p>
        </w:tc>
      </w:tr>
      <w:tr>
        <w:trPr>
          <w:trHeight w:val="210"/>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3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9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10,497,663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4,236,597</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13,802,594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32,536,001</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456,590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1,474,600</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499,832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448,686</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723,612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1,005,885</w:t>
            </w:r>
          </w:p>
        </w:tc>
      </w:tr>
      <w:tr>
        <w:trPr>
          <w:trHeight w:val="223"/>
        </w:trPr>
        <w:tc>
          <w:tcPr>
            <w:tcW w:w="67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25,980,291</w:t>
            </w:r>
          </w:p>
        </w:tc>
        <w:tc>
          <w:tcPr>
            <w:tcW w:w="3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39,701,769</w:t>
            </w:r>
          </w:p>
        </w:tc>
        <w:tc>
          <w:tcPr>
            <w:tcW w:w="10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599,787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710,563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Patents,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1,076,690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1,036,881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1,504,544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1,205,288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31,877,543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28,865,046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754,441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1,458,646</w:t>
            </w:r>
          </w:p>
        </w:tc>
      </w:tr>
      <w:tr>
        <w:trPr>
          <w:trHeight w:val="223"/>
        </w:trPr>
        <w:tc>
          <w:tcPr>
            <w:tcW w:w="67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61,793,296</w:t>
            </w:r>
          </w:p>
        </w:tc>
        <w:tc>
          <w:tcPr>
            <w:tcW w:w="3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72,978,193</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ind w:left="13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980,713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1,843,378</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4,177,678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4,092,113</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1,205,101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1,101,541</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89,378</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95,386</w:t>
            </w: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6,452,870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7,132,418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500,000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140,685</w:t>
            </w: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7,552,870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8,123,103</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rPr>
              <w:t>Preferred stock, $0.001 par value; authorized 5,000,000 shares, none issued 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2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stock, $0.001 par value; authorized 105,000,000 shares, issued 10,419,183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10,390,563 shares,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10,419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Treasury stock, at cost; 1,072 shares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(6,443)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(6,443)</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156,518,657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155,726,672</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(102,178,883)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(90,413,098)</w:t>
            </w:r>
          </w:p>
        </w:tc>
      </w:tr>
      <w:tr>
        <w:trPr>
          <w:trHeight w:val="216"/>
        </w:trPr>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(134,639)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(503,322)</w:t>
            </w:r>
          </w:p>
        </w:tc>
      </w:tr>
      <w:tr>
        <w:trPr>
          <w:trHeight w:val="230"/>
        </w:trPr>
        <w:tc>
          <w:tcPr>
            <w:tcW w:w="6720" w:type="dxa"/>
            <w:vAlign w:val="bottom"/>
          </w:tcPr>
          <w:p>
            <w:pPr>
              <w:ind w:left="400"/>
              <w:spacing w:after="0"/>
              <w:rPr>
                <w:sz w:val="20"/>
                <w:szCs w:val="20"/>
                <w:color w:val="auto"/>
              </w:rPr>
            </w:pPr>
            <w:r>
              <w:rPr>
                <w:rFonts w:ascii="Arial" w:cs="Arial" w:eastAsia="Arial" w:hAnsi="Arial"/>
                <w:sz w:val="18"/>
                <w:szCs w:val="18"/>
                <w:color w:val="auto"/>
              </w:rPr>
              <w:t>Total Ocean Power Technologies, Inc. 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54,209,111</w:t>
            </w:r>
          </w:p>
        </w:tc>
        <w:tc>
          <w:tcPr>
            <w:tcW w:w="3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64,814,200</w:t>
            </w:r>
          </w:p>
        </w:tc>
        <w:tc>
          <w:tcPr>
            <w:tcW w:w="100" w:type="dxa"/>
            <w:vAlign w:val="bottom"/>
          </w:tcPr>
          <w:p>
            <w:pPr>
              <w:spacing w:after="0"/>
              <w:rPr>
                <w:sz w:val="20"/>
                <w:szCs w:val="20"/>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31,315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40,890</w:t>
            </w:r>
          </w:p>
        </w:tc>
      </w:tr>
      <w:tr>
        <w:trPr>
          <w:trHeight w:val="230"/>
        </w:trPr>
        <w:tc>
          <w:tcPr>
            <w:tcW w:w="672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54,240,426</w:t>
            </w:r>
          </w:p>
        </w:tc>
        <w:tc>
          <w:tcPr>
            <w:tcW w:w="3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64,855,090</w:t>
            </w:r>
          </w:p>
        </w:tc>
        <w:tc>
          <w:tcPr>
            <w:tcW w:w="100" w:type="dxa"/>
            <w:vAlign w:val="bottom"/>
          </w:tcPr>
          <w:p>
            <w:pPr>
              <w:spacing w:after="0"/>
              <w:rPr>
                <w:sz w:val="20"/>
                <w:szCs w:val="20"/>
                <w:color w:val="auto"/>
              </w:rPr>
            </w:pPr>
          </w:p>
        </w:tc>
      </w:tr>
      <w:tr>
        <w:trPr>
          <w:trHeight w:val="216"/>
        </w:trPr>
        <w:tc>
          <w:tcPr>
            <w:tcW w:w="6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61,793,296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72,978,193</w:t>
            </w: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40" w:type="dxa"/>
            <w:vAlign w:val="bottom"/>
            <w:gridSpan w:val="7"/>
          </w:tcPr>
          <w:p>
            <w:pPr>
              <w:jc w:val="center"/>
              <w:ind w:left="13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gridSpan w:val="7"/>
          </w:tcPr>
          <w:p>
            <w:pPr>
              <w:jc w:val="center"/>
              <w:ind w:left="135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(Unaudited)</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October 31,</w:t>
            </w:r>
          </w:p>
        </w:tc>
        <w:tc>
          <w:tcPr>
            <w:tcW w:w="24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9"/>
              </w:rPr>
              <w:t>Six Months Ended October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1,864,407</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581,875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3,238,814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1,776,980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528,148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3,365,226</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1,552,375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Gross profit (loss)</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87,427</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53,727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340,437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3,679,470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3,425,348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7,705,256</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4,786,748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2,146,845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2,191,233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4,175,755</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4,357,504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5,616,581</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11,881,011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9,144,252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(5,738,888)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(5,562,854)</w:t>
            </w:r>
          </w:p>
        </w:tc>
        <w:tc>
          <w:tcPr>
            <w:tcW w:w="3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(12,007,423)</w:t>
            </w: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(8,803,815)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160,884</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247,601</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398,349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24,960</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531,590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71,192</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100,698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(167,810)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502,389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(5,506,812)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(5,189,595)</w:t>
            </w:r>
          </w:p>
        </w:tc>
        <w:tc>
          <w:tcPr>
            <w:tcW w:w="3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(11,776,884)</w:t>
            </w: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(7,237,015)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3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Less: Net loss (income) attributable to the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noncontrolling interest in Ocean Power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Technologies (Australasia) Pty Ltd.</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4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4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6"/>
              </w:rPr>
              <w:t>Net loss attributable to Ocean Power Technologies, Inc.</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(5,499,192</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(5,191,771)</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(11,765,785</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(7,290,248)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diluted net loss per share</w:t>
            </w: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10,245,168</w:t>
            </w:r>
          </w:p>
        </w:tc>
        <w:tc>
          <w:tcPr>
            <w:tcW w:w="4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10,210,354</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10,240,817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10,210,354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40" w:type="dxa"/>
            <w:vAlign w:val="bottom"/>
          </w:tcPr>
          <w:p>
            <w:pPr>
              <w:jc w:val="center"/>
              <w:ind w:left="13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jc w:val="center"/>
              <w:ind w:left="13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tcPr>
          <w:p>
            <w:pPr>
              <w:jc w:val="center"/>
              <w:ind w:left="13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w w:val="93"/>
              </w:rPr>
              <w:t>Six Months Ended October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(11,776,884)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(7,237,015)</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tcPr>
          <w:p>
            <w:pPr>
              <w:ind w:left="400"/>
              <w:spacing w:after="0"/>
              <w:rPr>
                <w:sz w:val="20"/>
                <w:szCs w:val="20"/>
                <w:color w:val="auto"/>
              </w:rPr>
            </w:pPr>
            <w:r>
              <w:rPr>
                <w:rFonts w:ascii="Arial" w:cs="Arial" w:eastAsia="Arial" w:hAnsi="Arial"/>
                <w:sz w:val="18"/>
                <w:szCs w:val="18"/>
                <w:color w:val="auto"/>
              </w:rPr>
              <w:t>Foreign exchange loss (gain)</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167,810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(502,389)</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184,083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184,424</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400"/>
              <w:spacing w:after="0"/>
              <w:rPr>
                <w:sz w:val="20"/>
                <w:szCs w:val="20"/>
                <w:color w:val="auto"/>
              </w:rPr>
            </w:pPr>
            <w:r>
              <w:rPr>
                <w:rFonts w:ascii="Arial" w:cs="Arial" w:eastAsia="Arial" w:hAnsi="Arial"/>
                <w:sz w:val="18"/>
                <w:szCs w:val="18"/>
                <w:color w:val="auto"/>
              </w:rPr>
              <w:t>Loss on disposals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923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Treasury note premium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44,268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93,691</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40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792,013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739,969</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(10,824)</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1,035,153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206,452</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60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(37,578)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213,990</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291,575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150,207</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6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730,413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(192,362)</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(859,251)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13,652</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67,957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(767,723)</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Unearned revenues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103,096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273,117</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60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(141,101)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110,955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(9,397,523)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(6,723,856)</w:t>
            </w:r>
          </w:p>
        </w:tc>
      </w:tr>
      <w:tr>
        <w:trPr>
          <w:trHeight w:val="223"/>
        </w:trPr>
        <w:tc>
          <w:tcPr>
            <w:tcW w:w="34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(6,775,252)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(35,407,938)</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22,504,766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35,863,482</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r>
      <w:tr>
        <w:trPr>
          <w:trHeight w:val="216"/>
        </w:trPr>
        <w:tc>
          <w:tcPr>
            <w:tcW w:w="34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Purchases of equipment</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(41,743)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(155,298)</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of patent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(113,538)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(61,054)</w:t>
            </w:r>
          </w:p>
        </w:tc>
      </w:tr>
      <w:tr>
        <w:trPr>
          <w:trHeight w:val="230"/>
        </w:trPr>
        <w:tc>
          <w:tcPr>
            <w:tcW w:w="340" w:type="dxa"/>
            <w:vAlign w:val="bottom"/>
          </w:tcPr>
          <w:p>
            <w:pPr>
              <w:spacing w:after="0"/>
              <w:rPr>
                <w:sz w:val="20"/>
                <w:szCs w:val="20"/>
                <w:color w:val="auto"/>
              </w:rPr>
            </w:pPr>
          </w:p>
        </w:tc>
        <w:tc>
          <w:tcPr>
            <w:tcW w:w="7260" w:type="dxa"/>
            <w:vAlign w:val="bottom"/>
            <w:gridSpan w:val="2"/>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15,324,233</w:t>
            </w:r>
          </w:p>
        </w:tc>
        <w:tc>
          <w:tcPr>
            <w:tcW w:w="4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(93,398)</w:t>
            </w:r>
          </w:p>
        </w:tc>
      </w:tr>
      <w:tr>
        <w:trPr>
          <w:trHeight w:val="230"/>
        </w:trPr>
        <w:tc>
          <w:tcPr>
            <w:tcW w:w="340" w:type="dxa"/>
            <w:vAlign w:val="bottom"/>
          </w:tcPr>
          <w:p>
            <w:pPr>
              <w:spacing w:after="0"/>
              <w:rPr>
                <w:sz w:val="20"/>
                <w:szCs w:val="20"/>
                <w:color w:val="auto"/>
              </w:rPr>
            </w:pPr>
          </w:p>
        </w:tc>
        <w:tc>
          <w:tcPr>
            <w:tcW w:w="7260" w:type="dxa"/>
            <w:vAlign w:val="bottom"/>
            <w:gridSpan w:val="2"/>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243,992</w:t>
            </w:r>
          </w:p>
        </w:tc>
        <w:tc>
          <w:tcPr>
            <w:tcW w:w="4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(93,398)</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90,364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908,138</w:t>
            </w:r>
          </w:p>
        </w:tc>
      </w:tr>
      <w:tr>
        <w:trPr>
          <w:trHeight w:val="223"/>
        </w:trPr>
        <w:tc>
          <w:tcPr>
            <w:tcW w:w="340" w:type="dxa"/>
            <w:vAlign w:val="bottom"/>
          </w:tcPr>
          <w:p>
            <w:pPr>
              <w:spacing w:after="0"/>
              <w:rPr>
                <w:sz w:val="19"/>
                <w:szCs w:val="19"/>
                <w:color w:val="auto"/>
              </w:rPr>
            </w:pPr>
          </w:p>
        </w:tc>
        <w:tc>
          <w:tcPr>
            <w:tcW w:w="7260" w:type="dxa"/>
            <w:vAlign w:val="bottom"/>
            <w:gridSpan w:val="2"/>
          </w:tcPr>
          <w:p>
            <w:pPr>
              <w:ind w:left="80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6,261,066</w:t>
            </w: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(5,919,924)</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4,236,597</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12,267,830</w:t>
            </w:r>
          </w:p>
        </w:tc>
      </w:tr>
      <w:tr>
        <w:trPr>
          <w:trHeight w:val="223"/>
        </w:trPr>
        <w:tc>
          <w:tcPr>
            <w:tcW w:w="34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10,497,663</w:t>
            </w:r>
          </w:p>
        </w:tc>
        <w:tc>
          <w:tcPr>
            <w:tcW w:w="4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6,347,906</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16,431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Capitalized purchases of equipment financed through accounts payable and accrued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13,239</w:t>
            </w: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Ocean Power</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Shares</w:t>
            </w:r>
          </w:p>
        </w:tc>
        <w:tc>
          <w:tcPr>
            <w:tcW w:w="1280" w:type="dxa"/>
            <w:vAlign w:val="bottom"/>
            <w:gridSpan w:val="6"/>
            <w:vMerge w:val="restart"/>
          </w:tcPr>
          <w:p>
            <w:pPr>
              <w:jc w:val="right"/>
              <w:ind w:right="199"/>
              <w:spacing w:after="0"/>
              <w:rPr>
                <w:sz w:val="20"/>
                <w:szCs w:val="20"/>
                <w:color w:val="auto"/>
              </w:rPr>
            </w:pPr>
            <w:r>
              <w:rPr>
                <w:rFonts w:ascii="Arial" w:cs="Arial" w:eastAsia="Arial" w:hAnsi="Arial"/>
                <w:sz w:val="14"/>
                <w:szCs w:val="14"/>
                <w:b w:val="1"/>
                <w:bCs w:val="1"/>
                <w:color w:val="auto"/>
                <w:w w:val="92"/>
              </w:rPr>
              <w:t>Treasury Shares</w:t>
            </w:r>
          </w:p>
        </w:tc>
        <w:tc>
          <w:tcPr>
            <w:tcW w:w="9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1280" w:type="dxa"/>
            <w:vAlign w:val="bottom"/>
            <w:gridSpan w:val="6"/>
            <w:vMerge w:val="continue"/>
          </w:tcPr>
          <w:p>
            <w:pPr>
              <w:spacing w:after="0"/>
              <w:rPr>
                <w:sz w:val="13"/>
                <w:szCs w:val="13"/>
                <w:color w:val="auto"/>
              </w:rPr>
            </w:pPr>
          </w:p>
        </w:tc>
        <w:tc>
          <w:tcPr>
            <w:tcW w:w="9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Technologies, Inc,</w:t>
            </w:r>
          </w:p>
        </w:tc>
        <w:tc>
          <w:tcPr>
            <w:tcW w:w="116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8"/>
              </w:rPr>
              <w:t>Noncontrolling</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5"/>
              </w:rPr>
              <w:t>Loss</w:t>
            </w:r>
          </w:p>
        </w:tc>
        <w:tc>
          <w:tcPr>
            <w:tcW w:w="14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Stockholders Equity</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Interest</w:t>
            </w: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April 30, 2009</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10,210,354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$ 10,210</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154,568,931</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(71,242,791)</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(553,323)</w:t>
            </w:r>
          </w:p>
        </w:tc>
        <w:tc>
          <w:tcPr>
            <w:tcW w:w="14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82,783,027</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82,783,027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(7,290,248)</w:t>
            </w: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(7,290,248)</w:t>
            </w:r>
          </w:p>
        </w:tc>
        <w:tc>
          <w:tcPr>
            <w:tcW w:w="11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53,233</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(7,237,015)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778,372</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778,372</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778,372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Total comprehensive loss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(6,511,876)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53,233</w:t>
            </w:r>
          </w:p>
        </w:tc>
        <w:tc>
          <w:tcPr>
            <w:tcW w:w="16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(6,458,643)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Compensation related to stock</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option grants and</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 issued to</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694,967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694,967</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694,967</w:t>
            </w:r>
          </w:p>
        </w:tc>
        <w:tc>
          <w:tcPr>
            <w:tcW w:w="0" w:type="dxa"/>
            <w:vAlign w:val="bottom"/>
          </w:tcPr>
          <w:p>
            <w:pPr>
              <w:spacing w:after="0"/>
              <w:rPr>
                <w:sz w:val="1"/>
                <w:szCs w:val="1"/>
                <w:color w:val="auto"/>
              </w:rPr>
            </w:pPr>
          </w:p>
        </w:tc>
      </w:tr>
      <w:tr>
        <w:trPr>
          <w:trHeight w:val="278"/>
        </w:trPr>
        <w:tc>
          <w:tcPr>
            <w:tcW w:w="1840" w:type="dxa"/>
            <w:vAlign w:val="bottom"/>
            <w:gridSpan w:val="2"/>
          </w:tcPr>
          <w:p>
            <w:pPr>
              <w:spacing w:after="0"/>
              <w:rPr>
                <w:sz w:val="20"/>
                <w:szCs w:val="20"/>
                <w:color w:val="auto"/>
              </w:rPr>
            </w:pPr>
            <w:r>
              <w:rPr>
                <w:rFonts w:ascii="Arial" w:cs="Arial" w:eastAsia="Arial" w:hAnsi="Arial"/>
                <w:sz w:val="14"/>
                <w:szCs w:val="14"/>
                <w:color w:val="auto"/>
                <w:w w:val="96"/>
              </w:rPr>
              <w:t>Compensation related to stock</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option grants and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restricted stock issued to</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non-employees</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5,002</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auto"/>
              </w:rPr>
              <w:t>5,002</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October 31, 2009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10,210,354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$ 10,210</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155,268,900</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(78,533,039)</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225,049</w:t>
            </w:r>
          </w:p>
        </w:tc>
        <w:tc>
          <w:tcPr>
            <w:tcW w:w="14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76,971,120</w:t>
            </w:r>
          </w:p>
        </w:tc>
        <w:tc>
          <w:tcPr>
            <w:tcW w:w="11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53,233</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77,024,353</w:t>
            </w: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840" w:type="dxa"/>
            <w:vAlign w:val="bottom"/>
            <w:gridSpan w:val="2"/>
          </w:tcPr>
          <w:p>
            <w:pPr>
              <w:spacing w:after="0"/>
              <w:rPr>
                <w:sz w:val="20"/>
                <w:szCs w:val="20"/>
                <w:color w:val="auto"/>
              </w:rPr>
            </w:pPr>
            <w:r>
              <w:rPr>
                <w:rFonts w:ascii="Arial" w:cs="Arial" w:eastAsia="Arial" w:hAnsi="Arial"/>
                <w:sz w:val="14"/>
                <w:szCs w:val="14"/>
                <w:color w:val="auto"/>
              </w:rPr>
              <w:t>Balance, April 30, 2010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10,390,563</w:t>
            </w:r>
          </w:p>
        </w:tc>
        <w:tc>
          <w:tcPr>
            <w:tcW w:w="1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$ 10,391</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(1,072)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99"/>
              <w:spacing w:after="0"/>
              <w:rPr>
                <w:sz w:val="20"/>
                <w:szCs w:val="20"/>
                <w:color w:val="auto"/>
              </w:rPr>
            </w:pPr>
            <w:r>
              <w:rPr>
                <w:rFonts w:ascii="Arial" w:cs="Arial" w:eastAsia="Arial" w:hAnsi="Arial"/>
                <w:sz w:val="14"/>
                <w:szCs w:val="14"/>
                <w:color w:val="auto"/>
                <w:w w:val="94"/>
              </w:rPr>
              <w:t>(6,443)</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155,726,672</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(90,413,098)</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(503,322)</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auto"/>
              </w:rPr>
              <w:t>64,814,200</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40,890</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64,855,090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(11,765,785)</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(11,765,785)</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(11,099)</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(11,776,884)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368,683</w:t>
            </w:r>
          </w:p>
        </w:tc>
        <w:tc>
          <w:tcPr>
            <w:tcW w:w="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368,683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370,207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(11,397,102)</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(9,575)</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(11,406,677)</w:t>
            </w:r>
          </w:p>
        </w:tc>
        <w:tc>
          <w:tcPr>
            <w:tcW w:w="0" w:type="dxa"/>
            <w:vAlign w:val="bottom"/>
          </w:tcPr>
          <w:p>
            <w:pPr>
              <w:spacing w:after="0"/>
              <w:rPr>
                <w:sz w:val="1"/>
                <w:szCs w:val="1"/>
                <w:color w:val="auto"/>
              </w:rPr>
            </w:pPr>
          </w:p>
        </w:tc>
      </w:tr>
      <w:tr>
        <w:trPr>
          <w:trHeight w:val="278"/>
        </w:trPr>
        <w:tc>
          <w:tcPr>
            <w:tcW w:w="1840" w:type="dxa"/>
            <w:vAlign w:val="bottom"/>
            <w:gridSpan w:val="2"/>
          </w:tcPr>
          <w:p>
            <w:pPr>
              <w:spacing w:after="0"/>
              <w:rPr>
                <w:sz w:val="20"/>
                <w:szCs w:val="20"/>
                <w:color w:val="auto"/>
              </w:rPr>
            </w:pPr>
            <w:r>
              <w:rPr>
                <w:rFonts w:ascii="Arial" w:cs="Arial" w:eastAsia="Arial" w:hAnsi="Arial"/>
                <w:sz w:val="14"/>
                <w:szCs w:val="14"/>
                <w:color w:val="auto"/>
                <w:w w:val="96"/>
              </w:rPr>
              <w:t>Compensation related to stock</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option grants and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restricted stock issued to</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employees</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729,370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auto"/>
              </w:rPr>
              <w:t>729,370</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729,370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Compensation related to stock</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option grants and</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 issued to</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non-employees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62,643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62,643</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62,643</w:t>
            </w:r>
          </w:p>
        </w:tc>
        <w:tc>
          <w:tcPr>
            <w:tcW w:w="0" w:type="dxa"/>
            <w:vAlign w:val="bottom"/>
          </w:tcPr>
          <w:p>
            <w:pPr>
              <w:spacing w:after="0"/>
              <w:rPr>
                <w:sz w:val="1"/>
                <w:szCs w:val="1"/>
                <w:color w:val="auto"/>
              </w:rPr>
            </w:pPr>
          </w:p>
        </w:tc>
      </w:tr>
      <w:tr>
        <w:trPr>
          <w:trHeight w:val="278"/>
        </w:trPr>
        <w:tc>
          <w:tcPr>
            <w:tcW w:w="1840" w:type="dxa"/>
            <w:vAlign w:val="bottom"/>
            <w:gridSpan w:val="2"/>
          </w:tcPr>
          <w:p>
            <w:pPr>
              <w:spacing w:after="0"/>
              <w:rPr>
                <w:sz w:val="20"/>
                <w:szCs w:val="20"/>
                <w:color w:val="auto"/>
              </w:rPr>
            </w:pPr>
            <w:r>
              <w:rPr>
                <w:rFonts w:ascii="Arial" w:cs="Arial" w:eastAsia="Arial" w:hAnsi="Arial"/>
                <w:sz w:val="14"/>
                <w:szCs w:val="14"/>
                <w:color w:val="auto"/>
              </w:rPr>
              <w:t>Issuance of vested and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unvested restricted stock</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to employees, net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21,000</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21</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vested and</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unvested restricted stock</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 non-employees, net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7,620</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5" w:lineRule="exact"/>
              <w:rPr>
                <w:sz w:val="20"/>
                <w:szCs w:val="20"/>
                <w:color w:val="auto"/>
              </w:rPr>
            </w:pPr>
            <w:r>
              <w:rPr>
                <w:rFonts w:ascii="Arial" w:cs="Arial" w:eastAsia="Arial" w:hAnsi="Arial"/>
                <w:sz w:val="14"/>
                <w:szCs w:val="14"/>
                <w:color w:val="auto"/>
              </w:rPr>
              <w:t>Balance, October 31, 2010</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10,419,183</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$ 10,419</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(1,072)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(6,443</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156,518,657</w:t>
            </w:r>
          </w:p>
        </w:tc>
        <w:tc>
          <w:tcPr>
            <w:tcW w:w="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(102,178,883)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54,209,111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31,315</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54,240,426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189"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146" w:lineRule="exact"/>
        <w:rPr>
          <w:sz w:val="20"/>
          <w:szCs w:val="20"/>
          <w:color w:val="auto"/>
        </w:rPr>
      </w:pPr>
    </w:p>
    <w:p>
      <w:pPr>
        <w:ind w:left="340" w:right="199" w:firstLine="389"/>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2010 filed with the Securities and Exchange Commission (SEC) and elsewhere in this Form 10-Q.</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w:t>
      </w:r>
    </w:p>
    <w:p>
      <w:pPr>
        <w:spacing w:after="0" w:line="185"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2010, there was one noncontrolling interest, consisting of 11.8% of the Company’s Australian subsidiary, Ocean Power Technologies (Australasia) Pty. Ltd.</w:t>
      </w:r>
    </w:p>
    <w:p>
      <w:pPr>
        <w:spacing w:after="0" w:line="149" w:lineRule="exact"/>
        <w:rPr>
          <w:sz w:val="20"/>
          <w:szCs w:val="20"/>
          <w:color w:val="auto"/>
        </w:rPr>
      </w:pPr>
    </w:p>
    <w:p>
      <w:pPr>
        <w:ind w:left="340" w:right="279" w:firstLine="389"/>
        <w:spacing w:after="0" w:line="312" w:lineRule="auto"/>
        <w:rPr>
          <w:sz w:val="20"/>
          <w:szCs w:val="20"/>
          <w:color w:val="auto"/>
        </w:rPr>
      </w:pPr>
      <w:r>
        <w:rPr>
          <w:rFonts w:ascii="Arial" w:cs="Arial" w:eastAsia="Arial" w:hAnsi="Arial"/>
          <w:sz w:val="16"/>
          <w:szCs w:val="16"/>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2010, there were no such entities.</w:t>
      </w:r>
    </w:p>
    <w:p>
      <w:pPr>
        <w:spacing w:after="0" w:line="120" w:lineRule="exact"/>
        <w:rPr>
          <w:sz w:val="20"/>
          <w:szCs w:val="20"/>
          <w:color w:val="auto"/>
        </w:rPr>
      </w:pPr>
    </w:p>
    <w:p>
      <w:pPr>
        <w:ind w:left="340" w:right="399" w:firstLine="389"/>
        <w:spacing w:after="0" w:line="259" w:lineRule="auto"/>
        <w:rPr>
          <w:sz w:val="20"/>
          <w:szCs w:val="20"/>
          <w:color w:val="auto"/>
        </w:rPr>
      </w:pPr>
      <w:r>
        <w:rPr>
          <w:rFonts w:ascii="Arial" w:cs="Arial" w:eastAsia="Arial" w:hAnsi="Arial"/>
          <w:sz w:val="18"/>
          <w:szCs w:val="18"/>
          <w:color w:val="auto"/>
        </w:rPr>
        <w:t>The Company has a 10% investment in Iberdrola Energias Renovables, S.A. (Iberdrola Energias). Revenues from Iberdrola Energias for the six months ended October 31, 2010 and 2009 were $(237,000) and $139,000, respectively. Additionally, accounts receivable from Iberdrola Energias aggregated $321,000 and $556,000 as of October 31, 2010 and April 30, 2010, respectively. See Note 2 (a) and Note 9.</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340" w:right="239" w:firstLine="389"/>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Revenue Recognition</w:t>
      </w:r>
    </w:p>
    <w:p>
      <w:pPr>
        <w:spacing w:after="0" w:line="185"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October 31, 2010 and April 30, 2010.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six months ended October 31, 2010, the Company reduced revenue by approximately $237,000 due to a change in estimated revenue to be recognized in connection with the Spain construction agreement.</w:t>
      </w:r>
    </w:p>
    <w:p>
      <w:pPr>
        <w:spacing w:after="0" w:line="151" w:lineRule="exact"/>
        <w:rPr>
          <w:sz w:val="20"/>
          <w:szCs w:val="20"/>
          <w:color w:val="auto"/>
        </w:rPr>
      </w:pPr>
    </w:p>
    <w:p>
      <w:pPr>
        <w:jc w:val="both"/>
        <w:ind w:left="340" w:right="379" w:firstLine="389"/>
        <w:spacing w:after="0" w:line="312" w:lineRule="auto"/>
        <w:rPr>
          <w:sz w:val="20"/>
          <w:szCs w:val="20"/>
          <w:color w:val="auto"/>
        </w:rPr>
      </w:pPr>
      <w:r>
        <w:rPr>
          <w:rFonts w:ascii="Arial" w:cs="Arial" w:eastAsia="Arial" w:hAnsi="Arial"/>
          <w:sz w:val="16"/>
          <w:szCs w:val="16"/>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Cash and Cash Equivalents</w:t>
      </w:r>
    </w:p>
    <w:p>
      <w:pPr>
        <w:spacing w:after="0" w:line="185" w:lineRule="exact"/>
        <w:rPr>
          <w:sz w:val="20"/>
          <w:szCs w:val="20"/>
          <w:color w:val="auto"/>
        </w:rPr>
      </w:pPr>
    </w:p>
    <w:p>
      <w:pPr>
        <w:ind w:left="340" w:right="419" w:firstLine="389"/>
        <w:spacing w:after="0" w:line="297" w:lineRule="auto"/>
        <w:rPr>
          <w:sz w:val="20"/>
          <w:szCs w:val="20"/>
          <w:color w:val="auto"/>
        </w:rPr>
      </w:pPr>
      <w:r>
        <w:rPr>
          <w:rFonts w:ascii="Arial" w:cs="Arial" w:eastAsia="Arial" w:hAnsi="Arial"/>
          <w:sz w:val="16"/>
          <w:szCs w:val="16"/>
          <w:color w:val="auto"/>
        </w:rPr>
        <w:t>Cash equivalents consist of investments in short-term financial instruments with initial maturities of three months or less from the date of purchase. Cash and cash equivalents include the following: $3,530,000 and $1,590,000 of certificates of deposit with an initial term of less than three months at October 31, 2010 and April 30, 2010, respectively; $1,999,000 and zero of US Treasury obligations with an initial term of less than three months at October 31, 2010 and April 30, 2010, respectively; and $1,657,000 and $192,000 invested in a money market fund as of October 31, 2010 and April 30, 2010, respectively.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Restricted Cash and Credit Facility</w:t>
      </w:r>
    </w:p>
    <w:p>
      <w:pPr>
        <w:spacing w:after="0" w:line="185" w:lineRule="exact"/>
        <w:rPr>
          <w:sz w:val="20"/>
          <w:szCs w:val="20"/>
          <w:color w:val="auto"/>
        </w:rPr>
      </w:pPr>
    </w:p>
    <w:p>
      <w:pPr>
        <w:ind w:left="340" w:right="459" w:firstLine="389"/>
        <w:spacing w:after="0" w:line="277" w:lineRule="auto"/>
        <w:rPr>
          <w:sz w:val="20"/>
          <w:szCs w:val="20"/>
          <w:color w:val="auto"/>
        </w:rPr>
      </w:pPr>
      <w:r>
        <w:rPr>
          <w:rFonts w:ascii="Arial" w:cs="Arial" w:eastAsia="Arial" w:hAnsi="Arial"/>
          <w:sz w:val="18"/>
          <w:szCs w:val="18"/>
          <w:color w:val="auto"/>
        </w:rPr>
        <w:t>The Company had $1,504,544 and $1,205,288 of restricted cash as of October 31, 2010 and April 30, 2010, respectively. The cash is restricted under the terms of two security agreements.</w:t>
      </w:r>
    </w:p>
    <w:p>
      <w:pPr>
        <w:spacing w:after="0" w:line="130" w:lineRule="exact"/>
        <w:rPr>
          <w:sz w:val="20"/>
          <w:szCs w:val="20"/>
          <w:color w:val="auto"/>
        </w:rPr>
      </w:pPr>
    </w:p>
    <w:p>
      <w:pPr>
        <w:ind w:left="340" w:right="239" w:firstLine="389"/>
        <w:spacing w:after="0" w:line="293"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October 31, 2010, approximately €720,000 is included in restricted cash.</w:t>
      </w:r>
    </w:p>
    <w:p>
      <w:pPr>
        <w:spacing w:after="0" w:line="138" w:lineRule="exact"/>
        <w:rPr>
          <w:sz w:val="20"/>
          <w:szCs w:val="20"/>
          <w:color w:val="auto"/>
        </w:rPr>
      </w:pPr>
    </w:p>
    <w:p>
      <w:pPr>
        <w:ind w:left="340" w:right="279" w:firstLine="389"/>
        <w:spacing w:after="0" w:line="302" w:lineRule="auto"/>
        <w:rPr>
          <w:sz w:val="20"/>
          <w:szCs w:val="20"/>
          <w:color w:val="auto"/>
        </w:rPr>
      </w:pPr>
      <w:r>
        <w:rPr>
          <w:rFonts w:ascii="Arial" w:cs="Arial" w:eastAsia="Arial" w:hAnsi="Arial"/>
          <w:sz w:val="16"/>
          <w:szCs w:val="16"/>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The Company has assigned certificates of deposit in the amount of $500,000 to the NJBPU, which are outstanding as of October 31, 2010. See Note 6.</w:t>
      </w: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Other Income</w:t>
      </w:r>
    </w:p>
    <w:p>
      <w:pPr>
        <w:spacing w:after="0" w:line="185"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Other income consists of transactions that the Company considers to be outside the normal scope of its operations and operating activities. The Company recognized other income of $24,960 and $531,590 during the three and six months ended October 31, 2009, primarily in connection with the settlement of a claim that it had against a supplier that provided engineering services to the Company.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Foreign Exchange Gains and Losses</w:t>
      </w:r>
    </w:p>
    <w:p>
      <w:pPr>
        <w:spacing w:after="0" w:line="198" w:lineRule="exact"/>
        <w:rPr>
          <w:sz w:val="20"/>
          <w:szCs w:val="20"/>
          <w:color w:val="auto"/>
        </w:rPr>
      </w:pPr>
    </w:p>
    <w:p>
      <w:pPr>
        <w:ind w:left="340" w:right="239" w:firstLine="389"/>
        <w:spacing w:after="0" w:line="254"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Such certificates of deposit and cash accounts had a balance of approximately $6,861,716 and $4,131,000 as of October 31, 2010 and April 30, 2010,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gain (loss) in the accompanying consolidated statements of operations. Foreign exchange gain (loss) was $71,192 and $100,698 for the three months ended October 31, 2010 and 2009, respectively, and $(167,810) and $502,389 for the six months ended October 31, 2010 and 2009, respectively.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 Long-Lived Assets</w:t>
      </w:r>
    </w:p>
    <w:p>
      <w:pPr>
        <w:spacing w:after="0" w:line="185"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six months ended October 31, 2010.</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185"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w:t>
      </w:r>
    </w:p>
    <w:p>
      <w:pPr>
        <w:spacing w:after="0" w:line="146" w:lineRule="exact"/>
        <w:rPr>
          <w:sz w:val="20"/>
          <w:szCs w:val="20"/>
          <w:color w:val="auto"/>
        </w:rPr>
      </w:pPr>
    </w:p>
    <w:p>
      <w:pPr>
        <w:ind w:left="340" w:right="219" w:firstLine="389"/>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Customer</w:t>
            </w:r>
          </w:p>
        </w:tc>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October 31,</w:t>
            </w:r>
          </w:p>
        </w:tc>
        <w:tc>
          <w:tcPr>
            <w:tcW w:w="25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9"/>
              </w:rPr>
              <w:t>Six months ended October 31,</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04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 (1)</w:t>
            </w:r>
          </w:p>
        </w:tc>
        <w:tc>
          <w:tcPr>
            <w:tcW w:w="4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1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50%</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1500" w:type="dxa"/>
            <w:vAlign w:val="bottom"/>
            <w:gridSpan w:val="2"/>
          </w:tcPr>
          <w:p>
            <w:pPr>
              <w:ind w:left="860"/>
              <w:spacing w:after="0"/>
              <w:rPr>
                <w:sz w:val="20"/>
                <w:szCs w:val="20"/>
                <w:color w:val="auto"/>
              </w:rPr>
            </w:pPr>
            <w:r>
              <w:rPr>
                <w:rFonts w:ascii="Arial" w:cs="Arial" w:eastAsia="Arial" w:hAnsi="Arial"/>
                <w:sz w:val="18"/>
                <w:szCs w:val="18"/>
                <w:color w:val="auto"/>
              </w:rPr>
              <w:t>31%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West of England Regional Development</w:t>
            </w: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Authority</w:t>
            </w:r>
          </w:p>
        </w:tc>
        <w:tc>
          <w:tcPr>
            <w:tcW w:w="1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Scottish Government</w:t>
            </w:r>
          </w:p>
        </w:tc>
        <w:tc>
          <w:tcPr>
            <w:tcW w:w="15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Leighton</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860"/>
              <w:spacing w:after="0"/>
              <w:rPr>
                <w:sz w:val="20"/>
                <w:szCs w:val="20"/>
                <w:color w:val="auto"/>
              </w:rPr>
            </w:pPr>
            <w:r>
              <w:rPr>
                <w:rFonts w:ascii="Arial" w:cs="Arial" w:eastAsia="Arial" w:hAnsi="Arial"/>
                <w:sz w:val="18"/>
                <w:szCs w:val="18"/>
                <w:color w:val="auto"/>
              </w:rPr>
              <w:t>96%</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equals 102% due to a negative revenue adjustment made to another customer.</w:t>
      </w:r>
    </w:p>
    <w:p>
      <w:pPr>
        <w:spacing w:after="0" w:line="198"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collateral from its customers.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Net Loss per Common Share</w:t>
      </w:r>
    </w:p>
    <w:p>
      <w:pPr>
        <w:spacing w:after="0" w:line="185"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46" w:lineRule="exact"/>
        <w:rPr>
          <w:sz w:val="20"/>
          <w:szCs w:val="20"/>
          <w:color w:val="auto"/>
        </w:rPr>
      </w:pPr>
    </w:p>
    <w:p>
      <w:pPr>
        <w:jc w:val="both"/>
        <w:ind w:left="340" w:right="439" w:firstLine="389"/>
        <w:spacing w:after="0" w:line="312" w:lineRule="auto"/>
        <w:rPr>
          <w:sz w:val="20"/>
          <w:szCs w:val="20"/>
          <w:color w:val="auto"/>
        </w:rPr>
      </w:pPr>
      <w:r>
        <w:rPr>
          <w:rFonts w:ascii="Arial" w:cs="Arial" w:eastAsia="Arial" w:hAnsi="Arial"/>
          <w:sz w:val="16"/>
          <w:szCs w:val="16"/>
          <w:color w:val="auto"/>
        </w:rPr>
        <w:t>In computing diluted net loss per share, options to purchase shares of common stock and non-vested restricted stock issued to employees and non-employee directors, totaling 1,747,751 and 1,889,292 for the three and six months ended October 31, 2010 and 2009, respectively, were excluded from the computations as the effect would be anti-dilutive due to the Company’s losses.</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Marketable Securities</w:t>
      </w:r>
    </w:p>
    <w:p>
      <w:pPr>
        <w:spacing w:after="0" w:line="189" w:lineRule="exact"/>
        <w:rPr>
          <w:sz w:val="20"/>
          <w:szCs w:val="20"/>
          <w:color w:val="auto"/>
        </w:rPr>
      </w:pPr>
    </w:p>
    <w:p>
      <w:pPr>
        <w:ind w:left="340" w:right="1400" w:firstLine="389"/>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and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October 31,</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April 30,</w:t>
            </w:r>
          </w:p>
        </w:tc>
      </w:tr>
      <w:tr>
        <w:trPr>
          <w:trHeight w:val="234"/>
        </w:trPr>
        <w:tc>
          <w:tcPr>
            <w:tcW w:w="5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805,527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519,232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12,997,067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32,016,769</w:t>
            </w:r>
          </w:p>
        </w:tc>
      </w:tr>
      <w:tr>
        <w:trPr>
          <w:trHeight w:val="27"/>
        </w:trPr>
        <w:tc>
          <w:tcPr>
            <w:tcW w:w="5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13,802,594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32,536,001</w:t>
            </w:r>
          </w:p>
        </w:tc>
      </w:tr>
      <w:tr>
        <w:trPr>
          <w:trHeight w:val="20"/>
        </w:trPr>
        <w:tc>
          <w:tcPr>
            <w:tcW w:w="5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660" w:firstLine="389"/>
        <w:spacing w:after="0" w:line="264" w:lineRule="auto"/>
        <w:rPr>
          <w:sz w:val="20"/>
          <w:szCs w:val="20"/>
          <w:color w:val="auto"/>
        </w:rPr>
      </w:pPr>
      <w:r>
        <w:rPr>
          <w:rFonts w:ascii="Arial" w:cs="Arial" w:eastAsia="Arial" w:hAnsi="Arial"/>
          <w:sz w:val="18"/>
          <w:szCs w:val="18"/>
          <w:color w:val="auto"/>
        </w:rPr>
        <w:t>The Company’s marketable securities that mature more than one year from the balance sheet date are classified as noncurrent assets. These marketable securities all mature in less than three years, are all classified as held-to-maturity, are carried at amortized cost and are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Amortized</w:t>
            </w: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unrealized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unrealized</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Market</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cost</w:t>
            </w: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gains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2"/>
              </w:rPr>
              <w:t>losses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October 31, 2010</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28,070,735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358,920</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28,429,655</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3,806,808</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31,877,543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358,920</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32,236,463</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April 30, 2010</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25,058,238</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158,672</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25,216,910</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3,806,808</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28,865,046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158,672</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29,023,718</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(4) Balance Sheet Detail</w:t>
            </w: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20" w:type="dxa"/>
            <w:vAlign w:val="bottom"/>
          </w:tcPr>
          <w:p>
            <w:pPr>
              <w:spacing w:after="0"/>
              <w:rPr>
                <w:sz w:val="24"/>
                <w:szCs w:val="24"/>
                <w:color w:val="auto"/>
              </w:rPr>
            </w:pPr>
          </w:p>
        </w:tc>
        <w:tc>
          <w:tcPr>
            <w:tcW w:w="3420" w:type="dxa"/>
            <w:vAlign w:val="bottom"/>
            <w:gridSpan w:val="4"/>
          </w:tcPr>
          <w:p>
            <w:pPr>
              <w:ind w:left="1760"/>
              <w:spacing w:after="0"/>
              <w:rPr>
                <w:sz w:val="20"/>
                <w:szCs w:val="20"/>
                <w:color w:val="auto"/>
              </w:rPr>
            </w:pPr>
            <w:r>
              <w:rPr>
                <w:rFonts w:ascii="Arial" w:cs="Arial" w:eastAsia="Arial" w:hAnsi="Arial"/>
                <w:sz w:val="18"/>
                <w:szCs w:val="18"/>
                <w:b w:val="1"/>
                <w:bCs w:val="1"/>
                <w:color w:val="auto"/>
              </w:rPr>
              <w:t>October 31, 2010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April 30, 2010</w:t>
            </w:r>
          </w:p>
        </w:tc>
      </w:tr>
      <w:tr>
        <w:trPr>
          <w:trHeight w:val="210"/>
        </w:trPr>
        <w:tc>
          <w:tcPr>
            <w:tcW w:w="5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20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1,831,286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1,767,078</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(1,231,499)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(1,056,515)</w:t>
            </w:r>
          </w:p>
        </w:tc>
      </w:tr>
      <w:tr>
        <w:trPr>
          <w:trHeight w:val="223"/>
        </w:trPr>
        <w:tc>
          <w:tcPr>
            <w:tcW w:w="5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599,787</w:t>
            </w:r>
          </w:p>
        </w:tc>
        <w:tc>
          <w:tcPr>
            <w:tcW w:w="3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710,563</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Patents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1,385,793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1,322,335</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(309,103)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(285,454)</w:t>
            </w:r>
          </w:p>
        </w:tc>
      </w:tr>
      <w:tr>
        <w:trPr>
          <w:trHeight w:val="223"/>
        </w:trPr>
        <w:tc>
          <w:tcPr>
            <w:tcW w:w="5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1,076,690</w:t>
            </w:r>
          </w:p>
        </w:tc>
        <w:tc>
          <w:tcPr>
            <w:tcW w:w="3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1,036,881</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Project costs</w:t>
            </w:r>
          </w:p>
        </w:tc>
        <w:tc>
          <w:tcPr>
            <w:tcW w:w="20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1,326,609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1,072,635</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loss reserves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785,000</w:t>
            </w: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Employee incentive payments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751,681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682,400</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165,912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308,514</w:t>
            </w: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Employee-related costs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412,552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491,621</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Payroll tax withholdings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317,398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374,208</w:t>
            </w: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Investment in joint venture</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185,645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176,121</w:t>
            </w: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and accounting fees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169,169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154,567</w:t>
            </w: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Value-added tax</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63,712</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47,047</w:t>
            </w:r>
          </w:p>
        </w:tc>
      </w:tr>
      <w:tr>
        <w:trPr>
          <w:trHeight w:val="27"/>
        </w:trPr>
        <w:tc>
          <w:tcPr>
            <w:tcW w:w="5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4,177,678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4,092,113</w:t>
            </w:r>
          </w:p>
        </w:tc>
      </w:tr>
      <w:tr>
        <w:trPr>
          <w:trHeight w:val="20"/>
        </w:trPr>
        <w:tc>
          <w:tcPr>
            <w:tcW w:w="5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Related Party Transactions</w:t>
      </w:r>
    </w:p>
    <w:p>
      <w:pPr>
        <w:spacing w:after="0" w:line="189" w:lineRule="exact"/>
        <w:rPr>
          <w:sz w:val="20"/>
          <w:szCs w:val="20"/>
          <w:color w:val="auto"/>
        </w:rPr>
      </w:pPr>
    </w:p>
    <w:p>
      <w:pPr>
        <w:ind w:left="340" w:right="379" w:firstLine="389"/>
        <w:spacing w:after="0" w:line="272" w:lineRule="auto"/>
        <w:rPr>
          <w:sz w:val="20"/>
          <w:szCs w:val="20"/>
          <w:color w:val="auto"/>
        </w:rPr>
      </w:pPr>
      <w:r>
        <w:rPr>
          <w:rFonts w:ascii="Arial" w:cs="Arial" w:eastAsia="Arial" w:hAnsi="Arial"/>
          <w:sz w:val="17"/>
          <w:szCs w:val="17"/>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$21,000 and $16,000 during the three months ended October 31, 2010 and 2009, respectively, and $42,000 and $30,000 during the six months ended October 31, 2010 and 2009, respectively. In addition, this individual is also the chief executive officer of a company that provided engineering and technical services to the Company. The Company incurred expenses of approximately $124,000 and $42,000 for such services during the six months ended October 31, 2010 and 2009, respectively.</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Debt</w:t>
      </w:r>
    </w:p>
    <w:p>
      <w:pPr>
        <w:spacing w:after="0" w:line="189" w:lineRule="exact"/>
        <w:rPr>
          <w:sz w:val="20"/>
          <w:szCs w:val="20"/>
          <w:color w:val="auto"/>
        </w:rPr>
      </w:pPr>
    </w:p>
    <w:p>
      <w:pPr>
        <w:ind w:left="340" w:right="219" w:firstLine="389"/>
        <w:spacing w:after="0" w:line="254" w:lineRule="auto"/>
        <w:rPr>
          <w:sz w:val="20"/>
          <w:szCs w:val="20"/>
          <w:color w:val="auto"/>
        </w:rPr>
      </w:pPr>
      <w:r>
        <w:rPr>
          <w:rFonts w:ascii="Arial" w:cs="Arial" w:eastAsia="Arial" w:hAnsi="Arial"/>
          <w:sz w:val="18"/>
          <w:szCs w:val="18"/>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Based upon the terms of the award, the Company has repaid approximately $161,000. As of October 31, 2010, the remaining amount due of $89,000 was included in current portion of long-term debt on the accompanying consolidated balance sheet.</w:t>
      </w:r>
    </w:p>
    <w:p>
      <w:pPr>
        <w:spacing w:after="0" w:line="152" w:lineRule="exact"/>
        <w:rPr>
          <w:sz w:val="20"/>
          <w:szCs w:val="20"/>
          <w:color w:val="auto"/>
        </w:rPr>
      </w:pPr>
    </w:p>
    <w:p>
      <w:pPr>
        <w:ind w:left="340" w:right="299" w:firstLine="389"/>
        <w:spacing w:after="0" w:line="297" w:lineRule="auto"/>
        <w:rPr>
          <w:sz w:val="20"/>
          <w:szCs w:val="20"/>
          <w:color w:val="auto"/>
        </w:rPr>
      </w:pPr>
      <w:r>
        <w:rPr>
          <w:rFonts w:ascii="Arial" w:cs="Arial" w:eastAsia="Arial" w:hAnsi="Arial"/>
          <w:sz w:val="16"/>
          <w:szCs w:val="16"/>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May 2012.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2(c).</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Deferred Credits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$600,000 from the investor in exchange for an option to purchase up to 500,000 metric tons of carbon emissions credits generated by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during the years 2008 through 2012, at a 30% discount from the then-prevailing market rate. This amount has been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recorded as deferred credits in the accompanying consolidated balance sheets as of October 31, 2010 and April 30, 2010. If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Company does not become entitled under applicable laws to the full amount of emission credits covered by the option by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2012, the Company is obligated to return the option fee of $600,000, less the aggregate discount on any emission credits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sold to the investor prior to such date. If the Company receives emission credits under applicable laws and fails to sell to the investor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credits up to the full amount of emission credits covered by the option, the investor is entitled to liquidated damages equal to 30%</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of the aggregate market value of the shortfall in emission credits (subject to a limit on the market price of emission credits).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Share-Based Compensation</w:t>
      </w:r>
    </w:p>
    <w:p>
      <w:pPr>
        <w:spacing w:after="0" w:line="202"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related to all share-based transactions recorded in the consolidated statements of operations was approximately $792,000 and $740,000 for the six months ended October 31, 2010 and 2009, respectively.</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Stock Options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2010 and 2009</w:t>
      </w:r>
    </w:p>
    <w:p>
      <w:pPr>
        <w:spacing w:after="0" w:line="189" w:lineRule="exact"/>
        <w:rPr>
          <w:sz w:val="20"/>
          <w:szCs w:val="20"/>
          <w:color w:val="auto"/>
        </w:rPr>
      </w:pPr>
    </w:p>
    <w:p>
      <w:pPr>
        <w:ind w:left="340" w:right="159" w:firstLine="389"/>
        <w:spacing w:after="0" w:line="273" w:lineRule="auto"/>
        <w:rPr>
          <w:sz w:val="20"/>
          <w:szCs w:val="20"/>
          <w:color w:val="auto"/>
        </w:rPr>
      </w:pPr>
      <w:r>
        <w:rPr>
          <w:rFonts w:ascii="Arial" w:cs="Arial" w:eastAsia="Arial" w:hAnsi="Arial"/>
          <w:sz w:val="17"/>
          <w:szCs w:val="17"/>
          <w:color w:val="auto"/>
        </w:rPr>
        <w:t xml:space="preserve">The fair value of each stock option granted during the six months ended October 31, 2010 and 2009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Expected volatility was based on historical volatility for a peer group of companies for a period equal to the stock option’s expected life, calculated on a daily basis.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6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1"/>
              </w:rPr>
              <w:t>Six Months Ended October 31,</w:t>
            </w:r>
          </w:p>
        </w:tc>
      </w:tr>
      <w:tr>
        <w:trPr>
          <w:trHeight w:val="210"/>
        </w:trPr>
        <w:tc>
          <w:tcPr>
            <w:tcW w:w="71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6.4 years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 years</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r>
    </w:tbl>
    <w:p>
      <w:pPr>
        <w:spacing w:after="0" w:line="160" w:lineRule="exact"/>
        <w:rPr>
          <w:sz w:val="20"/>
          <w:szCs w:val="20"/>
          <w:color w:val="auto"/>
        </w:rPr>
      </w:pPr>
    </w:p>
    <w:p>
      <w:pPr>
        <w:ind w:left="340" w:right="439" w:firstLine="389"/>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$5.36 and $4.28 for stock options granted during the six months ended October 31, 2010 and 2009, respectively.</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A summary of stock options under the plans is as follows: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Options</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1,375,453</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(82,027)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12.26</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5.36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October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1,577,131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Exercisable October 31, 2010</w:t>
            </w:r>
          </w:p>
        </w:tc>
        <w:tc>
          <w:tcPr>
            <w:tcW w:w="1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13.03</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961,935</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The total intrinsic value of outstanding and exercisable options as of October 31, 2010 was $445,000. As of October 31, 2010, approximately 615,000 additional options are expected to vest, which have $398,000 intrinsic value and a weighted average remaining contractual term of 8.9 years. There was approximately $533,000 of total recognized compensation cost for the six months ended October 31, 2010 related to stock options. As of October 31, 2010, there was approximately $2,477,000 of total unrecognized compensation cost related to non-vested stock options granted under the plans. This cost is expected to be recognized over a weighted-average period of 3.4 years. The Company normally issues new shares to satisfy option exercises under these plans.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85"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Compensation expense for non-vested restricted stock was historically recorded based on its market value on the date of grant and recognized ratably over the associated service and performance period. During the six months ended October 31, 2010, there were 26,000 shares of non-vested restricted stock granted to employees with service and/or performance-based vesting requirements.</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Price per</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and unvested at April 30, 2010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and unvested at October 31, 2010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339" w:firstLine="389"/>
        <w:spacing w:after="0" w:line="312" w:lineRule="auto"/>
        <w:rPr>
          <w:sz w:val="20"/>
          <w:szCs w:val="20"/>
          <w:color w:val="auto"/>
        </w:rPr>
      </w:pPr>
      <w:r>
        <w:rPr>
          <w:rFonts w:ascii="Arial" w:cs="Arial" w:eastAsia="Arial" w:hAnsi="Arial"/>
          <w:sz w:val="16"/>
          <w:szCs w:val="16"/>
          <w:color w:val="auto"/>
        </w:rPr>
        <w:t>There was approximately $197,000 of total recognized compensation cost for the six months ended October 31, 2010 related to restricted stock. As of October 31, 2010, there was approximately $745,000 of total unrecognized compensation cost related to non-vested restricted stock granted under the plans. This cost is expected to be recognized over a weighted average period of 2.2 years.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Common Stock</w:t>
      </w:r>
    </w:p>
    <w:p>
      <w:pPr>
        <w:spacing w:after="0" w:line="185" w:lineRule="exact"/>
        <w:rPr>
          <w:sz w:val="20"/>
          <w:szCs w:val="20"/>
          <w:color w:val="auto"/>
        </w:rPr>
      </w:pPr>
    </w:p>
    <w:p>
      <w:pPr>
        <w:jc w:val="both"/>
        <w:ind w:left="340" w:right="199" w:firstLine="389"/>
        <w:spacing w:after="0" w:line="259" w:lineRule="auto"/>
        <w:rPr>
          <w:sz w:val="20"/>
          <w:szCs w:val="20"/>
          <w:color w:val="auto"/>
        </w:rPr>
      </w:pPr>
      <w:r>
        <w:rPr>
          <w:rFonts w:ascii="Arial" w:cs="Arial" w:eastAsia="Arial" w:hAnsi="Arial"/>
          <w:sz w:val="18"/>
          <w:szCs w:val="18"/>
          <w:color w:val="auto"/>
        </w:rPr>
        <w:t>During the six months ended October 31, 2010, the Company awarded 7,620 shares of common stock to non-employee directors pursuant to annual retainer arrangements. The aggregate share-based compensation expense recorded in the consolidated statement of operations for the six months ended October 31, 2010 related to the shares was approximately $40,000, which represents the fair value on the date of grant.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jc w:val="both"/>
        <w:ind w:left="340" w:right="579" w:firstLine="389"/>
        <w:spacing w:after="0" w:line="264"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Spain Construction Agreement</w:t>
      </w:r>
    </w:p>
    <w:p>
      <w:pPr>
        <w:spacing w:after="0" w:line="185" w:lineRule="exact"/>
        <w:rPr>
          <w:sz w:val="20"/>
          <w:szCs w:val="20"/>
          <w:color w:val="auto"/>
        </w:rPr>
      </w:pPr>
    </w:p>
    <w:p>
      <w:pPr>
        <w:ind w:left="340" w:right="359" w:firstLine="389"/>
        <w:spacing w:after="0" w:line="272" w:lineRule="auto"/>
        <w:rPr>
          <w:sz w:val="20"/>
          <w:szCs w:val="20"/>
          <w:color w:val="auto"/>
        </w:rPr>
      </w:pPr>
      <w:r>
        <w:rPr>
          <w:rFonts w:ascii="Arial" w:cs="Arial" w:eastAsia="Arial" w:hAnsi="Arial"/>
          <w:sz w:val="17"/>
          <w:szCs w:val="17"/>
          <w:color w:val="auto"/>
        </w:rPr>
        <w:t>The Company is currently engaged with Iberdrola Energias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October 31, 2010, the Company does not believe that the outcome of this matter will have a material adverse effect on the Company’s financial position or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ind w:left="340" w:right="1480" w:firstLine="389"/>
        <w:spacing w:after="0" w:line="259" w:lineRule="auto"/>
        <w:rPr>
          <w:sz w:val="20"/>
          <w:szCs w:val="20"/>
          <w:color w:val="auto"/>
        </w:rPr>
      </w:pPr>
      <w:r>
        <w:rPr>
          <w:rFonts w:ascii="Arial" w:cs="Arial" w:eastAsia="Arial" w:hAnsi="Arial"/>
          <w:sz w:val="18"/>
          <w:szCs w:val="18"/>
          <w:color w:val="auto"/>
        </w:rPr>
        <w:t>The Company did not recognize any consolidated income tax benefit (expense) for the three and six month periods ended October 31, 2010 and 2009.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the six months ended October 31, 2010, the Company had no material changes in uncertain tax positions.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189" w:lineRule="exact"/>
        <w:rPr>
          <w:sz w:val="20"/>
          <w:szCs w:val="20"/>
          <w:color w:val="auto"/>
        </w:rPr>
      </w:pPr>
    </w:p>
    <w:p>
      <w:pPr>
        <w:ind w:left="340" w:right="1440" w:firstLine="389"/>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Geographic information is as follows: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North America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Europe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Australia</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2010</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1,577,993</w:t>
            </w: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277,380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9,034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1,864,407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(5,322,111)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(341,705)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(75,072)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(5,738,888)</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Three months ended October 31, 2009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280,903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224,740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581,875</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(5,395,872)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(155,489)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(11,493)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(5,562,854)</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3,030,128</w:t>
            </w: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199,652</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9,034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3,238,814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(11,054,330)</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(840,377)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(112,716)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(12,007,423)</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Six months ended October 31, 2009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1,517,228</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299,352</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1,892,812</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(8,249,457)</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(461,745)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(92,613)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(8,803,815)</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October 31, 2010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Long-lived assets</w:t>
            </w:r>
          </w:p>
        </w:tc>
        <w:tc>
          <w:tcPr>
            <w:tcW w:w="1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378,690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221,097</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599,787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54,519,158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6,393,198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880,940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61,793,296</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April 30, 2010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448,022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262,541</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710,563</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67,424,387</w:t>
            </w:r>
          </w:p>
        </w:tc>
        <w:tc>
          <w:tcPr>
            <w:tcW w:w="960" w:type="dxa"/>
            <w:vAlign w:val="bottom"/>
          </w:tcPr>
          <w:p>
            <w:pPr>
              <w:jc w:val="right"/>
              <w:spacing w:after="0"/>
              <w:rPr>
                <w:sz w:val="20"/>
                <w:szCs w:val="20"/>
                <w:color w:val="auto"/>
              </w:rPr>
            </w:pPr>
            <w:r>
              <w:rPr>
                <w:rFonts w:ascii="Arial" w:cs="Arial" w:eastAsia="Arial" w:hAnsi="Arial"/>
                <w:sz w:val="18"/>
                <w:szCs w:val="18"/>
                <w:color w:val="auto"/>
              </w:rPr>
              <w:t>4,684,104</w:t>
            </w:r>
          </w:p>
        </w:tc>
        <w:tc>
          <w:tcPr>
            <w:tcW w:w="3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869,702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72,978,193</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right="1259" w:hanging="769"/>
        <w:spacing w:after="0" w:line="277" w:lineRule="auto"/>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OPERATIONS</w:t>
      </w:r>
    </w:p>
    <w:p>
      <w:pPr>
        <w:spacing w:after="0" w:line="147" w:lineRule="exact"/>
        <w:rPr>
          <w:sz w:val="20"/>
          <w:szCs w:val="20"/>
          <w:color w:val="auto"/>
        </w:rPr>
      </w:pPr>
    </w:p>
    <w:p>
      <w:pPr>
        <w:ind w:left="340" w:right="199" w:firstLine="389"/>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2011 refers to the year ending April 30, 2011).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right="199" w:firstLine="389"/>
        <w:spacing w:after="0" w:line="273" w:lineRule="auto"/>
        <w:rPr>
          <w:sz w:val="20"/>
          <w:szCs w:val="20"/>
          <w:color w:val="auto"/>
        </w:rPr>
      </w:pPr>
      <w:r>
        <w:rPr>
          <w:rFonts w:ascii="Arial" w:cs="Arial" w:eastAsia="Arial" w:hAnsi="Arial"/>
          <w:sz w:val="17"/>
          <w:szCs w:val="17"/>
          <w:color w:val="auto"/>
        </w:rPr>
        <w:t xml:space="preserve">We develop and are commercializing proprietary systems that generate electricity by harnessing the renewable energy of ocean waves. Our PowerBuoy </w:t>
      </w:r>
      <w:r>
        <w:rPr>
          <w:rFonts w:ascii="Arial" w:cs="Arial" w:eastAsia="Arial" w:hAnsi="Arial"/>
          <w:sz w:val="14"/>
          <w:szCs w:val="14"/>
          <w:color w:val="auto"/>
        </w:rPr>
        <w:t>®</w:t>
      </w:r>
      <w:r>
        <w:rPr>
          <w:rFonts w:ascii="Arial" w:cs="Arial" w:eastAsia="Arial" w:hAnsi="Arial"/>
          <w:sz w:val="17"/>
          <w:szCs w:val="17"/>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151" w:lineRule="exact"/>
        <w:rPr>
          <w:sz w:val="20"/>
          <w:szCs w:val="20"/>
          <w:color w:val="auto"/>
        </w:rPr>
      </w:pPr>
    </w:p>
    <w:p>
      <w:pPr>
        <w:ind w:left="340" w:right="179" w:firstLine="389"/>
        <w:spacing w:after="0" w:line="297" w:lineRule="auto"/>
        <w:rPr>
          <w:sz w:val="20"/>
          <w:szCs w:val="20"/>
          <w:color w:val="auto"/>
        </w:rPr>
      </w:pPr>
      <w:r>
        <w:rPr>
          <w:rFonts w:ascii="Arial" w:cs="Arial" w:eastAsia="Arial" w:hAnsi="Arial"/>
          <w:sz w:val="16"/>
          <w:szCs w:val="16"/>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118"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146"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w:t>
      </w: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October 31, 2010, our backlog was $7.5 million, an increase of $1.0 million from July 31, 2010.</w:t>
      </w:r>
    </w:p>
    <w:p>
      <w:pPr>
        <w:spacing w:after="0" w:line="185" w:lineRule="exact"/>
        <w:rPr>
          <w:sz w:val="20"/>
          <w:szCs w:val="20"/>
          <w:color w:val="auto"/>
        </w:rPr>
      </w:pPr>
    </w:p>
    <w:p>
      <w:pPr>
        <w:ind w:left="340" w:right="299" w:firstLine="389"/>
        <w:spacing w:after="0" w:line="269" w:lineRule="auto"/>
        <w:rPr>
          <w:sz w:val="20"/>
          <w:szCs w:val="20"/>
          <w:color w:val="auto"/>
        </w:rPr>
      </w:pPr>
      <w:r>
        <w:rPr>
          <w:rFonts w:ascii="Arial" w:cs="Arial" w:eastAsia="Arial" w:hAnsi="Arial"/>
          <w:sz w:val="17"/>
          <w:szCs w:val="17"/>
          <w:color w:val="auto"/>
        </w:rPr>
        <w:t>For the three months ended October 31, 2010, we generated revenues of $1.9 million and incurred a net loss attributable to Ocean Power Technologies, Inc. of $5.5 million, compared to revenues of $0.6 million and a net loss attributable to Ocean Power Technologies, Inc. of $5.2 million for the three months ended October 31, 2009. For the six months ended October 31, 2010, we generated revenues of $3.2 million and incurred a net loss attributable to Ocean Power Technologies, Inc. of $11.8 million, compared to revenues of $1.9 million and a net loss attributable to Ocean Power Technologies, Inc. of $7.3 million for the six months ended October 31, 2009. As of October 31, 2010, our accumulated deficit was $102.2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over time, represent the majority of our revenues.</w:t>
      </w:r>
    </w:p>
    <w:p>
      <w:pPr>
        <w:spacing w:after="0" w:line="142" w:lineRule="exact"/>
        <w:rPr>
          <w:sz w:val="20"/>
          <w:szCs w:val="20"/>
          <w:color w:val="auto"/>
        </w:rPr>
      </w:pPr>
    </w:p>
    <w:p>
      <w:pPr>
        <w:ind w:left="340" w:right="359" w:firstLine="389"/>
        <w:spacing w:after="0" w:line="272"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89" w:lineRule="auto"/>
        <w:rPr>
          <w:sz w:val="20"/>
          <w:szCs w:val="20"/>
          <w:color w:val="auto"/>
        </w:rPr>
      </w:pPr>
      <w:r>
        <w:rPr>
          <w:rFonts w:ascii="Arial" w:cs="Arial" w:eastAsia="Arial" w:hAnsi="Arial"/>
          <w:sz w:val="16"/>
          <w:szCs w:val="16"/>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US Department of Energy (DOE) has also accepted proposals to be funded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140" w:lineRule="exact"/>
        <w:rPr>
          <w:sz w:val="20"/>
          <w:szCs w:val="20"/>
          <w:color w:val="auto"/>
        </w:rPr>
      </w:pPr>
    </w:p>
    <w:p>
      <w:pPr>
        <w:ind w:left="340" w:right="219" w:firstLine="389"/>
        <w:spacing w:after="0" w:line="290" w:lineRule="auto"/>
        <w:rPr>
          <w:sz w:val="20"/>
          <w:szCs w:val="20"/>
          <w:color w:val="auto"/>
        </w:rPr>
      </w:pPr>
      <w:r>
        <w:rPr>
          <w:rFonts w:ascii="Arial" w:cs="Arial" w:eastAsia="Arial" w:hAnsi="Arial"/>
          <w:sz w:val="16"/>
          <w:szCs w:val="16"/>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126"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ind w:left="340" w:right="479" w:firstLine="389"/>
        <w:spacing w:after="0" w:line="277" w:lineRule="auto"/>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340" w:right="239" w:firstLine="389"/>
        <w:spacing w:after="0" w:line="254"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65"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color w:val="auto"/>
        </w:rPr>
        <w:t>Generally our contracts are either cost plus or fixed price contracts. Under cost plus contracts, we bill the customer for actual expenses incurred plus an agreed 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 sharing. Under firm fixed price contracts, we receive an agreed upon amount for providing products and services that are specified in the contract. Revenue is typically recorded using percentage-of-completion based on the contract amount. Depending on whether actual costs are more or less than the agreed upon amount, there is a profit or loss on the project. Under cost 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142" w:lineRule="exact"/>
        <w:rPr>
          <w:sz w:val="20"/>
          <w:szCs w:val="20"/>
          <w:color w:val="auto"/>
        </w:rPr>
      </w:pPr>
    </w:p>
    <w:p>
      <w:pPr>
        <w:ind w:left="340" w:right="299" w:firstLine="389"/>
        <w:spacing w:after="0" w:line="279" w:lineRule="auto"/>
        <w:rPr>
          <w:sz w:val="20"/>
          <w:szCs w:val="20"/>
          <w:color w:val="auto"/>
        </w:rPr>
      </w:pPr>
      <w:r>
        <w:rPr>
          <w:rFonts w:ascii="Arial" w:cs="Arial" w:eastAsia="Arial" w:hAnsi="Arial"/>
          <w:sz w:val="17"/>
          <w:szCs w:val="17"/>
          <w:color w:val="auto"/>
        </w:rPr>
        <w:t>The US Navy has been our largest customer since fiscal 2002. The US Navy accounted for approximately 50% and 62% of our revenues for the three and six months ended October 31, 2010, respectively, and approximately 66% and 84% of our revenues for the three and six months ended October 31, 2009, respectively. We anticipate that, if our commercialization efforts are successful, the relative contribution of the US Navy to our revenue may decline in the future.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six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31, 2010 and 2009:</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October 31,</w:t>
            </w:r>
          </w:p>
        </w:tc>
        <w:tc>
          <w:tcPr>
            <w:tcW w:w="2400" w:type="dxa"/>
            <w:vAlign w:val="bottom"/>
            <w:gridSpan w:val="6"/>
          </w:tcPr>
          <w:p>
            <w:pPr>
              <w:spacing w:after="0"/>
              <w:rPr>
                <w:sz w:val="20"/>
                <w:szCs w:val="20"/>
                <w:color w:val="auto"/>
              </w:rPr>
            </w:pPr>
            <w:r>
              <w:rPr>
                <w:rFonts w:ascii="Arial" w:cs="Arial" w:eastAsia="Arial" w:hAnsi="Arial"/>
                <w:sz w:val="18"/>
                <w:szCs w:val="18"/>
                <w:b w:val="1"/>
                <w:bCs w:val="1"/>
                <w:color w:val="auto"/>
                <w:w w:val="91"/>
              </w:rPr>
              <w:t>Six months ended October 31,</w:t>
            </w:r>
          </w:p>
        </w:tc>
      </w:tr>
      <w:tr>
        <w:trPr>
          <w:trHeight w:val="191"/>
        </w:trPr>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4"/>
          </w:tcPr>
          <w:p>
            <w:pPr>
              <w:jc w:val="right"/>
              <w:ind w:right="60"/>
              <w:spacing w:after="0" w:line="191" w:lineRule="exact"/>
              <w:rPr>
                <w:sz w:val="20"/>
                <w:szCs w:val="20"/>
                <w:color w:val="auto"/>
              </w:rPr>
            </w:pPr>
            <w:r>
              <w:rPr>
                <w:rFonts w:ascii="Arial" w:cs="Arial" w:eastAsia="Arial" w:hAnsi="Arial"/>
                <w:sz w:val="18"/>
                <w:szCs w:val="18"/>
                <w:color w:val="auto"/>
              </w:rPr>
              <w:t>($ millions)</w:t>
            </w:r>
          </w:p>
        </w:tc>
        <w:tc>
          <w:tcPr>
            <w:tcW w:w="7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rPr>
              <w:t>($ millions)</w:t>
            </w: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20"/>
                <w:szCs w:val="20"/>
                <w:color w:val="auto"/>
              </w:rPr>
            </w:pPr>
          </w:p>
        </w:tc>
      </w:tr>
      <w:tr>
        <w:trPr>
          <w:trHeight w:val="210"/>
        </w:trPr>
        <w:tc>
          <w:tcPr>
            <w:tcW w:w="4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South West of England Regional Development Authority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Iberdrola</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Scottish Government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239" w:firstLine="389"/>
        <w:spacing w:after="0" w:line="277" w:lineRule="auto"/>
        <w:rPr>
          <w:sz w:val="20"/>
          <w:szCs w:val="20"/>
          <w:color w:val="auto"/>
        </w:rPr>
      </w:pPr>
      <w:r>
        <w:rPr>
          <w:rFonts w:ascii="Arial" w:cs="Arial" w:eastAsia="Arial" w:hAnsi="Arial"/>
          <w:sz w:val="18"/>
          <w:szCs w:val="18"/>
          <w:color w:val="auto"/>
        </w:rPr>
        <w:t>During the six months ended October 31, 2010, the Company reduced revenue by approximately $0.2 million due to a change in estimated revenue to be recognized in connection with the Spain construction agreement.</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79" w:firstLine="389"/>
        <w:spacing w:after="0" w:line="264" w:lineRule="auto"/>
        <w:rPr>
          <w:sz w:val="20"/>
          <w:szCs w:val="20"/>
          <w:color w:val="auto"/>
        </w:rPr>
      </w:pPr>
      <w:r>
        <w:rPr>
          <w:rFonts w:ascii="Arial" w:cs="Arial" w:eastAsia="Arial" w:hAnsi="Arial"/>
          <w:sz w:val="18"/>
          <w:szCs w:val="18"/>
          <w:color w:val="auto"/>
        </w:rPr>
        <w:t>We currently focus our sales and marketing efforts on North America, the west coast of Europe, Australia and Japan. The following table provides information regarding the breakdown of our revenues by geographical location of our customers for the six months ended October 31, 2010 and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Customer Location</w:t>
            </w:r>
          </w:p>
        </w:tc>
        <w:tc>
          <w:tcPr>
            <w:tcW w:w="25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8"/>
              </w:rPr>
              <w:t>Six months ended October 31,</w:t>
            </w:r>
          </w:p>
        </w:tc>
        <w:tc>
          <w:tcPr>
            <w:tcW w:w="0" w:type="dxa"/>
            <w:vAlign w:val="bottom"/>
          </w:tcPr>
          <w:p>
            <w:pPr>
              <w:spacing w:after="0"/>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revenues</w:t>
      </w:r>
    </w:p>
    <w:p>
      <w:pPr>
        <w:spacing w:after="0" w:line="185" w:lineRule="exact"/>
        <w:rPr>
          <w:sz w:val="20"/>
          <w:szCs w:val="20"/>
          <w:color w:val="auto"/>
        </w:rPr>
      </w:pPr>
    </w:p>
    <w:p>
      <w:pPr>
        <w:ind w:left="340" w:right="159" w:firstLine="389"/>
        <w:spacing w:after="0" w:line="259" w:lineRule="auto"/>
        <w:rPr>
          <w:sz w:val="20"/>
          <w:szCs w:val="20"/>
          <w:color w:val="auto"/>
        </w:rPr>
      </w:pPr>
      <w:r>
        <w:rPr>
          <w:rFonts w:ascii="Arial" w:cs="Arial" w:eastAsia="Arial" w:hAnsi="Arial"/>
          <w:sz w:val="18"/>
          <w:szCs w:val="18"/>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46" w:lineRule="exact"/>
        <w:rPr>
          <w:sz w:val="20"/>
          <w:szCs w:val="20"/>
          <w:color w:val="auto"/>
        </w:rPr>
      </w:pPr>
    </w:p>
    <w:p>
      <w:pPr>
        <w:ind w:left="340" w:right="339" w:firstLine="389"/>
        <w:spacing w:after="0" w:line="279" w:lineRule="auto"/>
        <w:rPr>
          <w:sz w:val="20"/>
          <w:szCs w:val="20"/>
          <w:color w:val="auto"/>
        </w:rPr>
      </w:pPr>
      <w:r>
        <w:rPr>
          <w:rFonts w:ascii="Arial" w:cs="Arial" w:eastAsia="Arial" w:hAnsi="Arial"/>
          <w:sz w:val="17"/>
          <w:szCs w:val="17"/>
          <w:color w:val="auto"/>
        </w:rPr>
        <w:t>We operated at a gross profit of $0.1 million and a gross loss of $0.1 million for the three and six months ended October 31, 2010, respectively, and a gross profit of $0.1 million and $0.3 million for the three and six months ended October 31, 2009, respectively. Our ability to generate a gross profit will depend on the nature of future contracts, our success at increasing sales of our PowerBuoy systems and on our ability to manage costs incurred on fixed price commercial contracts.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development costs</w:t>
      </w:r>
    </w:p>
    <w:p>
      <w:pPr>
        <w:spacing w:after="0" w:line="185" w:lineRule="exact"/>
        <w:rPr>
          <w:sz w:val="20"/>
          <w:szCs w:val="20"/>
          <w:color w:val="auto"/>
        </w:rPr>
      </w:pPr>
    </w:p>
    <w:p>
      <w:pPr>
        <w:ind w:left="340" w:right="279" w:firstLine="389"/>
        <w:spacing w:after="0" w:line="272" w:lineRule="auto"/>
        <w:rPr>
          <w:sz w:val="20"/>
          <w:szCs w:val="20"/>
          <w:color w:val="auto"/>
        </w:rPr>
      </w:pPr>
      <w:r>
        <w:rPr>
          <w:rFonts w:ascii="Arial" w:cs="Arial" w:eastAsia="Arial" w:hAnsi="Arial"/>
          <w:sz w:val="17"/>
          <w:szCs w:val="17"/>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98" w:lineRule="exact"/>
        <w:rPr>
          <w:sz w:val="20"/>
          <w:szCs w:val="20"/>
          <w:color w:val="auto"/>
        </w:rPr>
      </w:pPr>
    </w:p>
    <w:p>
      <w:pPr>
        <w:jc w:val="both"/>
        <w:ind w:left="340" w:right="199" w:firstLine="389"/>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$57.7 million as of October 31, 2010, compared to $76.7 million as of October 31, 2009. Interest income in the six months ended October 31, 2010 decreased compared to the six months ended October 31, 2009 due to a decline in interest rates and a decline in cash, cash equivalents and marketable securities.</w:t>
      </w:r>
    </w:p>
    <w:p>
      <w:pPr>
        <w:spacing w:after="0" w:line="161" w:lineRule="exact"/>
        <w:rPr>
          <w:sz w:val="20"/>
          <w:szCs w:val="20"/>
          <w:color w:val="auto"/>
        </w:rPr>
      </w:pPr>
    </w:p>
    <w:p>
      <w:pPr>
        <w:ind w:left="340" w:right="319" w:firstLine="389"/>
        <w:spacing w:after="0" w:line="277" w:lineRule="auto"/>
        <w:rPr>
          <w:sz w:val="20"/>
          <w:szCs w:val="20"/>
          <w:color w:val="auto"/>
        </w:rPr>
      </w:pPr>
      <w:r>
        <w:rPr>
          <w:rFonts w:ascii="Arial" w:cs="Arial" w:eastAsia="Arial" w:hAnsi="Arial"/>
          <w:sz w:val="18"/>
          <w:szCs w:val="18"/>
          <w:color w:val="auto"/>
        </w:rPr>
        <w:t>We anticipate that our interest income reported in fiscal 2011 will continue to be lower than the comparable periods of the prior fiscal year as a result of the decrease in invested cash.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w:t>
      </w:r>
    </w:p>
    <w:p>
      <w:pPr>
        <w:spacing w:after="0" w:line="185" w:lineRule="exact"/>
        <w:rPr>
          <w:sz w:val="20"/>
          <w:szCs w:val="20"/>
          <w:color w:val="auto"/>
        </w:rPr>
      </w:pPr>
    </w:p>
    <w:p>
      <w:pPr>
        <w:ind w:left="340" w:right="299" w:firstLine="389"/>
        <w:spacing w:after="0" w:line="264" w:lineRule="auto"/>
        <w:rPr>
          <w:sz w:val="20"/>
          <w:szCs w:val="20"/>
          <w:color w:val="auto"/>
        </w:rPr>
      </w:pPr>
      <w:r>
        <w:rPr>
          <w:rFonts w:ascii="Arial" w:cs="Arial" w:eastAsia="Arial" w:hAnsi="Arial"/>
          <w:sz w:val="18"/>
          <w:szCs w:val="18"/>
          <w:color w:val="auto"/>
        </w:rPr>
        <w:t>Other income consists of transactions that we consider to be outside the normal scope of our operations and operating activities. In the six months ended October 31, 2009, we recognized other income of $0.5 million in connection with the settlement of a claim which we had against a supplier that provided engineering services to us.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 (loss)</w:t>
      </w:r>
    </w:p>
    <w:p>
      <w:pPr>
        <w:spacing w:after="0" w:line="185" w:lineRule="exact"/>
        <w:rPr>
          <w:sz w:val="20"/>
          <w:szCs w:val="20"/>
          <w:color w:val="auto"/>
        </w:rPr>
      </w:pPr>
    </w:p>
    <w:p>
      <w:pPr>
        <w:ind w:left="340" w:right="159" w:firstLine="389"/>
        <w:spacing w:after="0" w:line="257" w:lineRule="auto"/>
        <w:rPr>
          <w:sz w:val="20"/>
          <w:szCs w:val="20"/>
          <w:color w:val="auto"/>
        </w:rPr>
      </w:pPr>
      <w:r>
        <w:rPr>
          <w:rFonts w:ascii="Arial" w:cs="Arial" w:eastAsia="Arial" w:hAnsi="Arial"/>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ectPr>
          <w:pgSz w:w="11900" w:h="16838" w:orient="portrait"/>
          <w:cols w:equalWidth="0" w:num="1">
            <w:col w:w="10219"/>
          </w:cols>
          <w:pgMar w:left="240" w:top="419" w:right="1440" w:bottom="919"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19"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firstLine="389"/>
        <w:spacing w:after="0" w:line="297" w:lineRule="auto"/>
        <w:rPr>
          <w:sz w:val="20"/>
          <w:szCs w:val="20"/>
          <w:color w:val="auto"/>
        </w:rPr>
      </w:pPr>
      <w:r>
        <w:rPr>
          <w:rFonts w:ascii="Arial" w:cs="Arial" w:eastAsia="Arial" w:hAnsi="Arial"/>
          <w:sz w:val="16"/>
          <w:szCs w:val="16"/>
          <w:color w:val="auto"/>
        </w:rPr>
        <w:t>We invest in certificates of deposit and maintain cash accounts that are denominated in British pounds, Euros and Australian dollars. These foreign-denominated certificates of deposit and cash accounts had a balance of $6.9 million as of October 31, 2010 and $7.9 million as of October 31, 2009, compared to our total cash, cash equivalents, restricted cash, and marketable security balances of $57.7 million as of October 31, 2010 and $76.7 million as of October 31, 2009. These foreign currency balances are translated at each month end to our functional currency, the US dollar, and any resulting gain or loss is recognized in our results of operations.</w:t>
      </w:r>
    </w:p>
    <w:p>
      <w:pPr>
        <w:spacing w:after="0" w:line="131" w:lineRule="exact"/>
        <w:rPr>
          <w:sz w:val="20"/>
          <w:szCs w:val="20"/>
          <w:color w:val="auto"/>
        </w:rPr>
      </w:pPr>
    </w:p>
    <w:p>
      <w:pPr>
        <w:ind w:left="340" w:right="379" w:firstLine="389"/>
        <w:spacing w:after="0" w:line="273"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six months ended October 31, 2010 and 2009 were recorded in Euros, British pounds sterling or Australian dollars.</w:t>
      </w:r>
    </w:p>
    <w:p>
      <w:pPr>
        <w:spacing w:after="0" w:line="138" w:lineRule="exact"/>
        <w:rPr>
          <w:sz w:val="20"/>
          <w:szCs w:val="20"/>
          <w:color w:val="auto"/>
        </w:rPr>
      </w:pPr>
    </w:p>
    <w:p>
      <w:pPr>
        <w:ind w:left="340" w:right="359" w:firstLine="389"/>
        <w:spacing w:after="0" w:line="257"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October 31, 2010 Compared to Three Months Ended October 31, 2009</w:t>
      </w:r>
    </w:p>
    <w:p>
      <w:pPr>
        <w:spacing w:after="0" w:line="185" w:lineRule="exact"/>
        <w:rPr>
          <w:sz w:val="20"/>
          <w:szCs w:val="20"/>
          <w:color w:val="auto"/>
        </w:rPr>
      </w:pPr>
    </w:p>
    <w:p>
      <w:pPr>
        <w:ind w:left="340" w:right="559" w:firstLine="389"/>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2010 and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October 31, 2010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October 31, 2009</w:t>
            </w: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r>
      <w:tr>
        <w:trPr>
          <w:trHeight w:val="191"/>
        </w:trPr>
        <w:tc>
          <w:tcPr>
            <w:tcW w:w="2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As a % of</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As a % of</w:t>
            </w:r>
          </w:p>
        </w:tc>
        <w:tc>
          <w:tcPr>
            <w:tcW w:w="340" w:type="dxa"/>
            <w:vAlign w:val="bottom"/>
          </w:tcPr>
          <w:p>
            <w:pPr>
              <w:spacing w:after="0"/>
              <w:rPr>
                <w:sz w:val="16"/>
                <w:szCs w:val="16"/>
                <w:color w:val="auto"/>
              </w:rPr>
            </w:pPr>
          </w:p>
        </w:tc>
        <w:tc>
          <w:tcPr>
            <w:tcW w:w="146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2010 Period to</w:t>
            </w: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340" w:type="dxa"/>
            <w:vAlign w:val="bottom"/>
            <w:gridSpan w:val="2"/>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Revenues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Revenues (1)</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2009 Period</w:t>
            </w:r>
          </w:p>
        </w:tc>
      </w:tr>
      <w:tr>
        <w:trPr>
          <w:trHeight w:val="20"/>
        </w:trPr>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1,864,407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1,776,980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528,148</w:t>
            </w:r>
          </w:p>
        </w:tc>
        <w:tc>
          <w:tcPr>
            <w:tcW w:w="3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236</w:t>
            </w:r>
          </w:p>
        </w:tc>
      </w:tr>
      <w:tr>
        <w:trPr>
          <w:trHeight w:val="27"/>
        </w:trPr>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87,427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53,727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3,679,470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3,425,348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r>
      <w:tr>
        <w:trPr>
          <w:trHeight w:val="202"/>
        </w:trPr>
        <w:tc>
          <w:tcPr>
            <w:tcW w:w="292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920" w:type="dxa"/>
            <w:vAlign w:val="bottom"/>
          </w:tcPr>
          <w:p>
            <w:pPr>
              <w:ind w:left="400"/>
              <w:spacing w:after="0"/>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2,146,845</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2,191,233</w:t>
            </w:r>
          </w:p>
        </w:tc>
        <w:tc>
          <w:tcPr>
            <w:tcW w:w="3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5,826,315</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5,616,581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(5,738,888)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(5,562,854)</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160,884</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24,960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71,192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(5,506,812)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(5,189,595)</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9"/>
                <w:szCs w:val="19"/>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r>
      <w:tr>
        <w:trPr>
          <w:trHeight w:val="202"/>
        </w:trPr>
        <w:tc>
          <w:tcPr>
            <w:tcW w:w="2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Net income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attributable to the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noncontrolling interest 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Ocean Power Technologies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(Australasia) Pty Ltd.</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7,620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(2,176)</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w w:val="98"/>
              </w:rPr>
              <w:t>Net loss attributable to Ocean Power</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Technologies,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(5,499,192)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(5,191,771)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subtotals may not add due to rounding.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340" w:right="679" w:firstLine="389"/>
        <w:spacing w:after="0" w:line="342" w:lineRule="auto"/>
        <w:rPr>
          <w:sz w:val="20"/>
          <w:szCs w:val="20"/>
          <w:color w:val="auto"/>
        </w:rPr>
      </w:pPr>
      <w:r>
        <w:rPr>
          <w:rFonts w:ascii="Arial" w:cs="Arial" w:eastAsia="Arial" w:hAnsi="Arial"/>
          <w:sz w:val="16"/>
          <w:szCs w:val="16"/>
          <w:color w:val="auto"/>
        </w:rPr>
        <w:t>Revenues increased by $1.3 million in the three months ended October 31, 2010, or 220%, to $1.9 million, as compared to $0.6 million in the three months ended October 31, 2009. The change in revenues was attributable to the following factors:</w:t>
      </w:r>
    </w:p>
    <w:p>
      <w:pPr>
        <w:spacing w:after="0" w:line="83" w:lineRule="exact"/>
        <w:rPr>
          <w:sz w:val="20"/>
          <w:szCs w:val="20"/>
          <w:color w:val="auto"/>
        </w:rPr>
      </w:pPr>
    </w:p>
    <w:p>
      <w:pPr>
        <w:ind w:left="720" w:right="279" w:hanging="388"/>
        <w:spacing w:after="0" w:line="264"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$0.8 million as a result of an increase in billable work on our project to provide our PowerBuoy technology to the US Navy’s Littoral Expeditionary Autonomous PowerBuoy, or LEAP, program.</w:t>
      </w:r>
    </w:p>
    <w:p>
      <w:pPr>
        <w:spacing w:after="0" w:line="113" w:lineRule="exact"/>
        <w:rPr>
          <w:rFonts w:ascii="Arial" w:cs="Arial" w:eastAsia="Arial" w:hAnsi="Arial"/>
          <w:sz w:val="18"/>
          <w:szCs w:val="18"/>
          <w:b w:val="1"/>
          <w:bCs w:val="1"/>
          <w:color w:val="auto"/>
        </w:rPr>
      </w:pPr>
    </w:p>
    <w:p>
      <w:pPr>
        <w:ind w:left="720" w:right="199" w:hanging="388"/>
        <w:spacing w:after="0" w:line="259"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increased by $0.5 million due primarily to an increase in billable work on our PB500 next generation PowerBuoy development project and our project off the coast of Reedsport, Oregon. This was partially offset by a decrease in revenue related to our Hawaii project for the US Navy and our 150kW PowerBuoy project in Scotland, as these projects neared completion.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revenues</w:t>
      </w:r>
    </w:p>
    <w:p>
      <w:pPr>
        <w:spacing w:after="0" w:line="198"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Cost of revenues increased by $1.3 million, or 236%, to $1.8 million in the three months ended October 31, 2010, as compared to $0.5 million in the three months ended October 31, 2009. This increase in the cost of revenue reflected the increased activity related to the LEAP program, the 150kW PowerBuoy project off the coast of Reedsport, Oregon, and our PB500 next generation PowerBuoy development project. This was partially offset by a lower level of activity on our Hawaii project for the US Navy and our 150kW PowerBuoy project in Scotland.</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389"/>
        <w:spacing w:after="0" w:line="288" w:lineRule="auto"/>
        <w:rPr>
          <w:sz w:val="20"/>
          <w:szCs w:val="20"/>
          <w:color w:val="auto"/>
        </w:rPr>
      </w:pPr>
      <w:r>
        <w:rPr>
          <w:rFonts w:ascii="Arial" w:cs="Arial" w:eastAsia="Arial" w:hAnsi="Arial"/>
          <w:sz w:val="16"/>
          <w:szCs w:val="16"/>
          <w:color w:val="auto"/>
        </w:rPr>
        <w:t>We operated at a gross profit of $0.1 million in each of the three month periods ended October 31, 2010 and 2009. Certain of our projects in the three months ended October 31, 2010 and 2009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based on the amount agreed upon with the customer. An equal amount corresponding to the revenue is recorded in cost of revenues resulting in gross profit on these contracts of zero. Our share of the costs is considered to be product development expense. During the three months ended October 31, 2009, there was a reduction in cost of revenues resulting from the reversal of $0.3 million in the provision for loss reserves related to our project off the coast of Spain, as the reserve was no longer considered necessary as of October 31, 2009. Our ability to generate a gross profit will depend on the nature of future contracts, our success at increasing sales of our PowerBuoy systems and on our ability to manage costs incurred on fixed price commercial contracts.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development costs</w:t>
      </w:r>
    </w:p>
    <w:p>
      <w:pPr>
        <w:spacing w:after="0" w:line="185" w:lineRule="exact"/>
        <w:rPr>
          <w:sz w:val="20"/>
          <w:szCs w:val="20"/>
          <w:color w:val="auto"/>
        </w:rPr>
      </w:pPr>
    </w:p>
    <w:p>
      <w:pPr>
        <w:ind w:left="340" w:right="239" w:firstLine="389"/>
        <w:spacing w:after="0" w:line="293" w:lineRule="auto"/>
        <w:rPr>
          <w:sz w:val="20"/>
          <w:szCs w:val="20"/>
          <w:color w:val="auto"/>
        </w:rPr>
      </w:pPr>
      <w:r>
        <w:rPr>
          <w:rFonts w:ascii="Arial" w:cs="Arial" w:eastAsia="Arial" w:hAnsi="Arial"/>
          <w:sz w:val="16"/>
          <w:szCs w:val="16"/>
          <w:color w:val="auto"/>
        </w:rPr>
        <w:t>Product development costs increased by $0.3 million, or 7%, to $3.7 million in the three months ended October 31, 2010, as compared to $3.4 million in the three months ended October 31, 2009. Product development costs were primarily attributable to our efforts to increase the power output and reliability of our utility PowerBuoy system, especially the 150kW PowerBuoy system.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98" w:lineRule="exact"/>
        <w:rPr>
          <w:sz w:val="20"/>
          <w:szCs w:val="20"/>
          <w:color w:val="auto"/>
        </w:rPr>
      </w:pPr>
    </w:p>
    <w:p>
      <w:pPr>
        <w:ind w:left="340" w:right="319" w:firstLine="389"/>
        <w:spacing w:after="0" w:line="312" w:lineRule="auto"/>
        <w:rPr>
          <w:sz w:val="20"/>
          <w:szCs w:val="20"/>
          <w:color w:val="auto"/>
        </w:rPr>
      </w:pPr>
      <w:r>
        <w:rPr>
          <w:rFonts w:ascii="Arial" w:cs="Arial" w:eastAsia="Arial" w:hAnsi="Arial"/>
          <w:sz w:val="16"/>
          <w:szCs w:val="16"/>
          <w:color w:val="auto"/>
        </w:rPr>
        <w:t>Selling, general and administrative costs decreased less than $0.1 million, or 2%, to $2.1 million for the three months ended October 31, 2010, as compared to $2.2 million for the three months ended October 31, 2009. The decrease was primarily attributable to a decrease in payroll and benefits, partially offset by increased marketing and business development expenses.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340" w:right="219" w:firstLine="389"/>
        <w:spacing w:after="0" w:line="312" w:lineRule="auto"/>
        <w:rPr>
          <w:sz w:val="20"/>
          <w:szCs w:val="20"/>
          <w:color w:val="auto"/>
        </w:rPr>
      </w:pPr>
      <w:r>
        <w:rPr>
          <w:rFonts w:ascii="Arial" w:cs="Arial" w:eastAsia="Arial" w:hAnsi="Arial"/>
          <w:sz w:val="16"/>
          <w:szCs w:val="16"/>
          <w:color w:val="auto"/>
        </w:rPr>
        <w:t>Interest income decreased approximately $0.1 million, or 35%, to $0.2 million for the three months ended October 31, 2010, due to a decrease in cash, cash equivalents and marketable securities and average yield. The average yield was approximately 1.09% during the three months ended October 31, 2010 and 1.26% during the three months ended October 31, 2009.</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w:t>
      </w:r>
    </w:p>
    <w:p>
      <w:pPr>
        <w:spacing w:after="0" w:line="185" w:lineRule="exact"/>
        <w:rPr>
          <w:sz w:val="20"/>
          <w:szCs w:val="20"/>
          <w:color w:val="auto"/>
        </w:rPr>
      </w:pPr>
    </w:p>
    <w:p>
      <w:pPr>
        <w:ind w:left="340" w:right="439" w:firstLine="389"/>
        <w:spacing w:after="0" w:line="264" w:lineRule="auto"/>
        <w:rPr>
          <w:sz w:val="20"/>
          <w:szCs w:val="20"/>
          <w:color w:val="auto"/>
        </w:rPr>
      </w:pPr>
      <w:r>
        <w:rPr>
          <w:rFonts w:ascii="Arial" w:cs="Arial" w:eastAsia="Arial" w:hAnsi="Arial"/>
          <w:sz w:val="18"/>
          <w:szCs w:val="18"/>
          <w:color w:val="auto"/>
        </w:rPr>
        <w:t>Foreign exchange gain was $0.1 million in each of the three month periods ended October 31, 2010 and 2009. The gains were primarily attributable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October 31, 2010 Compared to six Months Ended October 31, 2009</w:t>
      </w:r>
    </w:p>
    <w:p>
      <w:pPr>
        <w:spacing w:after="0" w:line="198" w:lineRule="exact"/>
        <w:rPr>
          <w:sz w:val="20"/>
          <w:szCs w:val="20"/>
          <w:color w:val="auto"/>
        </w:rPr>
      </w:pPr>
    </w:p>
    <w:p>
      <w:pPr>
        <w:ind w:left="340" w:right="559" w:firstLine="389"/>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2010 and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248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October 31, 2010</w:t>
            </w:r>
          </w:p>
        </w:tc>
        <w:tc>
          <w:tcPr>
            <w:tcW w:w="120" w:type="dxa"/>
            <w:vAlign w:val="bottom"/>
          </w:tcPr>
          <w:p>
            <w:pPr>
              <w:spacing w:after="0"/>
              <w:rPr>
                <w:sz w:val="20"/>
                <w:szCs w:val="20"/>
                <w:color w:val="auto"/>
              </w:rPr>
            </w:pPr>
          </w:p>
        </w:tc>
        <w:tc>
          <w:tcPr>
            <w:tcW w:w="24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October 31, 2009</w:t>
            </w: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r>
      <w:tr>
        <w:trPr>
          <w:trHeight w:val="191"/>
        </w:trPr>
        <w:tc>
          <w:tcPr>
            <w:tcW w:w="2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As a % of</w:t>
            </w: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As a % of</w:t>
            </w:r>
          </w:p>
        </w:tc>
        <w:tc>
          <w:tcPr>
            <w:tcW w:w="340" w:type="dxa"/>
            <w:vAlign w:val="bottom"/>
          </w:tcPr>
          <w:p>
            <w:pPr>
              <w:spacing w:after="0"/>
              <w:rPr>
                <w:sz w:val="16"/>
                <w:szCs w:val="16"/>
                <w:color w:val="auto"/>
              </w:rPr>
            </w:pPr>
          </w:p>
        </w:tc>
        <w:tc>
          <w:tcPr>
            <w:tcW w:w="146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2010 Period to</w:t>
            </w:r>
          </w:p>
        </w:tc>
      </w:tr>
      <w:tr>
        <w:trPr>
          <w:trHeight w:val="234"/>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gridSpan w:val="2"/>
          </w:tcPr>
          <w:p>
            <w:pPr>
              <w:spacing w:after="0"/>
              <w:rPr>
                <w:sz w:val="20"/>
                <w:szCs w:val="20"/>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8"/>
              </w:rPr>
              <w:t>Revenues (1)</w:t>
            </w: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Amount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Revenues (1)</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2009 Period</w:t>
            </w:r>
          </w:p>
        </w:tc>
      </w:tr>
      <w:tr>
        <w:trPr>
          <w:trHeight w:val="20"/>
        </w:trPr>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3,238,814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1,892,812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3,365,226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1,552,375</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117</w:t>
            </w:r>
          </w:p>
        </w:tc>
      </w:tr>
      <w:tr>
        <w:trPr>
          <w:trHeight w:val="27"/>
        </w:trPr>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(loss) profit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(126,412)</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340,437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7,705,256</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4,786,748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r>
      <w:tr>
        <w:trPr>
          <w:trHeight w:val="202"/>
        </w:trPr>
        <w:tc>
          <w:tcPr>
            <w:tcW w:w="292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920" w:type="dxa"/>
            <w:vAlign w:val="bottom"/>
          </w:tcPr>
          <w:p>
            <w:pPr>
              <w:ind w:left="400"/>
              <w:spacing w:after="0"/>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4,175,755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4,357,504</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230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11,881,011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9,144,252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(12,007,423)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(8,803,815)</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398,349</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532,821</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531,590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(167,810)</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502,389</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(11,776,884)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(7,237,015)</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9"/>
                <w:szCs w:val="19"/>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r>
      <w:tr>
        <w:trPr>
          <w:trHeight w:val="202"/>
        </w:trPr>
        <w:tc>
          <w:tcPr>
            <w:tcW w:w="2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Net income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attributable to the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noncontrolling interest 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Ocean Power Technologies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(Australasia) Pty Ltd.</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(53,233)</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w w:val="98"/>
              </w:rPr>
              <w:t>Net loss attributable to Ocean Power</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Technologies, Inc.</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(11,765,785)</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(363)%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(7,290,248)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subtotals may not add due to rounding.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340" w:right="919" w:firstLine="389"/>
        <w:spacing w:after="0" w:line="342" w:lineRule="auto"/>
        <w:rPr>
          <w:sz w:val="20"/>
          <w:szCs w:val="20"/>
          <w:color w:val="auto"/>
        </w:rPr>
      </w:pPr>
      <w:r>
        <w:rPr>
          <w:rFonts w:ascii="Arial" w:cs="Arial" w:eastAsia="Arial" w:hAnsi="Arial"/>
          <w:sz w:val="16"/>
          <w:szCs w:val="16"/>
          <w:color w:val="auto"/>
        </w:rPr>
        <w:t>Revenues increased by $1.3 million in the six months ended October 31, 2010, or 71%, to $3.2 million, as compared to $1.9 million in the six months ended October 31, 2009. The change in revenues was attributable to the following factors:</w:t>
      </w:r>
    </w:p>
    <w:p>
      <w:pPr>
        <w:spacing w:after="0" w:line="97" w:lineRule="exact"/>
        <w:rPr>
          <w:sz w:val="20"/>
          <w:szCs w:val="20"/>
          <w:color w:val="auto"/>
        </w:rPr>
      </w:pPr>
    </w:p>
    <w:p>
      <w:pPr>
        <w:jc w:val="both"/>
        <w:ind w:left="720" w:right="279" w:hanging="388"/>
        <w:spacing w:after="0" w:line="264"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$1.2 million as a result of an increase in billable work on our project to provide our PowerBuoy technology to the LEAP program. This was partially offset by a decrease in billable work on the US Navy’s Deep Water Active Detection System.</w:t>
      </w:r>
    </w:p>
    <w:p>
      <w:pPr>
        <w:spacing w:after="0" w:line="113" w:lineRule="exact"/>
        <w:rPr>
          <w:rFonts w:ascii="Arial" w:cs="Arial" w:eastAsia="Arial" w:hAnsi="Arial"/>
          <w:sz w:val="18"/>
          <w:szCs w:val="18"/>
          <w:b w:val="1"/>
          <w:bCs w:val="1"/>
          <w:color w:val="auto"/>
        </w:rPr>
      </w:pPr>
    </w:p>
    <w:p>
      <w:pPr>
        <w:ind w:left="720" w:right="199" w:hanging="388"/>
        <w:spacing w:after="0" w:line="255"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increased by $0.1 million due primarily to an increase in billable work on our PB500 next generation PowerBuoy development project and our 150kW PowerBuoy project off the coast of Reedsport, Oregon. This was partially offset by a decrease in revenue related to our Hawaii project for the US Navy and our wave power project off the coast of Spain, as these projects neared completion. Also, during the six months ended October 31, 2010, there was a reduction in revenue of approximately $0.2 million due to a change in estimated revenue to be recognized in connection with the Spain construction agreement.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revenues</w:t>
      </w:r>
    </w:p>
    <w:p>
      <w:pPr>
        <w:spacing w:after="0" w:line="185" w:lineRule="exact"/>
        <w:rPr>
          <w:sz w:val="20"/>
          <w:szCs w:val="20"/>
          <w:color w:val="auto"/>
        </w:rPr>
      </w:pPr>
    </w:p>
    <w:p>
      <w:pPr>
        <w:ind w:left="340" w:right="239" w:firstLine="389"/>
        <w:spacing w:after="0" w:line="257" w:lineRule="auto"/>
        <w:rPr>
          <w:sz w:val="20"/>
          <w:szCs w:val="20"/>
          <w:color w:val="auto"/>
        </w:rPr>
      </w:pPr>
      <w:r>
        <w:rPr>
          <w:rFonts w:ascii="Arial" w:cs="Arial" w:eastAsia="Arial" w:hAnsi="Arial"/>
          <w:sz w:val="18"/>
          <w:szCs w:val="18"/>
          <w:color w:val="auto"/>
        </w:rPr>
        <w:t>Cost of revenues increased by $1.8 million, or 117%, to $3.4 million in the six months ended October 31, 2010, as compared to $1.6 million in the six months ended October 31, 2009. This increase in the cost of revenue reflected the increased activity related to the LEAP program, the 150kW PowerBuoy project off the coast of Reedsport, Oregon, and our PB500 next generation PowerBuoy development project. This was partially offset by a lower level of activity on our Hawaii project for the US Navy and our wave power project off the coast of Spain.</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firstLine="389"/>
        <w:spacing w:after="0" w:line="268" w:lineRule="auto"/>
        <w:rPr>
          <w:sz w:val="20"/>
          <w:szCs w:val="20"/>
          <w:color w:val="auto"/>
        </w:rPr>
      </w:pPr>
      <w:r>
        <w:rPr>
          <w:rFonts w:ascii="Arial" w:cs="Arial" w:eastAsia="Arial" w:hAnsi="Arial"/>
          <w:sz w:val="17"/>
          <w:szCs w:val="17"/>
          <w:color w:val="auto"/>
        </w:rPr>
        <w:t>We operated at a gross loss of $0.1 million in the six months ended October 31, 2010 and a gross profit of $0.3 million in the six months ended October 31, 2009. Certain of our projects in the six months ended October 31, 2010 and 2009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based on the amount agreed upon with the customer. An equal amount corresponding to the revenue is recorded in cost of revenues resulting in gross profit on these contracts of zero. Our share of the costs is considered to be product development expense. During the six months ended October 31, 2010, we reduced revenue by approximately $0.2 million due to a change in estimated revenue to be recognized in connection with the Spain construction agreement, and there was no corresponding reduction in cost of revenues. During the six months ended October 31, 2009, there was a reduction in cost of revenues resulting from the reversal of $0.4 million in the provision for loss reserves related to our project off the coast of Spain as the reserve was no longer considered necessary as of October 31, 2009. Our ability to generate a gross profit will depend on the nature of future contracts, our success at increasing sales of our PowerBuoy systems and on our ability to manage costs incurred on fixed price commercial contracts.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development costs</w:t>
      </w:r>
    </w:p>
    <w:p>
      <w:pPr>
        <w:spacing w:after="0" w:line="185" w:lineRule="exact"/>
        <w:rPr>
          <w:sz w:val="20"/>
          <w:szCs w:val="20"/>
          <w:color w:val="auto"/>
        </w:rPr>
      </w:pPr>
    </w:p>
    <w:p>
      <w:pPr>
        <w:ind w:left="340" w:right="239" w:firstLine="389"/>
        <w:spacing w:after="0" w:line="293" w:lineRule="auto"/>
        <w:rPr>
          <w:sz w:val="20"/>
          <w:szCs w:val="20"/>
          <w:color w:val="auto"/>
        </w:rPr>
      </w:pPr>
      <w:r>
        <w:rPr>
          <w:rFonts w:ascii="Arial" w:cs="Arial" w:eastAsia="Arial" w:hAnsi="Arial"/>
          <w:sz w:val="16"/>
          <w:szCs w:val="16"/>
          <w:color w:val="auto"/>
        </w:rPr>
        <w:t>Product development costs increased by $2.9 million, or 61%, to $7.7 million in the six months ended October 31, 2010, as compared to $4.8 million in the six months ended October 31, 2009. Product development costs were primarily attributable to our efforts to increase the power output and reliability of our utility PowerBuoy system, especially the 150kW PowerBuoy system.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98" w:lineRule="exact"/>
        <w:rPr>
          <w:sz w:val="20"/>
          <w:szCs w:val="20"/>
          <w:color w:val="auto"/>
        </w:rPr>
      </w:pPr>
    </w:p>
    <w:p>
      <w:pPr>
        <w:ind w:left="340" w:right="179" w:firstLine="389"/>
        <w:spacing w:after="0" w:line="312" w:lineRule="auto"/>
        <w:rPr>
          <w:sz w:val="20"/>
          <w:szCs w:val="20"/>
          <w:color w:val="auto"/>
        </w:rPr>
      </w:pPr>
      <w:r>
        <w:rPr>
          <w:rFonts w:ascii="Arial" w:cs="Arial" w:eastAsia="Arial" w:hAnsi="Arial"/>
          <w:sz w:val="16"/>
          <w:szCs w:val="16"/>
          <w:color w:val="auto"/>
        </w:rPr>
        <w:t>Selling, general and administrative costs decreased $0.2 million, or 4%, to $4.2 million for the six months ended October 31, 2010, as compared to $4.4 million for the six months ended October 31, 2009. The decrease was primarily attributable to a decrease in payroll and benefits, legal, accounting and travel expenses partially offset by increased marketing and business development expenses.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340" w:right="359" w:firstLine="389"/>
        <w:spacing w:after="0" w:line="259" w:lineRule="auto"/>
        <w:rPr>
          <w:sz w:val="20"/>
          <w:szCs w:val="20"/>
          <w:color w:val="auto"/>
        </w:rPr>
      </w:pPr>
      <w:r>
        <w:rPr>
          <w:rFonts w:ascii="Arial" w:cs="Arial" w:eastAsia="Arial" w:hAnsi="Arial"/>
          <w:sz w:val="18"/>
          <w:szCs w:val="18"/>
          <w:color w:val="auto"/>
        </w:rPr>
        <w:t>Interest income decreased approximately $0.1 million, or 25%, to $0.4 million for the six months ended October 31, 2010, compared to $0.5 million for the six months ended October 31, 2009, primarily due to a decrease in cash, cash equivalents and marketable securities. The average yield was approximately 1.28% during the six months ended October 31, 2010 and 1.34% during the six months ended October 31, 2009.</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w:t>
      </w:r>
    </w:p>
    <w:p>
      <w:pPr>
        <w:spacing w:after="0" w:line="185" w:lineRule="exact"/>
        <w:rPr>
          <w:sz w:val="20"/>
          <w:szCs w:val="20"/>
          <w:color w:val="auto"/>
        </w:rPr>
      </w:pPr>
    </w:p>
    <w:p>
      <w:pPr>
        <w:jc w:val="both"/>
        <w:ind w:left="340" w:right="339" w:firstLine="389"/>
        <w:spacing w:after="0" w:line="264" w:lineRule="auto"/>
        <w:rPr>
          <w:sz w:val="20"/>
          <w:szCs w:val="20"/>
          <w:color w:val="auto"/>
        </w:rPr>
      </w:pPr>
      <w:r>
        <w:rPr>
          <w:rFonts w:ascii="Arial" w:cs="Arial" w:eastAsia="Arial" w:hAnsi="Arial"/>
          <w:sz w:val="18"/>
          <w:szCs w:val="18"/>
          <w:color w:val="auto"/>
        </w:rPr>
        <w:t>We recognized no other income for the six months ended October 31, 2010, compared to $0.5 million for the six months ended October 31, 2009. During the six months ended October 31, 2009, we settled a claim which we had against a supplier of engineering services, which resulted in a settlement in our favor.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(loss) gain</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Foreign exchange loss was $0.2 million for the six months ended October 31, 2010, compared to a foreign exchange gain of</w:t>
      </w:r>
    </w:p>
    <w:p>
      <w:pPr>
        <w:spacing w:after="0" w:line="35" w:lineRule="exact"/>
        <w:rPr>
          <w:sz w:val="20"/>
          <w:szCs w:val="20"/>
          <w:color w:val="auto"/>
        </w:rPr>
      </w:pPr>
    </w:p>
    <w:p>
      <w:pPr>
        <w:ind w:left="340" w:right="159"/>
        <w:spacing w:after="0" w:line="261" w:lineRule="auto"/>
        <w:rPr>
          <w:sz w:val="20"/>
          <w:szCs w:val="20"/>
          <w:color w:val="auto"/>
        </w:rPr>
      </w:pPr>
      <w:r>
        <w:rPr>
          <w:rFonts w:ascii="Arial" w:cs="Arial" w:eastAsia="Arial" w:hAnsi="Arial"/>
          <w:sz w:val="18"/>
          <w:szCs w:val="18"/>
          <w:color w:val="auto"/>
        </w:rPr>
        <w:t>$0.5 million for the six months ended October 31, 2009. The difference was primarily attributable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right="379" w:firstLine="389"/>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three years ended April 30, 2010, our revenues were $13.9 million, our net losses were $52.1 million and our net cash used in operating activities was $46.1 million.</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460" w:type="dxa"/>
            <w:vAlign w:val="bottom"/>
            <w:gridSpan w:val="6"/>
          </w:tcPr>
          <w:p>
            <w:pPr>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(11,776,884)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(7,237,015)</w:t>
            </w: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color w:val="auto"/>
              </w:rPr>
              <w:t>Adjustments for noncash operating items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1,189,098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504,871</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(10,587,786)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(6,732,144)</w:t>
            </w: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color w:val="auto"/>
              </w:rPr>
              <w:t>Net change in operating assets and liabilities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1,190,263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(9,397,523)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(6,723,856)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15,324,233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by financing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243,992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(93,398)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90,364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908,138</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539" w:firstLine="389"/>
        <w:spacing w:after="0" w:line="264" w:lineRule="auto"/>
        <w:rPr>
          <w:sz w:val="20"/>
          <w:szCs w:val="20"/>
          <w:color w:val="auto"/>
        </w:rPr>
      </w:pPr>
      <w:r>
        <w:rPr>
          <w:rFonts w:ascii="Arial" w:cs="Arial" w:eastAsia="Arial" w:hAnsi="Arial"/>
          <w:sz w:val="18"/>
          <w:szCs w:val="18"/>
          <w:color w:val="auto"/>
        </w:rPr>
        <w:t>Net cash used in operating activities was $9.4 million and $6.7 million for the six months ended October 31, 2010 and 2009, respectively. The change was the result of an increase in net loss of $4.5 million, offset by increases in non-cash charges of $0.7 million and in cash provided by operating assets and liabilities of $1.2 million.</w:t>
      </w:r>
    </w:p>
    <w:p>
      <w:pPr>
        <w:spacing w:after="0" w:line="154" w:lineRule="exact"/>
        <w:rPr>
          <w:sz w:val="20"/>
          <w:szCs w:val="20"/>
          <w:color w:val="auto"/>
        </w:rPr>
      </w:pPr>
    </w:p>
    <w:p>
      <w:pPr>
        <w:ind w:left="340" w:right="619" w:firstLine="389"/>
        <w:spacing w:after="0" w:line="277" w:lineRule="auto"/>
        <w:rPr>
          <w:sz w:val="20"/>
          <w:szCs w:val="20"/>
          <w:color w:val="auto"/>
        </w:rPr>
      </w:pPr>
      <w:r>
        <w:rPr>
          <w:rFonts w:ascii="Arial" w:cs="Arial" w:eastAsia="Arial" w:hAnsi="Arial"/>
          <w:sz w:val="18"/>
          <w:szCs w:val="18"/>
          <w:color w:val="auto"/>
        </w:rPr>
        <w:t>The change in non-cash charges was primarily due to a change in foreign exchange gains (losses) of $0.7 million due to the relative change in the value of the British pound sterling against the US dollar.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189" w:lineRule="exact"/>
        <w:rPr>
          <w:sz w:val="20"/>
          <w:szCs w:val="20"/>
          <w:color w:val="auto"/>
        </w:rPr>
      </w:pPr>
    </w:p>
    <w:p>
      <w:pPr>
        <w:ind w:left="340" w:right="359" w:firstLine="389"/>
        <w:spacing w:after="0" w:line="264" w:lineRule="auto"/>
        <w:rPr>
          <w:sz w:val="20"/>
          <w:szCs w:val="20"/>
          <w:color w:val="auto"/>
        </w:rPr>
      </w:pPr>
      <w:r>
        <w:rPr>
          <w:rFonts w:ascii="Arial" w:cs="Arial" w:eastAsia="Arial" w:hAnsi="Arial"/>
          <w:sz w:val="18"/>
          <w:szCs w:val="18"/>
          <w:color w:val="auto"/>
        </w:rPr>
        <w:t>Net cash provided by investing activities was $15.3 million for the six months ended October 31, 2010 and net cash used in investing activities was $11,000 for the six months ended October 31, 2009. The change was primarily the result of a net decrease in purchases of securities during the six months ended October 31,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189" w:lineRule="exact"/>
        <w:rPr>
          <w:sz w:val="20"/>
          <w:szCs w:val="20"/>
          <w:color w:val="auto"/>
        </w:rPr>
      </w:pPr>
    </w:p>
    <w:p>
      <w:pPr>
        <w:ind w:left="340" w:right="439" w:firstLine="389"/>
        <w:spacing w:after="0" w:line="259" w:lineRule="auto"/>
        <w:rPr>
          <w:sz w:val="20"/>
          <w:szCs w:val="20"/>
          <w:color w:val="auto"/>
        </w:rPr>
      </w:pPr>
      <w:r>
        <w:rPr>
          <w:rFonts w:ascii="Arial" w:cs="Arial" w:eastAsia="Arial" w:hAnsi="Arial"/>
          <w:sz w:val="18"/>
          <w:szCs w:val="18"/>
          <w:color w:val="auto"/>
        </w:rPr>
        <w:t>Net cash provided by financing activities was $0.2 million in the six months ended October 31, 2010 and net cash used in financing activities was $0.1 million in the six months ended October 31, 2009. During the six months ended October 31, 2010, we received a $0.25 million loan under the New Jersey Board of Public Utilities Renewable Energy Business Venture Assistance Program.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02" w:lineRule="exact"/>
        <w:rPr>
          <w:sz w:val="20"/>
          <w:szCs w:val="20"/>
          <w:color w:val="auto"/>
        </w:rPr>
      </w:pPr>
    </w:p>
    <w:p>
      <w:pPr>
        <w:ind w:left="340" w:right="359" w:firstLine="389"/>
        <w:spacing w:after="0" w:line="264" w:lineRule="auto"/>
        <w:rPr>
          <w:sz w:val="20"/>
          <w:szCs w:val="20"/>
          <w:color w:val="auto"/>
        </w:rPr>
      </w:pPr>
      <w:r>
        <w:rPr>
          <w:rFonts w:ascii="Arial" w:cs="Arial" w:eastAsia="Arial" w:hAnsi="Arial"/>
          <w:sz w:val="18"/>
          <w:szCs w:val="18"/>
          <w:color w:val="auto"/>
        </w:rPr>
        <w:t>The effect of exchange rates on cash and cash equivalents was a gain of $0.1 million in the six months ended October 31, 2010 and a gain of $0.9 million in the six months ended October 31, 2009. The change was primarily the result of gains or losses on consolidation of foreign subsidiaries and foreign denominated cash and cash equivalents.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Outlook</w:t>
      </w:r>
    </w:p>
    <w:p>
      <w:pPr>
        <w:spacing w:after="0" w:line="202" w:lineRule="exact"/>
        <w:rPr>
          <w:sz w:val="20"/>
          <w:szCs w:val="20"/>
          <w:color w:val="auto"/>
        </w:rPr>
      </w:pPr>
    </w:p>
    <w:p>
      <w:pPr>
        <w:jc w:val="both"/>
        <w:ind w:left="340" w:right="479" w:firstLine="389"/>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141"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commercial relationships;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costs involved in preparing, filing, prosecuting, maintaining and enforcing patent claims and other patent-related costs.</w:t>
      </w:r>
    </w:p>
    <w:p>
      <w:pPr>
        <w:spacing w:after="0" w:line="196" w:lineRule="exact"/>
        <w:rPr>
          <w:sz w:val="20"/>
          <w:szCs w:val="20"/>
          <w:color w:val="auto"/>
        </w:rPr>
      </w:pPr>
    </w:p>
    <w:p>
      <w:pPr>
        <w:ind w:left="340" w:right="299" w:firstLine="389"/>
        <w:spacing w:after="0" w:line="290" w:lineRule="auto"/>
        <w:rPr>
          <w:sz w:val="20"/>
          <w:szCs w:val="20"/>
          <w:color w:val="auto"/>
        </w:rPr>
      </w:pPr>
      <w:r>
        <w:rPr>
          <w:rFonts w:ascii="Arial" w:cs="Arial" w:eastAsia="Arial" w:hAnsi="Arial"/>
          <w:sz w:val="16"/>
          <w:szCs w:val="16"/>
          <w:color w:val="auto"/>
        </w:rPr>
        <w:t>We believe that our current cash, cash equivalents and investments will be sufficient to meet our anticipated cash needs for working capital and capital expenditures at least through fiscal 2012.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02" w:lineRule="exact"/>
        <w:rPr>
          <w:sz w:val="20"/>
          <w:szCs w:val="20"/>
          <w:color w:val="auto"/>
        </w:rPr>
      </w:pPr>
    </w:p>
    <w:p>
      <w:pPr>
        <w:ind w:left="340" w:right="199" w:firstLine="389"/>
        <w:spacing w:after="0" w:line="293" w:lineRule="auto"/>
        <w:rPr>
          <w:sz w:val="20"/>
          <w:szCs w:val="20"/>
          <w:color w:val="auto"/>
        </w:rPr>
      </w:pPr>
      <w:r>
        <w:rPr>
          <w:rFonts w:ascii="Arial" w:cs="Arial" w:eastAsia="Arial" w:hAnsi="Arial"/>
          <w:sz w:val="16"/>
          <w:szCs w:val="16"/>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124" w:lineRule="exact"/>
        <w:rPr>
          <w:sz w:val="20"/>
          <w:szCs w:val="20"/>
          <w:color w:val="auto"/>
        </w:rPr>
      </w:pPr>
    </w:p>
    <w:p>
      <w:pPr>
        <w:ind w:left="340" w:right="319" w:firstLine="389"/>
        <w:spacing w:after="0" w:line="291" w:lineRule="auto"/>
        <w:rPr>
          <w:sz w:val="20"/>
          <w:szCs w:val="20"/>
          <w:color w:val="auto"/>
        </w:rPr>
      </w:pPr>
      <w:r>
        <w:rPr>
          <w:rFonts w:ascii="Arial" w:cs="Arial" w:eastAsia="Arial" w:hAnsi="Arial"/>
          <w:sz w:val="16"/>
          <w:szCs w:val="16"/>
          <w:color w:val="auto"/>
        </w:rPr>
        <w:t>We estimate that if the average yield on our cash, cash equivalents and marketable securities had decreased by 100 basis points, during the six months ended October 31, 2010, our interest income for the period would have decreased by approximately</w:t>
      </w:r>
    </w:p>
    <w:p>
      <w:pPr>
        <w:ind w:left="340" w:right="179"/>
        <w:spacing w:after="0" w:line="255" w:lineRule="auto"/>
        <w:rPr>
          <w:sz w:val="20"/>
          <w:szCs w:val="20"/>
          <w:color w:val="auto"/>
        </w:rPr>
      </w:pPr>
      <w:r>
        <w:rPr>
          <w:rFonts w:ascii="Arial" w:cs="Arial" w:eastAsia="Arial" w:hAnsi="Arial"/>
          <w:sz w:val="18"/>
          <w:szCs w:val="18"/>
          <w:color w:val="auto"/>
        </w:rPr>
        <w:t>$0.3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150" w:lineRule="exact"/>
        <w:rPr>
          <w:sz w:val="20"/>
          <w:szCs w:val="20"/>
          <w:color w:val="auto"/>
        </w:rPr>
      </w:pPr>
    </w:p>
    <w:p>
      <w:pPr>
        <w:ind w:left="340" w:right="159" w:firstLine="389"/>
        <w:spacing w:after="0" w:line="257" w:lineRule="auto"/>
        <w:rPr>
          <w:sz w:val="20"/>
          <w:szCs w:val="20"/>
          <w:color w:val="auto"/>
        </w:rPr>
      </w:pPr>
      <w:r>
        <w:rPr>
          <w:rFonts w:ascii="Arial" w:cs="Arial" w:eastAsia="Arial" w:hAnsi="Arial"/>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6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cash accounts had a balance of $6.9 million as of October 31, 2010 compared to our total cash, cash equivalents, marketable securities and restricted cash account balances of $57.7 million as of October 31, 2010. These foreign currency balances are translated at each month end to our functional currency, the US dollar, and any resulting gain or loss is recognized in our results of operations. If foreign currency exchange rates had fluctuated by 10% as of October 31, 2010, the impact on our foreign exchange gains and losses would have been $0.7 million.</w:t>
      </w:r>
    </w:p>
    <w:p>
      <w:pPr>
        <w:spacing w:after="0" w:line="153" w:lineRule="exact"/>
        <w:rPr>
          <w:sz w:val="20"/>
          <w:szCs w:val="20"/>
          <w:color w:val="auto"/>
        </w:rPr>
      </w:pPr>
    </w:p>
    <w:p>
      <w:pPr>
        <w:ind w:left="340" w:right="379" w:firstLine="389"/>
        <w:spacing w:after="0" w:line="273"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six months ended October 31, 2010 were recorded in Euros, British pounds sterling or Australian dollars.</w:t>
      </w:r>
    </w:p>
    <w:p>
      <w:pPr>
        <w:spacing w:after="0" w:line="138" w:lineRule="exact"/>
        <w:rPr>
          <w:sz w:val="20"/>
          <w:szCs w:val="20"/>
          <w:color w:val="auto"/>
        </w:rPr>
      </w:pPr>
    </w:p>
    <w:p>
      <w:pPr>
        <w:ind w:left="340" w:right="359" w:firstLine="389"/>
        <w:spacing w:after="0" w:line="257" w:lineRule="auto"/>
        <w:rPr>
          <w:sz w:val="20"/>
          <w:szCs w:val="20"/>
          <w:color w:val="auto"/>
        </w:rPr>
      </w:pPr>
      <w:r>
        <w:rPr>
          <w:rFonts w:ascii="Arial" w:cs="Arial" w:eastAsia="Arial" w:hAnsi="Arial"/>
          <w:sz w:val="18"/>
          <w:szCs w:val="18"/>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ind w:left="340" w:right="239" w:firstLine="389"/>
        <w:spacing w:after="0" w:line="293"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24" w:lineRule="exact"/>
        <w:rPr>
          <w:sz w:val="20"/>
          <w:szCs w:val="20"/>
          <w:color w:val="auto"/>
        </w:rPr>
      </w:pPr>
    </w:p>
    <w:p>
      <w:pPr>
        <w:ind w:left="340" w:right="299" w:firstLine="389"/>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October 31, 2010, our Chief Executive Officer and Chief Financial Officer concluded that our disclosure controls and procedures are effective.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left="340" w:right="279" w:firstLine="389"/>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October 31, 2010 that has materially affected, or is reasonably likely to materially affect, our internal control over financial reporting.</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89" w:lineRule="exact"/>
        <w:rPr>
          <w:sz w:val="20"/>
          <w:szCs w:val="20"/>
          <w:color w:val="auto"/>
        </w:rPr>
      </w:pPr>
    </w:p>
    <w:p>
      <w:pPr>
        <w:ind w:left="340" w:right="319" w:firstLine="389"/>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2" w:lineRule="exact"/>
        <w:rPr>
          <w:sz w:val="20"/>
          <w:szCs w:val="20"/>
          <w:color w:val="auto"/>
        </w:rPr>
      </w:pPr>
    </w:p>
    <w:p>
      <w:pPr>
        <w:ind w:left="340" w:right="239" w:firstLine="389"/>
        <w:spacing w:after="0" w:line="297"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2010.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2010.</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149" w:lineRule="exact"/>
        <w:rPr>
          <w:sz w:val="20"/>
          <w:szCs w:val="20"/>
          <w:color w:val="auto"/>
        </w:rPr>
      </w:pPr>
    </w:p>
    <w:p>
      <w:pPr>
        <w:ind w:left="340" w:right="219" w:firstLine="389"/>
        <w:spacing w:after="0" w:line="271" w:lineRule="auto"/>
        <w:rPr>
          <w:sz w:val="20"/>
          <w:szCs w:val="20"/>
          <w:color w:val="auto"/>
        </w:rPr>
      </w:pPr>
      <w:r>
        <w:rPr>
          <w:rFonts w:ascii="Arial" w:cs="Arial" w:eastAsia="Arial" w:hAnsi="Arial"/>
          <w:sz w:val="17"/>
          <w:szCs w:val="17"/>
          <w:color w:val="auto"/>
        </w:rPr>
        <w:t>From the effective date of the registration statement through October 31, 2010, we used $6.2 million to construct demonstration PowerBuoys, $23.1 million to fund the continued development and commercialization of our PowerBuoy system, $4.7 million to expand our sales and marketing capabilities and $0.7 million to fund the expansion of assembly, test and field service facilities. We have invested the balance of the net proceeds from the offering in marketable securities, in accordance with our investment policy. We have not used any of the net proceeds from the offering to make payments, directly or indirectly, to any director or officer of ours,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4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992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992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992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992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797"/>
        </w:trPr>
        <w:tc>
          <w:tcPr>
            <w:tcW w:w="1500" w:type="dxa"/>
            <w:vAlign w:val="bottom"/>
          </w:tcPr>
          <w:p>
            <w:pPr>
              <w:spacing w:after="0"/>
              <w:rPr>
                <w:sz w:val="24"/>
                <w:szCs w:val="24"/>
                <w:color w:val="auto"/>
              </w:rPr>
            </w:pPr>
          </w:p>
        </w:tc>
        <w:tc>
          <w:tcPr>
            <w:tcW w:w="9920" w:type="dxa"/>
            <w:vAlign w:val="bottom"/>
          </w:tcPr>
          <w:p>
            <w:pPr>
              <w:ind w:left="3600"/>
              <w:spacing w:after="0"/>
              <w:rPr>
                <w:sz w:val="20"/>
                <w:szCs w:val="20"/>
                <w:color w:val="auto"/>
              </w:rPr>
            </w:pPr>
            <w:r>
              <w:rPr>
                <w:rFonts w:ascii="Arial" w:cs="Arial" w:eastAsia="Arial" w:hAnsi="Arial"/>
                <w:sz w:val="18"/>
                <w:szCs w:val="18"/>
                <w:color w:val="auto"/>
              </w:rPr>
              <w:t>31</w:t>
            </w:r>
          </w:p>
        </w:tc>
      </w:tr>
      <w:tr>
        <w:trPr>
          <w:trHeight w:val="226"/>
        </w:trPr>
        <w:tc>
          <w:tcPr>
            <w:tcW w:w="150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246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10, 2010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246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10, 2010</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4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ind w:left="2820"/>
              <w:spacing w:after="0"/>
              <w:rPr>
                <w:sz w:val="20"/>
                <w:szCs w:val="20"/>
                <w:color w:val="auto"/>
              </w:rPr>
            </w:pPr>
            <w:r>
              <w:rPr>
                <w:rFonts w:ascii="Arial" w:cs="Arial" w:eastAsia="Arial" w:hAnsi="Arial"/>
                <w:sz w:val="18"/>
                <w:szCs w:val="18"/>
                <w:b w:val="1"/>
                <w:bCs w:val="1"/>
                <w:color w:val="auto"/>
              </w:rPr>
              <w:t>EXHIBITS INDEX</w:t>
            </w:r>
          </w:p>
        </w:tc>
      </w:tr>
      <w:tr>
        <w:trPr>
          <w:trHeight w:val="432"/>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w w:val="91"/>
              </w:rPr>
              <w:t>Certification of Chief Executive Officer pursuant to Section 302 of the Sarbanes-Oxley Act of 2002</w:t>
            </w:r>
          </w:p>
        </w:tc>
      </w:tr>
      <w:tr>
        <w:trPr>
          <w:trHeight w:val="432"/>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432"/>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w:t>
            </w:r>
          </w:p>
        </w:tc>
      </w:tr>
      <w:tr>
        <w:trPr>
          <w:trHeight w:val="432"/>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797"/>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ind w:left="34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219"/>
          </w:cols>
          <w:pgMar w:left="240" w:top="405"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1668"/>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Charles F. Dunleavy, certify that:</w:t>
      </w:r>
    </w:p>
    <w:p>
      <w:pPr>
        <w:spacing w:after="0" w:line="185" w:lineRule="exact"/>
        <w:rPr>
          <w:sz w:val="20"/>
          <w:szCs w:val="20"/>
          <w:color w:val="auto"/>
        </w:rPr>
      </w:pPr>
    </w:p>
    <w:p>
      <w:pPr>
        <w:ind w:left="388" w:hanging="388"/>
        <w:spacing w:after="0"/>
        <w:tabs>
          <w:tab w:leader="none" w:pos="38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57" w:lineRule="exact"/>
        <w:rPr>
          <w:rFonts w:ascii="Arial" w:cs="Arial" w:eastAsia="Arial" w:hAnsi="Arial"/>
          <w:sz w:val="18"/>
          <w:szCs w:val="18"/>
          <w:color w:val="auto"/>
        </w:rPr>
      </w:pPr>
    </w:p>
    <w:p>
      <w:pPr>
        <w:ind w:left="388" w:right="459" w:hanging="388"/>
        <w:spacing w:after="0" w:line="264" w:lineRule="auto"/>
        <w:tabs>
          <w:tab w:leader="none" w:pos="3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388" w:right="299" w:hanging="388"/>
        <w:spacing w:after="0" w:line="286" w:lineRule="auto"/>
        <w:tabs>
          <w:tab w:leader="none" w:pos="3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388" w:right="439" w:hanging="388"/>
        <w:spacing w:after="0" w:line="286" w:lineRule="auto"/>
        <w:tabs>
          <w:tab w:leader="none" w:pos="3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388" w:right="219" w:hanging="388"/>
        <w:spacing w:after="0" w:line="264" w:lineRule="auto"/>
        <w:tabs>
          <w:tab w:leader="none" w:pos="3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88" w:right="179" w:hanging="388"/>
        <w:spacing w:after="0" w:line="286" w:lineRule="auto"/>
        <w:tabs>
          <w:tab w:leader="none" w:pos="3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left="388" w:right="539" w:hanging="388"/>
        <w:spacing w:after="0" w:line="264"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1" w:lineRule="exact"/>
        <w:rPr>
          <w:sz w:val="20"/>
          <w:szCs w:val="20"/>
          <w:color w:val="auto"/>
        </w:rPr>
      </w:pPr>
    </w:p>
    <w:p>
      <w:pPr>
        <w:ind w:left="388" w:right="27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098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Chief Executive Officer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December 10, 2010</w:t>
      </w:r>
    </w:p>
    <w:p>
      <w:pPr>
        <w:sectPr>
          <w:pgSz w:w="11900" w:h="16838" w:orient="portrait"/>
          <w:cols w:equalWidth="0" w:num="1">
            <w:col w:w="9887"/>
          </w:cols>
          <w:pgMar w:left="572" w:top="121"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1668"/>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Brian M. Posner, certify that:</w:t>
      </w:r>
    </w:p>
    <w:p>
      <w:pPr>
        <w:spacing w:after="0" w:line="185" w:lineRule="exact"/>
        <w:rPr>
          <w:sz w:val="20"/>
          <w:szCs w:val="20"/>
          <w:color w:val="auto"/>
        </w:rPr>
      </w:pPr>
    </w:p>
    <w:p>
      <w:pPr>
        <w:ind w:left="388" w:hanging="388"/>
        <w:spacing w:after="0"/>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57" w:lineRule="exact"/>
        <w:rPr>
          <w:rFonts w:ascii="Arial" w:cs="Arial" w:eastAsia="Arial" w:hAnsi="Arial"/>
          <w:sz w:val="18"/>
          <w:szCs w:val="18"/>
          <w:color w:val="auto"/>
        </w:rPr>
      </w:pPr>
    </w:p>
    <w:p>
      <w:pPr>
        <w:ind w:left="388" w:right="459" w:hanging="388"/>
        <w:spacing w:after="0" w:line="264" w:lineRule="auto"/>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388" w:right="299" w:hanging="388"/>
        <w:spacing w:after="0" w:line="286" w:lineRule="auto"/>
        <w:tabs>
          <w:tab w:leader="none" w:pos="3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388" w:right="439" w:hanging="388"/>
        <w:spacing w:after="0" w:line="286" w:lineRule="auto"/>
        <w:tabs>
          <w:tab w:leader="none" w:pos="3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388" w:right="219" w:hanging="388"/>
        <w:spacing w:after="0" w:line="264" w:lineRule="auto"/>
        <w:tabs>
          <w:tab w:leader="none" w:pos="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88" w:right="179" w:hanging="388"/>
        <w:spacing w:after="0" w:line="286" w:lineRule="auto"/>
        <w:tabs>
          <w:tab w:leader="none" w:pos="3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sz w:val="20"/>
          <w:szCs w:val="20"/>
          <w:color w:val="auto"/>
        </w:rPr>
      </w:pPr>
    </w:p>
    <w:p>
      <w:pPr>
        <w:ind w:left="388" w:right="539" w:hanging="388"/>
        <w:spacing w:after="0" w:line="264" w:lineRule="auto"/>
        <w:tabs>
          <w:tab w:leader="none" w:pos="3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14" w:lineRule="exact"/>
        <w:rPr>
          <w:sz w:val="20"/>
          <w:szCs w:val="20"/>
          <w:color w:val="auto"/>
        </w:rPr>
      </w:pPr>
    </w:p>
    <w:p>
      <w:pPr>
        <w:ind w:left="388" w:right="279" w:hanging="388"/>
        <w:spacing w:after="0" w:line="264"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09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December 10, 2010</w:t>
      </w:r>
    </w:p>
    <w:p>
      <w:pPr>
        <w:sectPr>
          <w:pgSz w:w="11900" w:h="16838" w:orient="portrait"/>
          <w:cols w:equalWidth="0" w:num="1">
            <w:col w:w="9887"/>
          </w:cols>
          <w:pgMar w:left="572" w:top="121"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8" w:right="319"/>
        <w:spacing w:after="0" w:line="312" w:lineRule="auto"/>
        <w:rPr>
          <w:sz w:val="20"/>
          <w:szCs w:val="20"/>
          <w:color w:val="auto"/>
        </w:rPr>
      </w:pPr>
      <w:r>
        <w:rPr>
          <w:rFonts w:ascii="Arial" w:cs="Arial" w:eastAsia="Arial" w:hAnsi="Arial"/>
          <w:sz w:val="16"/>
          <w:szCs w:val="16"/>
          <w:color w:val="auto"/>
        </w:rPr>
        <w:t>In connection with the Quarterly Report on Form 10-Q of Ocean Power Technologies, Inc. (the “Company”) for the period ended October 31, 2010, as filed with the Securities and Exchange Commission on the date hereof (the “Report”), the undersigned, Charles F. Dunleavy, Chief Executive Officer of the Company, hereby certifies, pursuant to 18 U.S.C. Section 1350, that:</w:t>
      </w:r>
    </w:p>
    <w:p>
      <w:pPr>
        <w:spacing w:after="0" w:line="106" w:lineRule="exact"/>
        <w:rPr>
          <w:sz w:val="20"/>
          <w:szCs w:val="20"/>
          <w:color w:val="auto"/>
        </w:rPr>
      </w:pPr>
    </w:p>
    <w:p>
      <w:pPr>
        <w:ind w:left="388" w:right="299" w:hanging="388"/>
        <w:spacing w:after="0" w:line="277"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09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Chief Executive Officer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December 10, 2010</w:t>
      </w:r>
    </w:p>
    <w:p>
      <w:pPr>
        <w:sectPr>
          <w:pgSz w:w="11900" w:h="16838" w:orient="portrait"/>
          <w:cols w:equalWidth="0" w:num="1">
            <w:col w:w="9887"/>
          </w:cols>
          <w:pgMar w:left="572" w:top="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8" w:right="219"/>
        <w:spacing w:after="0" w:line="286" w:lineRule="auto"/>
        <w:rPr>
          <w:sz w:val="20"/>
          <w:szCs w:val="20"/>
          <w:color w:val="auto"/>
        </w:rPr>
      </w:pPr>
      <w:r>
        <w:rPr>
          <w:rFonts w:ascii="Arial" w:cs="Arial" w:eastAsia="Arial" w:hAnsi="Arial"/>
          <w:sz w:val="17"/>
          <w:szCs w:val="17"/>
          <w:color w:val="auto"/>
        </w:rPr>
        <w:t>In connection with the Quarterly Report on Form 10-Q of Ocean Power Technologies, Inc. (the “Company”) for the period ended October 31, 2010, as filed with the Securities and Exchange Commission on the date hereof (the “Report”), the undersigned, Brian M. Posner, Chief Financial Officer of the Company, hereby certifies, pursuant to 18 U.S.C. Section 1350, that:</w:t>
      </w:r>
    </w:p>
    <w:p>
      <w:pPr>
        <w:spacing w:after="0" w:line="125" w:lineRule="exact"/>
        <w:rPr>
          <w:sz w:val="20"/>
          <w:szCs w:val="20"/>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098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December 10, 2010</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2019-12-11T03:17:37Z</dcterms:created>
  <dcterms:modified xsi:type="dcterms:W3CDTF">2019-12-11T03:17:37Z</dcterms:modified>
</cp:coreProperties>
</file>