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right="880" w:firstLine="332"/>
        <w:spacing w:after="0" w:line="501" w:lineRule="auto"/>
        <w:tabs>
          <w:tab w:leader="none" w:pos="13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2015</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380" w:hanging="1048"/>
        <w:spacing w:after="0"/>
        <w:tabs>
          <w:tab w:leader="none" w:pos="1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1578610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50" w:right="239" w:bottom="1440" w:gutter="0" w:footer="0" w:header="0"/>
        </w:sectPr>
      </w:pPr>
    </w:p>
    <w:p>
      <w:pPr>
        <w:spacing w:after="0" w:line="205"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900" w:space="720"/>
            <w:col w:w="3800"/>
          </w:cols>
          <w:pgMar w:left="240" w:top="450"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50" w:right="239" w:bottom="1440" w:gutter="0" w:footer="0" w:header="0"/>
          <w:type w:val="continuous"/>
        </w:sectPr>
      </w:pPr>
    </w:p>
    <w:p>
      <w:pPr>
        <w:spacing w:after="0" w:line="330"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jc w:val="center"/>
        <w:spacing w:after="0" w:line="232"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0" w:lineRule="exact"/>
        <w:rPr>
          <w:sz w:val="24"/>
          <w:szCs w:val="24"/>
          <w:color w:val="auto"/>
        </w:rPr>
      </w:pPr>
    </w:p>
    <w:p>
      <w:pPr>
        <w:sectPr>
          <w:pgSz w:w="11900" w:h="16838" w:orient="portrait"/>
          <w:cols w:equalWidth="0" w:num="4">
            <w:col w:w="2700" w:space="720"/>
            <w:col w:w="1720" w:space="720"/>
            <w:col w:w="2580" w:space="640"/>
            <w:col w:w="2340"/>
          </w:cols>
          <w:pgMar w:left="240" w:top="450" w:right="239" w:bottom="1440" w:gutter="0" w:footer="0" w:header="0"/>
          <w:type w:val="continuous"/>
        </w:sectPr>
      </w:pPr>
    </w:p>
    <w:p>
      <w:pPr>
        <w:ind w:right="2240"/>
        <w:spacing w:after="0" w:line="34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31, 2015, the number of outstanding shares of common stock of the registrant was 18,345,437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31, 2015</w:t>
      </w:r>
    </w:p>
    <w:tbl>
      <w:tblPr>
        <w:tblLayout w:type="fixed"/>
        <w:tblInd w:w="0" w:type="dxa"/>
        <w:tblCellMar>
          <w:top w:w="0" w:type="dxa"/>
          <w:left w:w="0" w:type="dxa"/>
          <w:bottom w:w="0" w:type="dxa"/>
          <w:right w:w="0" w:type="dxa"/>
        </w:tblCellMar>
      </w:tblPr>
      <w:tr>
        <w:trPr>
          <w:trHeight w:val="207"/>
        </w:trPr>
        <w:tc>
          <w:tcPr>
            <w:tcW w:w="1028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1028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0"/>
        </w:trPr>
        <w:tc>
          <w:tcPr>
            <w:tcW w:w="102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PART I — FINANCIAL INFORMATION</w:t>
            </w: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1. Financial Statements (unaudited):</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Consolidated Balance Sheets as of July 31, 2015 and April 30, 2015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Consolidated Statements of Operations for the Three Months Ended July 31, 2015 and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Consolidated Statements of Comprehensive Loss for the Three Months Ended July 31, 2015 and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Consolidated Statements of Stockholders' Equity for the Three Months Ended July 31, 2015 and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Consolidated Statements of Cash Flows for the Three Months Ended July 31, 2015 and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4. Controls and Procedures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PART II — OTHER INFORMATION</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1. Legal Proceedings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1A. Risk Factors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3. Defaults Upon Senior Securities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4. Mine Safety Disclosures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5. Other Information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 6. Exhibits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2015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40" w:type="dxa"/>
            <w:vAlign w:val="bottom"/>
          </w:tcPr>
          <w:p>
            <w:pPr>
              <w:jc w:val="center"/>
              <w:ind w:left="255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40" w:type="dxa"/>
            <w:vAlign w:val="bottom"/>
          </w:tcPr>
          <w:p>
            <w:pPr>
              <w:jc w:val="center"/>
              <w:ind w:left="255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40" w:type="dxa"/>
            <w:vAlign w:val="bottom"/>
          </w:tcPr>
          <w:p>
            <w:pPr>
              <w:jc w:val="center"/>
              <w:ind w:left="255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July 31, 2015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April 30, 2015</w:t>
            </w: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4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14,237,253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17,335,734</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438,561</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123,881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103,470</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81,658</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422,518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186,641</w:t>
            </w: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15,283,323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18,221,064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244,587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263,898</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348,010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335,924</w:t>
            </w:r>
          </w:p>
        </w:tc>
      </w:tr>
      <w:tr>
        <w:trPr>
          <w:trHeight w:val="250"/>
        </w:trPr>
        <w:tc>
          <w:tcPr>
            <w:tcW w:w="20" w:type="dxa"/>
            <w:vAlign w:val="bottom"/>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15,900,920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18,870,886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40" w:type="dxa"/>
            <w:vAlign w:val="bottom"/>
          </w:tcPr>
          <w:p>
            <w:pPr>
              <w:ind w:left="13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321,675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352,827</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3,625,947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2,507,119</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4,047,622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2,959,946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4,672,622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3,609,946</w:t>
            </w: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Ocean Power Technologies, Inc. stockholders’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1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0"/>
              </w:rPr>
              <w:t>Common stock, $0.001 par value; authorized 105,000,000 shares, issued 18,387,270 and 18,387,769 shares,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3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18,387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18,388</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39,333 and 38,658 shares, respectively</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(132,371)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(132,016)</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180,932,216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180,786,790</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(168,917,096)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(164,755,055)</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(315,312)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(229,915)</w:t>
            </w:r>
          </w:p>
        </w:tc>
      </w:tr>
      <w:tr>
        <w:trPr>
          <w:trHeight w:val="210"/>
        </w:trPr>
        <w:tc>
          <w:tcPr>
            <w:tcW w:w="20" w:type="dxa"/>
            <w:vAlign w:val="bottom"/>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Ocean Power Technologies, Inc.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11,585,824</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15,688,192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18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(357,526)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(427,252)</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11,228,298</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15,260,940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15,900,920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18,870,886</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7"/>
              </w:rPr>
              <w:t>Three Months Ended July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105,666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1,967,164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(loss) profit</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(recoveries) costs</w:t>
            </w:r>
          </w:p>
        </w:tc>
        <w:tc>
          <w:tcPr>
            <w:tcW w:w="2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2,482,788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1,906,945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3,122,972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4,389,733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3,042,917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(4,389,733)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(3,469,553)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(4,114,644)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(3,348,831)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Less: Net (profit) loss attributable to the noncontrolling interest in Ocean Power Technologies (Australasia)</w:t>
            </w:r>
          </w:p>
        </w:tc>
        <w:tc>
          <w:tcPr>
            <w:tcW w:w="28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(47,397)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66,079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Pty Ltd.</w:t>
            </w:r>
          </w:p>
        </w:tc>
        <w:tc>
          <w:tcPr>
            <w:tcW w:w="2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(4,162,041)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(3,282,752)</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Weighted average shares used to compute basic and diluted net loss per share</w:t>
            </w: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17,516,316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17,464,683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7"/>
              </w:rPr>
              <w:t>Three Months Ended July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(4,114,644)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(4,177,712)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(3,354,983)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Comprehensive (income) loss attributable to the noncontrolling interest in Ocean Power Technologies</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(69,726)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70,253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(Australasia) Pty Ltd.</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Ocean Power Technologies, Inc.</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(4,247,438)</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(3,284,730)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60" w:type="dxa"/>
            <w:vAlign w:val="bottom"/>
            <w:gridSpan w:val="5"/>
            <w:vMerge w:val="restart"/>
          </w:tcPr>
          <w:p>
            <w:pPr>
              <w:jc w:val="right"/>
              <w:ind w:right="420"/>
              <w:spacing w:after="0"/>
              <w:rPr>
                <w:sz w:val="20"/>
                <w:szCs w:val="20"/>
                <w:color w:val="auto"/>
              </w:rPr>
            </w:pPr>
            <w:r>
              <w:rPr>
                <w:rFonts w:ascii="Arial" w:cs="Arial" w:eastAsia="Arial" w:hAnsi="Arial"/>
                <w:sz w:val="18"/>
                <w:szCs w:val="18"/>
                <w:b w:val="1"/>
                <w:bCs w:val="1"/>
                <w:color w:val="auto"/>
              </w:rPr>
              <w:t>Common Shares</w:t>
            </w:r>
          </w:p>
        </w:tc>
        <w:tc>
          <w:tcPr>
            <w:tcW w:w="1820" w:type="dxa"/>
            <w:vAlign w:val="bottom"/>
            <w:gridSpan w:val="4"/>
            <w:vMerge w:val="restart"/>
          </w:tcPr>
          <w:p>
            <w:pPr>
              <w:jc w:val="right"/>
              <w:ind w:right="360"/>
              <w:spacing w:after="0"/>
              <w:rPr>
                <w:sz w:val="20"/>
                <w:szCs w:val="20"/>
                <w:color w:val="auto"/>
              </w:rPr>
            </w:pPr>
            <w:r>
              <w:rPr>
                <w:rFonts w:ascii="Arial" w:cs="Arial" w:eastAsia="Arial" w:hAnsi="Arial"/>
                <w:sz w:val="18"/>
                <w:szCs w:val="18"/>
                <w:b w:val="1"/>
                <w:bCs w:val="1"/>
                <w:color w:val="auto"/>
              </w:rPr>
              <w:t>Treasury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40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w w:val="99"/>
              </w:rPr>
              <w:t>Noncontrolling</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60" w:type="dxa"/>
            <w:vAlign w:val="bottom"/>
            <w:gridSpan w:val="5"/>
            <w:vMerge w:val="continue"/>
          </w:tcPr>
          <w:p>
            <w:pPr>
              <w:spacing w:after="0"/>
              <w:rPr>
                <w:sz w:val="19"/>
                <w:szCs w:val="19"/>
                <w:color w:val="auto"/>
              </w:rPr>
            </w:pPr>
          </w:p>
        </w:tc>
        <w:tc>
          <w:tcPr>
            <w:tcW w:w="1820" w:type="dxa"/>
            <w:vAlign w:val="bottom"/>
            <w:gridSpan w:val="4"/>
            <w:vMerge w:val="continue"/>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Accumulated</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1400" w:type="dxa"/>
            <w:vAlign w:val="bottom"/>
            <w:gridSpan w:val="4"/>
            <w:vMerge w:val="continue"/>
          </w:tcPr>
          <w:p>
            <w:pPr>
              <w:spacing w:after="0"/>
              <w:rPr>
                <w:sz w:val="19"/>
                <w:szCs w:val="19"/>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w w:val="94"/>
              </w:rPr>
              <w:t>Amount</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9"/>
              </w:rPr>
              <w:t>Shares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9"/>
              </w:rPr>
              <w:t>Amount</w:t>
            </w: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0"/>
                <w:szCs w:val="10"/>
                <w:color w:val="auto"/>
              </w:rPr>
            </w:pP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0"/>
                <w:szCs w:val="10"/>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 30,</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18,387,769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18,388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(38,658)</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(132,016)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$ 180,786,790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(164,755,055)</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(229,915)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(427,252)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$15,260,940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(4,162,041)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(4,114,644)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71,308</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(forfeiture) of</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restricted stock,</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74,118</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(85,397)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22,329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July 31,</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18,387,270</w:t>
            </w:r>
          </w:p>
        </w:tc>
        <w:tc>
          <w:tcPr>
            <w:tcW w:w="180" w:type="dxa"/>
            <w:vAlign w:val="bottom"/>
            <w:vMerge w:val="restart"/>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8"/>
              </w:rPr>
              <w:t>18,387</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(39,333)</w:t>
            </w:r>
          </w:p>
        </w:tc>
        <w:tc>
          <w:tcPr>
            <w:tcW w:w="9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9"/>
              </w:rPr>
              <w:t>$ (132,371)</w:t>
            </w: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180,932,216</w:t>
            </w:r>
          </w:p>
        </w:tc>
        <w:tc>
          <w:tcPr>
            <w:tcW w:w="13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4"/>
              </w:rPr>
              <w:t>$ (168,917,096)</w:t>
            </w:r>
          </w:p>
        </w:tc>
        <w:tc>
          <w:tcPr>
            <w:tcW w:w="220" w:type="dxa"/>
            <w:vAlign w:val="bottom"/>
            <w:vMerge w:val="restart"/>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(315,312)</w:t>
            </w:r>
          </w:p>
        </w:tc>
        <w:tc>
          <w:tcPr>
            <w:tcW w:w="2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(357,526)</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85"/>
              </w:rPr>
              <w:t>$ 11,228,298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2015</w:t>
            </w:r>
          </w:p>
        </w:tc>
        <w:tc>
          <w:tcPr>
            <w:tcW w:w="9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360" w:type="dxa"/>
            <w:vAlign w:val="bottom"/>
            <w:gridSpan w:val="3"/>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40" w:type="dxa"/>
            <w:vAlign w:val="bottom"/>
            <w:tcBorders>
              <w:right w:val="single" w:sz="8" w:color="CCEEFF"/>
            </w:tcBorders>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7"/>
              </w:rPr>
              <w:t>Three Months Ended July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(4,114,644)</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(3,348,831)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Foreign exchange (gain) loss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(18,959)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Compensation expense related to stock option grants &amp; restricted stock</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145,426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(20,411)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Unbilled receivables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Other current assets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(236,828)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(378,606)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noncurrent assets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(29,212)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expenses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1,118,561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640"/>
              <w:spacing w:after="0"/>
              <w:rPr>
                <w:sz w:val="20"/>
                <w:szCs w:val="20"/>
                <w:color w:val="auto"/>
              </w:rPr>
            </w:pPr>
            <w:r>
              <w:rPr>
                <w:rFonts w:ascii="Arial" w:cs="Arial" w:eastAsia="Arial" w:hAnsi="Arial"/>
                <w:sz w:val="18"/>
                <w:szCs w:val="18"/>
                <w:color w:val="auto"/>
              </w:rPr>
              <w:t>Advanced payment from ARENA</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527,982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Unearned revenues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(3,118,368)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(3,167,540)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(11,747,042)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Maturities of marketable securities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8,996,566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Purchases of equipment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6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Common stock issuance costs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Acquisition of treasury stock</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(47,869)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decrease in cash and cash equivalents</w:t>
            </w:r>
          </w:p>
        </w:tc>
        <w:tc>
          <w:tcPr>
            <w:tcW w:w="6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(3,098,481)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17,335,734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13,858,659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0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14,237,253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7,627,650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w w:val="96"/>
              </w:rPr>
              <w:t>Capitalized purchases of equipment financed through accounts payable and accrued expenses</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Background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Ocean Power Technologies, Inc. (the “Company”) was incorporated in 1984 in New Jersey, commenced business operations in 1994 and re-incorporated in Delaware in 2007. The Company is developing and is seeking to commercialize proprietary systems that generate electricity by harnessing the renewable energy of ocean waves. The Company markets its PowerBuoys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products and services.</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2015 filed with the Securities and Exchange Commission (“SEC”) and elsewhere in this Form 10-Q.</w:t>
      </w:r>
    </w:p>
    <w:p>
      <w:pPr>
        <w:spacing w:after="0" w:line="18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net losses and negative operating cash flows since inception. As of July 31, 2015, the Company had an accumulated deficit of $168.9 million. As of July 31, 2015, the Company’s cash and cash equivalents and marketable securities balance was approximately $14.2 million. Based upon the Company’s cash and cash equivalents and marketable securities balance as of July 31, 2015, the Company believes that it will be able to finance its capital requirements and operations into the quarter ending October 31, 2016. In addition, as of July 31, 2015, the Company’s restricted cash balance was approximately $0.5 million.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14, 2015, we received a deficiency letter from the Listing Qualifications Department (the “Staff”) of The NASDAQ Stock Market notifying us that, for the last 30 consecutive business days, the bid price of our common stock had closed below the minimum $1.00 per share requirement for continued inclusion on The NASDAQ Global Market pursuant to NASDAQ Listing Rule 5450(a) (1) (the “Rule”). In accordance with Nasdaq Listing Rule 5810(c) (3) (A), the Company was provided an initial period of 180 calendar days, or until July 13, 2015, to regain compliance with the Rule.</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14, 2015, we were granted an additional 180 day, or until January 11, 2016, compliance period and, as required, transferred the listing of our common stock from The NASDAQ Global Market to The NASDAQ Capital Market. If, at any time before January 11, 2016, the bid price of our common stock closes at $1.00 or more for a minimum of 10 consecutive business days as required under Listing Rule 5810(c) (3) (A), the Staff will provide written notification to us that it complies with the Rule, unless the Staff exercises its discretion to extend this 10 day period pursuant to Listing Rule 5810(c) (3) (F).</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our common stock is delisted from NASDAQ, our ability to raise capital through public offerings of our securities and to finance our operations could be adversely affected. See additional risk factors under “Item 1A – Risk Factors” in our Annual Report on Form 10-K for the year ended April 30, 2015.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 Our Board of Directors has approved and we are seeking stockholder approval of a proposed reverse stock split of our common stock in the range of 1:5 to 1:12 (but subject to the discretion of our Board of Directors to effectuate the reverse stock split or not) at our upcoming Annual Meeting of Stockholders, scheduled to be held October 22, 2015, which we believe would permit us to regain compliance with the bid price rule. However, we cannot provide you with any assurance that the proposed reverse stock split will be approved by our stockholders and be effectuated, or that we will be able to regain compliance with NASDAQ’s continued listing requirements. If we fail to regain compliance with the minimum bid price rule or otherwise maintain the standards required now or in the future by NASDAQ, our common stock will likely be delisted from NASDAQ.</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continues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insufficiencies of capital, technology development, scalability of technology and production, dependence on skills of key personnel, concentration of customers and suppliers, performance of PowerBuoys, deployment risks and laws, regulations and permitting. In order to continue to implement our business strategy, the Company requires additional equity and/or debt financing. We do not currently have any committed sources of debt or equity financing, and we cannot assure you that additional equity and/or debt financing will be available to the Company as needed on terms acceptable to us,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our cash expenditures to a sustainable level. This could cause us to be unable to execute our business plan, take advantage of future opportunities and may cause us to scale back, delay or eliminate some or all of our product development activities.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2013, the Company filed a shelf registration statement on Form S-3 (the “S-3” or the “S-3 Shelf”). The S-3 Shelf was declared effective in February 2013. Under the S-3 Shelf in June 2013, the Company established an at the market offering facility (the “ATM Facility”) with Ascendiant Capital Markets, LLC (“Ascendiant”) via an at the market offering agreement (the “ATM Agreement”) Under the ATM Agreement, the Company offered and sold shares of our common stock from time to time through Ascendiant, acting as sales agent, in ordinary brokerage transactions at prevailing market prices. Under the ATM Facility, during fiscal 2014, the Company issued 3,306,334 shares of our common stock at an average price to the public of $3.02 per share, receiving net proceeds from the ATM Facility of approximately $9,698,000.</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in fiscal 2014, the Company entered into an Underwriting Agreement with Roth Capital Partners, LLC on April 4, 2014, with respect to the issuance and sale in an underwritten Public Offering of an aggregate of 3,800,000 shares of our common stock at a price of $3.10 per share. The Underwriting Agreement contained customary representations, warranties and agreements by the Company, customary conditions to closing, indemnification obligations, and a 90 day lock-up period that limited transactions in our common stock by the Company. Net proceeds from the Public Offering, which was completed in early April 2014, were approximately $10,828,000.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our S-3 Shelf, whether under the ATM Agreement, the Underwriting Agreement or otherwise, to one third of our public float. In 2014, we fully utilized our available transaction capacity to sell securities using the S-3 Shelf in the ATM offering. However, we regained the ability to utilize the S-3 Shelf as we entered fiscal 2016. Of the $40 million of securities registered under the S-3 Shelf, approximately $18.2 million of securities remains available for issuance and sale under the S-3 Shelf. However, based on our market capitalization of $9.9 million at July 31, 2015, we would be further limited in our ability to sell securities under the S-3 Shelf during a 12-month period to approximately $3.3 million. During fiscal 2015 and the three months ended July 31, 2015, we did not sell any securities under or receive any proceeds from the sale of securities under the S-3 Shelf.</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Financing may not be available in amounts or on terms acceptable to us, or at all. If we are unable to obtain financing when required, we may be required to reduce the scope of our operations, current projects, planned product development and marketing efforts, and/or selling, general and administrative activities which could harm our future opportunities,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July 31, 2015, there was one noncontrolling interest, consisting of 11.8% of the Company's Australian subsidiary, Ocean Power Technologies (Australasia) Pty. Ltd. (“OPTA”). On September 7, 2015, the Company repurchased the non-controlling interest in OPTA for nominal consideration and now has 100% ownership of OPTA. OPTA owns 100% of Victorian Wave Partners Pty. Ltd. (“VWP”), which is also organized under the laws of Australia. 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July 31, 2015, there were no such entities.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valuation allowances for receivables and deferred income tax assets;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 of the Company’s projects are under cost-sharing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 invests excess cash in an overnight U.S. government securities repurchase bank account and a money market account. In accordance with the terms of the repurchase agreement, the Company does not take possession of the related securities. The agreement contains provisions to ensure that the market value of the underlying assets remain sufficient to protect the Company in the event of default by the bank by requiring that the underlying securities have a total market value of at least 100% of the bank’s total obligations under the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July 31, 2015</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2015</w:t>
            </w: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4,687,411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4,614,400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9,549,842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12,721,334</w:t>
            </w:r>
          </w:p>
        </w:tc>
      </w:tr>
      <w:tr>
        <w:trPr>
          <w:trHeight w:val="250"/>
        </w:trPr>
        <w:tc>
          <w:tcPr>
            <w:tcW w:w="6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14,237,253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17,335,734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July 31, 2015 and April 30, 2015, all of the Company’s investments were classified as held-to-maturity.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One agreement is between Ocean Power Technologies, Inc.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carries a fee of 1% per annum of the amount of any such obligations issued by Barclays Bank. The credit facility does not have an expiration date, but is cancelable at the discretion of the bank. As of July 31, 2015, there was €278,828 ($305,372) in letters of credit outstanding under this agreement.</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second agreement is between Ocean Power Technologies, Inc. and the New Jersey Board of Public Utilities (NJBPU). The Company received a $500,000 recoverable grant award from the NJBPU of which $125,000 is outstanding at July 31, 2015. Under this arrangement, the Company annually assigns to the NJBPU a certificate of deposit in an amount equal to the outstanding grant balance. See Note 6.</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addition, the Company previously had a letter of credit outstanding for the benefit of the Oregon Department of State Lands for the removal of certain of the Company’s anchoring and mooring equipment from the seabed off the coast of Oregon. During fiscal 2015, the Company completed the removal activity and reduced the letters of credit from $1,200,000 to $0.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3"/>
          </w:tcPr>
          <w:p>
            <w:pPr>
              <w:spacing w:after="0"/>
              <w:rPr>
                <w:sz w:val="20"/>
                <w:szCs w:val="20"/>
                <w:color w:val="auto"/>
              </w:rPr>
            </w:pPr>
            <w:r>
              <w:rPr>
                <w:rFonts w:ascii="Arial" w:cs="Arial" w:eastAsia="Arial" w:hAnsi="Arial"/>
                <w:sz w:val="18"/>
                <w:szCs w:val="18"/>
                <w:color w:val="auto"/>
              </w:rPr>
              <w:t>Restricted cash includes the following:</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July 31, 2015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Current:</w:t>
            </w: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NJBPU agreement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336,227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338,561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436,227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438,561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July 31, 2015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Long Term:</w:t>
            </w:r>
          </w:p>
        </w:tc>
        <w:tc>
          <w:tcPr>
            <w:tcW w:w="28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NJBPU agreement</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40" w:type="dxa"/>
            <w:vAlign w:val="bottom"/>
          </w:tcPr>
          <w:p>
            <w:pPr>
              <w:jc w:val="right"/>
              <w:ind w:right="45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c>
          <w:tcPr>
            <w:tcW w:w="28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5500" w:type="dxa"/>
            <w:vAlign w:val="bottom"/>
            <w:gridSpan w:val="2"/>
          </w:tcPr>
          <w:p>
            <w:pPr>
              <w:spacing w:after="0"/>
              <w:rPr>
                <w:sz w:val="20"/>
                <w:szCs w:val="20"/>
                <w:color w:val="auto"/>
              </w:rPr>
            </w:pPr>
            <w:r>
              <w:rPr>
                <w:rFonts w:ascii="Arial" w:cs="Arial" w:eastAsia="Arial" w:hAnsi="Arial"/>
                <w:sz w:val="18"/>
                <w:szCs w:val="18"/>
                <w:color w:val="auto"/>
                <w:w w:val="94"/>
              </w:rPr>
              <w:t>Foreign currency denominated certificates of deposit and cash accounts:</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July 31, 2015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Unrestricted</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1,100,424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1,436,651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1,438,932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Concentration of 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4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183"/>
        </w:trPr>
        <w:tc>
          <w:tcPr>
            <w:tcW w:w="568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Customer</w:t>
            </w:r>
          </w:p>
        </w:tc>
        <w:tc>
          <w:tcPr>
            <w:tcW w:w="154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European Union (WavePort project)</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1,885,614 for the three months ended July 31, 2015, and 1,087,649 for the three months ended July 31, 2014, were excluded from the computations as the effect would be anti-dilutive due to the Company's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Recently Issued Accounting Standards</w:t>
      </w:r>
    </w:p>
    <w:p>
      <w:pPr>
        <w:spacing w:after="0" w:line="225"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 new revenue recognition standard entitled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The objective of the standard is to establish the principles that an entity shall apply to report useful information to users of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nature, amount, timing, and uncertainty of revenue and cash flows from a contract with a customer. The standard is effective for annual reporting periods beginning after December 15, 2017. Earlier application as of the original date is optional; however, the Company will adopt the standard beginning May 1, 2018. The standard allows for either “full retrospective” adoption, meaning the standard is applied to all periods presented, or “modified retrospective” adoption, meaning the standard is applied only to the most current period presented in the financial statements. The Company is currently assessing which method it will choose for adoption, and is evaluating the impact of the adoption of this new accounting standard on it consolidated results of operations and financial position.</w:t>
      </w:r>
    </w:p>
    <w:p>
      <w:pPr>
        <w:spacing w:after="0" w:line="192"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is evaluating the effect ASU 2014-15 will have on its consolidated financial statements and disclosures and has not yet determined the effect of the standard on its ongoing financial reporting at this time.</w:t>
      </w:r>
    </w:p>
    <w:p>
      <w:pPr>
        <w:spacing w:after="0" w:line="15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which intends to simplify the presentation of debt issuance costs. This ASU is effective for public business entities for fiscal years beginning after December 15, 2015, and interim periods within those fiscal years. It is effective for all other entities for fiscal years beginning after December 15, 2015, and interim periods within fiscal years beginning after December 15, 2016. Currently ASU 2015-03, would not have an effect on the Company’s consolidated financial statements and disclosures. The Company will evaluate the effect of ASU 2015-03 for future periods,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July 31,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April 30,</w:t>
            </w:r>
          </w:p>
        </w:tc>
        <w:tc>
          <w:tcPr>
            <w:tcW w:w="9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3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0"/>
        </w:trPr>
        <w:tc>
          <w:tcPr>
            <w:tcW w:w="86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 of Deposit and US Treasury obligations</w:t>
            </w:r>
          </w:p>
        </w:tc>
        <w:tc>
          <w:tcPr>
            <w:tcW w:w="2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Pr>
          <w:p>
            <w:pPr>
              <w:spacing w:after="0"/>
              <w:rPr>
                <w:sz w:val="21"/>
                <w:szCs w:val="21"/>
                <w:color w:val="auto"/>
              </w:rPr>
            </w:pPr>
          </w:p>
        </w:tc>
      </w:tr>
      <w:tr>
        <w:trPr>
          <w:trHeight w:val="656"/>
        </w:trPr>
        <w:tc>
          <w:tcPr>
            <w:tcW w:w="8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00" w:type="dxa"/>
            <w:vAlign w:val="bottom"/>
          </w:tcPr>
          <w:p>
            <w:pPr>
              <w:jc w:val="right"/>
              <w:ind w:right="1290"/>
              <w:spacing w:after="0"/>
              <w:rPr>
                <w:sz w:val="20"/>
                <w:szCs w:val="20"/>
                <w:color w:val="auto"/>
              </w:rPr>
            </w:pPr>
            <w:r>
              <w:rPr>
                <w:rFonts w:ascii="Arial" w:cs="Arial" w:eastAsia="Arial" w:hAnsi="Arial"/>
                <w:sz w:val="18"/>
                <w:szCs w:val="18"/>
                <w:color w:val="auto"/>
              </w:rPr>
              <w:t>13</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422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(4) Balance Sheet Detail</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31, 2015</w:t>
            </w:r>
          </w:p>
        </w:tc>
        <w:tc>
          <w:tcPr>
            <w:tcW w:w="16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April 30, 2015</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Project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1,620,794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867,771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loss reserve</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198,819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198,819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Employee incentive payments</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748,032</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529,274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salary and benefits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472,270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468,366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Legal and accounting fees</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367,854</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274,656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168,233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3,625,947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2,507,119</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Related Party Transactions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8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 July 31,</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Related party consulting expense</w:t>
            </w:r>
          </w:p>
        </w:tc>
        <w:tc>
          <w:tcPr>
            <w:tcW w:w="1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52,667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113,813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received fifteen months of consulting fees at a monthly rate of $20,000 (this period terminated on July 18, 2015). For the three months ended July 31, 2015 and 2014, the Company recorded $52,667 and $60,000, respectively, in expense relating to this agreement.</w:t>
      </w:r>
    </w:p>
    <w:p>
      <w:pPr>
        <w:spacing w:after="0" w:line="18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 June 2014, the Company entered into an agreement with David L. Keller, a non-executive director of the Company, under which Mr. Keller served as our Interim Chief Executive Officer effective as of the June 9, 2014 termination of our former Chief Executive Officer, Charles F. Dunleavy through January 20, 2015. Under this agreement, Mr. Keller received a consulting fee of $1,500 per day of services provided to the Company. Effective January 20, 2015, Mr. George H. Kirby was appointed our President, Chief Executive Officer and a Director of the Company and Mr. Keller resigned as Interim CEO. Mr. Keller has continued to serve as a non-executive director of the Company. For the three months ended July 31, 2015 and 2014, the Company recorded $0 and $53,813, respectively, in expense relating to Mr. Keller’s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was awarded a recoverable grant totaling $500,000 between April 2009 and June 2010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July 31, 2015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30, 2015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80" w:type="dxa"/>
            <w:vAlign w:val="bottom"/>
          </w:tcPr>
          <w:p>
            <w:pPr>
              <w:jc w:val="right"/>
              <w:ind w:right="53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 w:type="dxa"/>
            <w:vAlign w:val="bottom"/>
            <w:shd w:val="clear" w:color="auto" w:fill="808080"/>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20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 Payable</w:t>
      </w:r>
    </w:p>
    <w:p>
      <w:pPr>
        <w:spacing w:after="0" w:line="229"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July 31, 2015, the Company has not generated any emissions credits eligible for purchase under the agreement. The $600,000 has been classified as a noncurrent liability as of July 31, 2015.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aggregate stock-based compensation expense related to all stock-based transactions recorded in the consolidated statements of operations was approximately $145,000 and $13,000 for the three months ended July 31, 2015 and 2014, respectively. The three months ended July 31, 2014, reflected lower stock-based compensation costs relating primarily to the termination for cause of Charles F. Dunleavy, Chief Executive Officer, on June 9, 2014. In accordance with the Company’s 2001 Stock Plan and the 2006 Stock Incentive Plan, all vested and unvested equity compensation grants were forfeited by Mr. Dunleavy because of his termination for cause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Three Months Ended July 31, 2015 and 2014</w:t>
      </w:r>
    </w:p>
    <w:p>
      <w:pPr>
        <w:spacing w:after="0" w:line="229"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 xml:space="preserve">The fair value of each stock option granted, for both service-based and performance-based vesting requirements, during the three months ended July 31, 2015,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was based on the Company’s historical volatility for the three months ended July 31, 2015.</w:t>
      </w:r>
    </w:p>
    <w:p>
      <w:pPr>
        <w:spacing w:after="0" w:line="208"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74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54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540" w:type="dxa"/>
            <w:vAlign w:val="bottom"/>
          </w:tcPr>
          <w:p>
            <w:pPr>
              <w:ind w:left="13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85.74%</w:t>
            </w:r>
          </w:p>
        </w:tc>
        <w:tc>
          <w:tcPr>
            <w:tcW w:w="1540" w:type="dxa"/>
            <w:vAlign w:val="bottom"/>
          </w:tcPr>
          <w:p>
            <w:pPr>
              <w:ind w:left="13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$0.41 for stock options granted during the three months ended July 31, 2015. There were no stock options granted during the three months ended July 31, 2014.</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w w:val="93"/>
              </w:rPr>
              <w:t>A summary of stock options under our stock incentive plans is as follows: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68"/>
        </w:trPr>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6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c>
          <w:tcPr>
            <w:tcW w:w="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April 30, 2015</w:t>
            </w:r>
          </w:p>
        </w:tc>
        <w:tc>
          <w:tcPr>
            <w:tcW w:w="24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1,083,952</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4.32</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79"/>
              </w:rPr>
              <w:t>5.7</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2000" w:type="dxa"/>
            <w:vAlign w:val="bottom"/>
            <w:gridSpan w:val="3"/>
          </w:tcPr>
          <w:p>
            <w:pPr>
              <w:jc w:val="right"/>
              <w:ind w:right="140"/>
              <w:spacing w:after="0"/>
              <w:rPr>
                <w:sz w:val="20"/>
                <w:szCs w:val="20"/>
                <w:color w:val="auto"/>
              </w:rPr>
            </w:pPr>
            <w:r>
              <w:rPr>
                <w:rFonts w:ascii="Arial" w:cs="Arial" w:eastAsia="Arial" w:hAnsi="Arial"/>
                <w:sz w:val="18"/>
                <w:szCs w:val="18"/>
                <w:color w:val="auto"/>
              </w:rPr>
              <w:t>(72,737)</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6.34</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2000" w:type="dxa"/>
            <w:vAlign w:val="bottom"/>
            <w:gridSpan w:val="3"/>
          </w:tcPr>
          <w:p>
            <w:pPr>
              <w:jc w:val="right"/>
              <w:ind w:right="200"/>
              <w:spacing w:after="0"/>
              <w:rPr>
                <w:sz w:val="20"/>
                <w:szCs w:val="20"/>
                <w:color w:val="auto"/>
              </w:rPr>
            </w:pPr>
            <w:r>
              <w:rPr>
                <w:rFonts w:ascii="Arial" w:cs="Arial" w:eastAsia="Arial" w:hAnsi="Arial"/>
                <w:sz w:val="18"/>
                <w:szCs w:val="18"/>
                <w:color w:val="auto"/>
              </w:rPr>
              <w:t>51,388</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0.58</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July 31, 2015</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1,062,603</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4.00</w:t>
            </w:r>
          </w:p>
        </w:tc>
        <w:tc>
          <w:tcPr>
            <w:tcW w:w="16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4900" w:type="dxa"/>
            <w:vAlign w:val="bottom"/>
          </w:tcPr>
          <w:p>
            <w:pPr>
              <w:spacing w:after="0" w:line="196" w:lineRule="exact"/>
              <w:rPr>
                <w:sz w:val="20"/>
                <w:szCs w:val="20"/>
                <w:color w:val="auto"/>
              </w:rPr>
            </w:pPr>
            <w:r>
              <w:rPr>
                <w:rFonts w:ascii="Arial" w:cs="Arial" w:eastAsia="Arial" w:hAnsi="Arial"/>
                <w:sz w:val="18"/>
                <w:szCs w:val="18"/>
                <w:color w:val="auto"/>
              </w:rPr>
              <w:t>Exercisable as of July 31, 2015</w:t>
            </w:r>
          </w:p>
        </w:tc>
        <w:tc>
          <w:tcPr>
            <w:tcW w:w="24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819,481</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6"/>
              </w:rPr>
              <w:t>4.86</w:t>
            </w:r>
          </w:p>
        </w:tc>
        <w:tc>
          <w:tcPr>
            <w:tcW w:w="1620" w:type="dxa"/>
            <w:vAlign w:val="bottom"/>
            <w:gridSpan w:val="2"/>
          </w:tcPr>
          <w:p>
            <w:pPr>
              <w:ind w:left="1300"/>
              <w:spacing w:after="0" w:line="196" w:lineRule="exact"/>
              <w:rPr>
                <w:sz w:val="20"/>
                <w:szCs w:val="20"/>
                <w:color w:val="auto"/>
              </w:rPr>
            </w:pPr>
            <w:r>
              <w:rPr>
                <w:rFonts w:ascii="Arial" w:cs="Arial" w:eastAsia="Arial" w:hAnsi="Arial"/>
                <w:sz w:val="18"/>
                <w:szCs w:val="18"/>
                <w:color w:val="auto"/>
              </w:rPr>
              <w:t>4.7</w:t>
            </w:r>
          </w:p>
        </w:tc>
        <w:tc>
          <w:tcPr>
            <w:tcW w:w="6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0" w:type="dxa"/>
            <w:vAlign w:val="bottom"/>
            <w:gridSpan w:val="2"/>
          </w:tcPr>
          <w:p>
            <w:pPr>
              <w:jc w:val="right"/>
              <w:ind w:right="139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9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July 31, 2015, the total intrinsic value of outstanding and exercisable options was $0. As of July 31, 2015, approximately 243,000 additional options are expected to vest in the future, which options had no intrinsic value and a weighted average remaining contractual term of 8.6 years. There was approximately $71,000 and $1,000 of total recognized compensation cost related to stock options for the three months ended July 31, 2015 and 2014, respectively. As of July 31, 2015, there was approximately $110,000 of total unrecognized compensation cost related to non-vested stock options granted under the plans. This cost is expected to be recognized over a weighted-average period of 1.9 years. The Company normally issues new shares to satisfy option exercises under these plans. Stock options outstanding as of July 31, 2015 included 115,786 stock options subject to performance-based vesting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Compensation expense for unvested restricted stock is generally recorded based on the market value of the restricted stock on the date of grant and recognized ratably over the associated service and performance period. Of the 823,011 unvested shares of restricted stock, there are different vesting criteria and compensation expense methods. There are 342,012 unvested restricted shares that vest based on service criteria. The compensation expense is recorded based on the market value on the date of grant and is recognized ratably over the associated service period. There are 15,999 unvested restricted shares that vest based on personal and Company performance goals and the compensation expense is recorded based on the market value on the date of grant and is recognized ratably over the associated performance period. There are 104,000 unvested restricted shares for a non-executive director of the Company. This grant was issued pursuant to the Company’s Amended and Restated 2006 Stock Incentive Plan and will vest immediately upon the approval of the Ocean Power Technologies, Inc. 2015 Omnibus Incentive Plan by our stockholders at the 2015 Annual Meeting. In the event that the stockholder approval is not obtained or is otherwise deemed unnecessary, the Board will determine such other vesting schedule or other form(s) of equivalent compensation as may be necessary or appropriate. There are 361,000 unvested restricted shares where the achievement of vesting requirement for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designated funds’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w:t>
      </w:r>
    </w:p>
    <w:p>
      <w:pPr>
        <w:sectPr>
          <w:pgSz w:w="11900" w:h="16838" w:orient="portrait"/>
          <w:cols w:equalWidth="0" w:num="1">
            <w:col w:w="11420"/>
          </w:cols>
          <w:pgMar w:left="240" w:top="580" w:right="2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5176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65176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51764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July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7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Average Price per</w:t>
            </w:r>
          </w:p>
        </w:tc>
      </w:tr>
      <w:tr>
        <w:trPr>
          <w:trHeight w:val="234"/>
        </w:trPr>
        <w:tc>
          <w:tcPr>
            <w:tcW w:w="17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of Shares</w:t>
            </w:r>
          </w:p>
        </w:tc>
        <w:tc>
          <w:tcPr>
            <w:tcW w:w="24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Share</w:t>
            </w:r>
          </w:p>
        </w:tc>
      </w:tr>
      <w:tr>
        <w:trPr>
          <w:trHeight w:val="411"/>
        </w:trPr>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840,841</w:t>
            </w:r>
          </w:p>
        </w:tc>
        <w:tc>
          <w:tcPr>
            <w:tcW w:w="20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0.73</w:t>
            </w:r>
          </w:p>
        </w:tc>
      </w:tr>
      <w:tr>
        <w:trPr>
          <w:trHeight w:val="216"/>
        </w:trPr>
        <w:tc>
          <w:tcPr>
            <w:tcW w:w="1560" w:type="dxa"/>
            <w:vAlign w:val="bottom"/>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16"/>
        </w:trPr>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(13,499)</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(17,331)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10"/>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823,011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720"/>
            <w:col w:w="3960"/>
          </w:cols>
          <w:pgMar w:left="240" w:top="580" w:right="239" w:bottom="1440" w:gutter="0" w:footer="0" w:header="0"/>
          <w:type w:val="continuous"/>
        </w:sect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approximately $74,000 and $12,000 of total recognized compensation cost related to restricted stock for the three months ended July 31, 2015 and 2014, respectively. As of July 31, 2015, there was approximately $289,000 of total unrecognized compensation cost related to un-vested restricted stock granted under our plans. This cost is expected to be recognized over a weighted average period of 2.1 years.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(c)Treasury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July 31, 2015 and 2014, 675 and 806 shares, respectively, of common stock were purchased by the Company from employees to pay taxes related to the vesting of restricted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and its former Chief Executive Officer Charles Dunleavy are defendants in consolidated securities class action lawsuits pending in the United States District Court for the District of New Jersey captioned In Re: Ocean Power Technologies, Inc. Securities Litigation, Civil Action No. 14-3799 (FLW) (LHG). The consolidated actions are Roby v. Ocean Power Technologies, Inc., et al., Case No. 3:14-cv-03799-FLW-LHG; Chew, et al. v. Ocean Power Technologies, Inc. et. al., Case No 3:14-cv-03815; Konstantinidis v. Ocean Power Technologies, Inc., et al., Case No. 3:14-cv-04015; and Turner v. Ocean Power Technologies, Inc., et al., Case No. 3:14-cv-04592. On March 17, 2015, the court entered an order appointing Five More Special Situation Fund Ltd. as the lead plaintiff. On May 18, 2015, the lead plaintiff filed an amended class action complaint. The amended class action complaint alleges claims for violations of sections 12(a) (2) and 15 of the Securities Act of 1933 and for violations of §10(b) and §20(a) of the Securities Exchange Act of 1934 arising out of public statements relating to a now terminated agreement between Victorian Wave Partners Pty. Ltd. (VWP) and the Australian Renewable Energy Agency (ARENA) for the development of a wave power station (the "VWP Project"). The amended complaint seeks unspecified monetary damages and other relief. On July 17, 2015, defendants filed a motion to dismiss the amended class action complaint. Lead plaintiff filed a response to the motion on August 31, 2015.</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is continuing to evaluate the Demand Letter but also invited the attorney to participate in the Section 220 Demand process discussed below. On February 6, 2015, the Company produced documents to the attorney pursuant to a confidentiality agreement in connection with the Section 220 Demand process.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The Company has received two additional Section 220</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certain of its current and former directors and officers are defendants in a derivative lawsuit filed on March 18, 2015 in the United States District Court for the District of New Jersey captioned Labare v. Dunleavy, et. al.,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July 10, 2015, a second derivative lawsuit, captioned Rywolt v. Dunleavy</w:t>
      </w:r>
      <w:r>
        <w:rPr>
          <w:rFonts w:ascii="Arial" w:cs="Arial" w:eastAsia="Arial" w:hAnsi="Arial"/>
          <w:sz w:val="18"/>
          <w:szCs w:val="18"/>
          <w:i w:val="1"/>
          <w:iCs w:val="1"/>
          <w:color w:val="auto"/>
        </w:rPr>
        <w:t>, et al.,</w:t>
      </w:r>
      <w:r>
        <w:rPr>
          <w:rFonts w:ascii="Arial" w:cs="Arial" w:eastAsia="Arial" w:hAnsi="Arial"/>
          <w:sz w:val="18"/>
          <w:szCs w:val="18"/>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8"/>
          <w:szCs w:val="18"/>
          <w:i w:val="1"/>
          <w:iCs w:val="1"/>
          <w:color w:val="auto"/>
        </w:rPr>
        <w:t>Rywolt</w:t>
      </w:r>
      <w:r>
        <w:rPr>
          <w:rFonts w:ascii="Arial" w:cs="Arial" w:eastAsia="Arial" w:hAnsi="Arial"/>
          <w:sz w:val="18"/>
          <w:szCs w:val="18"/>
          <w:color w:val="auto"/>
        </w:rPr>
        <w:t xml:space="preserve"> complaint also seeks unspecified monetary damages and other relief. The case is still in its preliminary stage and defendants have not yet responded to the complaint. On September 2, 2015, the plaintiffs in the Labare and Rywolt derivative lawsuits filed an unopposed motion to consolidate the two actions. The Court has not yet ruled on that motion.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Subpoena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2015, the Company received a subpoena from the Securities and Exchange Commission (“SEC”) requesting information related to the VWP Project. The Company has provided information to the SEC in response to that subpoena and continues to cooperate with the SEC.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2012, 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in the amount of €278,828 ($305,372) at the request of the Spanish tax authorities. This is a customary request during the inquiry period. In November 2014 and March 2015, the Company received partial refunds of the amount under dispute and continues to expect that this matter will be resolved in the Company’s favor.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for the three month periods ended July 31, 2015 and 2014.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31, 2015, the Company had no material changes in uncertain tax positions.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Geographic information is as follows: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68"/>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North</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Asia and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Europe</w:t>
            </w:r>
          </w:p>
        </w:tc>
        <w:tc>
          <w:tcPr>
            <w:tcW w:w="1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Australia</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105,666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105,666</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(4,216,214)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(87,723)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(85,796)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(4,389,733)</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1,540,528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1,540,528</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(2,582,613)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(392,868)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(494,072)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(3,469,553)</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July 31, 2015</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244,113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244,587</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14,920,672</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494,158</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486,090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15,900,920</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April 30, 2015</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262,895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263,898</w:t>
            </w:r>
          </w:p>
        </w:tc>
        <w:tc>
          <w:tcPr>
            <w:tcW w:w="6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17,899,273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597,796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373,817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18,870,886</w:t>
            </w:r>
          </w:p>
        </w:tc>
        <w:tc>
          <w:tcPr>
            <w:tcW w:w="620" w:type="dxa"/>
            <w:vAlign w:val="bottom"/>
          </w:tcPr>
          <w:p>
            <w:pPr>
              <w:spacing w:after="0"/>
              <w:rPr>
                <w:sz w:val="20"/>
                <w:szCs w:val="20"/>
                <w:color w:val="auto"/>
              </w:rPr>
            </w:pPr>
          </w:p>
        </w:tc>
      </w:tr>
      <w:tr>
        <w:trPr>
          <w:trHeight w:val="661"/>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57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20" w:name="page21"/>
    <w:bookmarkEnd w:id="20"/>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fiscal 2015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2015 refers to the year ended April 30,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developing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Since fiscal 2002, government agencies have accounted for a significant portion of our revenues, which were largely for the support of our product development efforts. Our goal is that an increased portion of our revenues will be from the sale of products and maintenance services, as compared to revenue from grants to support our product development efforts. As we continue to advance our proprietary technologies, we expect to have a net use of cash in operating activities unless or until we achieve positive cash flow from the planned commercialization of products and services.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plan to market our autonomous PowerBuoy, which is designed to generate power for use independent of the power grid, to customers that require electricity in remote locations. We believe there are a variety of potential applications for our autonomous PowerBuoy, including ocean observing, offshore wind, defense and security, oil and gas, communications and ocean aquaculture.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from contracts with Lockheed Martin Corporation (“Lockheed Martin”), in fiscal 2003, and in fiscal 2004 we entered into our first development and construction contract with Lockheed Martin for the development and construction of a prototype autonomous PowerBuoy. Subsequently, we received a contract from the US Navy to test our autonomous PowerBuoy as an alternate power source for the Navy’s Deep Water Active Detection System (“DWADS”). In fiscal 2012, an autonomous PowerBuoy was deployed for ocean trials off the coast of New Jersey under a contract from the US Navy under its Littoral Expeditionary Autonomous PowerBuoy (“LEAP”) contract. The LEAP PowerBuoy, or APB350, incorporates a unique power take-off and on-board storage system, and is significantly smaller and more compact than those of our previous PowerBuoy designs. It is designed to provide persistent, grid-independent clean energy in remote ocean locations for a wide variety of maritime security, monitoring and other commercial applications. Also, in fiscal 2012, ocean trials of our PB150B1 PowerBuoy were conducted off the northeast coast of Scotland. Our larger-scale PB150B1 PowerBuoy structure and mooring system achieved independent certification from Lloyd’s Register in December 2010. This certification confirms that the PB150B1 PowerBuoy design complies with the requirements of Lloyd’s 1999 Rules and Regulations for the Classification of Floating Offshore Installations at Fixed Locations.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2012 through fiscal 2015, we worked on projects with partners including Mitsui Engineering &amp; Shipbuilding (“MES”) and the US Department of Energy, as well as on our WavePort project in Spain and a project in Oregon. We also continued development of our PowerBuoy technology as well as our next generation PowerBuoy technology. We are continuing to develop, test and refine our technology and our products and we do not yet have a commercial product offering.</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three months ended July 31, 2015, we continued work under our contract with the US Department of Energy (“DOE”) and continued to seek to implement the strategic pivot in our business plan initiated in fiscal 2015, focusing on the autonomous applications markets. We also deployed the PB40 PowerBuoy off the coast of New Jersey in late July 2015 and subsequently retrieved it approximately three weeks later. We were permitted to operate the PB40 at this location for a period of up to one year. Although the PB40 produced power throughout its deployment period, it began reporting unexpected performance data. This performance data indicated likely failures of components associated with the float braking system which would be activated during severe storm periods in order to prevent damage to the float. As a result, we decided to proactively retrieve the PB40 earlier than anticipated in order to avoid potential physical damage to the buoy structure in the event of a severe storm. During the limited deployment period, we were able to obtain performance data, which we will use to further understand the PB40’s system performance and power generation in varying wave states. In addition, we were also able to use the deployment and retrieval of the PB40, 30 miles off of the coast of New Jersey, to validate our logistical processes associated with permitting, stage, towing and installation of the PB40 at its moored location. Because the PB40 is a legacy prototype device, it is not considered to be a critical part of our strategic pivot initiated in fiscal 2015 focusing on the autonomous applications market. Based on the limited information, we currently believe that the failed components are unique to the PB40, and therefore, we do not believe that their causes will materially impact the functionality of any of our other autonomous PowerBuoys currently under development. Costs associated with the retrieval of the PB40 will be reflected in our product development expenses in our quarterly results for the quarter ending October 31, 2015. We do not have current plans to redeploy the PB40, however, we do plan to investigate, analyze and assess the component failures of the PB40.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17"/>
          <w:szCs w:val="17"/>
          <w:color w:val="auto"/>
        </w:rPr>
        <w:t>Our contract with the DOE is for development efforts that focus on further optimization of our modular PTO technology. In March 2015, we successfully completed a stage gate review which included project deliverables with the DOE. The DOE reviewed advancements related to Power Take Off design aspects such as reliability, cost take out, manufacturability and scalability. As a result we received an all “green” project status assessment from DOE reflecting their satisfaction with our overall project deliverables. Having met expectations as defined for said stage-gate review, we are currently executing the next stage of the contract. We also are continuing to develop solutions seeking to improve our products’ durability, reliability and reduce costs. For example, the original APB350 utilized a rack and pinion power takeoff (“PTO”) and successfully powered a US Navy radar and sonar system off the coast of New Jersey for nearly three months. The redesigned APB350 leverages our knowledge base from that design to incorporate new design features which we believe will improve its reliability and efficiency, including a redesigned PTO and a higher efficiency high voltage energy storage system (“ESS”). Subsequent to the end of the quarter, we deployed an iteration of this redesigned PowerBuoy APB350 at the end of August 2015. In addition, we are also designing the next generation APB350, which will be designed to permit the buoy to fit into a standard 40-foot shipping container, thereby reducing fabrication, transportation and deployment costs. We are also developing our newest PowerBuoy, the PB10. We currently expect that this buoy will be capable of delivering up to twenty times more power than the APB350 with a relatively small weight increase and similar transportability, but we are continuing to test its commercial viability and use testing data to refine our product offering. We believe this PowerBuoy would be attractive in applications where more power is needed, such as with oil and gas, defense and security, and micro-grid applications.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2013, we filed a shelf registration statement on Form S-3 (the “S-3” or the “S-3 Shelf”). The S-3 Shelf was declared effective in February 2013. Under the S-3 Shelf we established an ATM Facility with Ascendiant Capital Markets, LLC (“Ascendiant”) via an ATM Agreement in June 2013. Under the ATM Agreement, we offered and sold shares of our common stock from time to time through the Ascendiant, acting as sales agent, in ordinary brokerage transactions at prevailing market prices. Under the ATM Facility, during fiscal 2014, we issued 3,306,334 shares of our common stock at an average price to the public of $3.02 per share, receiving net proceeds from the ATM Facility of approximately $9,698,000.</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in fiscal 2014, we entered into an Underwriting Agreement with Roth Capital Partners, LLC on April 4, 2014, with respect to the issuance and sale in an underwritten public offering of an aggregate of 3,800,000 shares of our common stock at a price of $3.10 per share (the “public offering”) The Underwriting Agreement contained customary representations, warranties and agreements by us, customary conditions to closing, indemnification obligations, and a 90 day lock-up period that limited transactions in our common stock by us. Net proceeds from the Public Offering, which was completed in early April 2014, were approximately $10,828,000.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our S-3 Shelf, whether under the ATM Agreement, the Underwriting Agreement or otherwise, to one third of our public float. In 2014, we fully utilized our available transaction capacity to sell securities using the S-3 Shelf in the ATM offering. However, we regained the ability to utilize Form S-3 as we entered fiscal 2016. Of the $40 million of securities registered under the S-3 Shelf, approximately $18.2 million remains available for issuance and sale under the S-3 Shelf. However, based on our market capitalization of $9.9 million at July 31, 2015, we would be further limited in our ability to sell securities under the S-3 Shelf during any 12-month period to approximately $3.3 million. During fiscal 2015 and the three months ended July 31, 2015, we did not sell any securities under or receive proceeds from the sale of securities under the S-3 Shelf.</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current projects, planned product development and marketing efforts, which could harm our financial condition and operating results.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July 31, 2015, our total negotiated backlog was $0.8 million compared with $0.9 million at April 30, 2015. Some of our backlog at July 31, 2015 and April 30, 2015 consisted of cost-sharing contracts as described in the Financial Operations Overview section of Management’s Discussion and Analysis in this Quarterly Report on Form 10-Q.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Currently we expect that our backlog will continue to decline in the near term; however, we continue to focus on obtaining new contracts and customers to further our technology and are exploring potential partnerships and strategic alliances. Our backlog was fully funded at July 31, 2015 and April 30, 2015.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Not included in our backlog is a $1.0 million grant that we received from Ente Vasco de la Energia (“EVE”) a Basque regional energy agency that would have provided partial funding for the deployment of the PB40 PowerBuoy off the coast of Spain. This grant expires on December 31, 2015 and will likely not be utilized as we have no planned deployment in Spain at this time. The PB40 PowerBuoy was deployed off the coast of New Jersey, but has been retrieved, as discussed above.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Currently, our contract with Mitsui Engineering &amp; Shipbuilding (MES) is undergoing a stage-gate review process and activity has been suspended until we receive further notification from MES. Stage-gate reviews are used in product development to gather key information needed to advance the project to the next gate or decision point. This process has been utilized by other customers such as the Department of Energy. MES has indicated that work under this contract could resume upon passing the stage-gate review. We billed and have been paid for all eligible costs incurred under the contract in fiscal 2015. Our revenues recorded reflect the total amount paid on the contract. In addition, depending on the outcome of the stage-gate review, the scope of the project may be decreased or increased and other terms, including schedule, of the project may change. A significant reduction in the remaining scope of the project could have a material adverse effect on our future revenue and backlog.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July 31, 2015, we generated revenues of $0.1 million and incurred a net loss attributable to Ocean Power Technologies, Inc. of $4.2 million, and for the three months ended July 31, 2014, we generated revenues of $1.5 million and incurred a net loss attributable to Ocean Power Technologies, Inc. of $3.3 million. As of July 31, 2015, our accumulated deficit was $168.9 million. We have not been profitable since inception, and we do not know whether or when we will become profitable because of the significant uncertainties with respect to our ability to successfully commercialize our PowerBuoys in the emerging renewable energy market.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timing, scope and size of new government programs for renewable energy are uncertain, and there can be no assurances that we or our customers will be successful in obtaining any additional government funding or that projects will be profitable even with available funding.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part of our strategic pivot in business operations initiated in fiscal 2015, we are focused on developing the PowerBuoy technology for use in the autonomous applications markets. Such applications require open ocean power sources that operate independently of the utility grid by supplying electric power to payloads that are integrated directly in the PowerBuoy and/or located in its vicinity. Based on market research and available public data, we believe considerable business opportunity exists in six markets that could have a direct need for our autonomous PowerBuoys: ocean observing, offshore wind, defense and security, oil and gas, communications, and ocean aquaculture. Based on power needs, sensor types and other considerations, we believe our APB350 could have the ability to satisfy several application requirements within these six markets. It is designed to offer a substantial amount of persistent power while also providing a simple and stable integration platform that is deployable using readily available vessels and skills. The APB350 is currently undergoing a design iteration focusing on improving its commercial viability, its reliability and endurance. Based on our product and technology roadmap, we expect the APB350 will undergo significant in-ocean testing during the next year and we currently expect that by the summer of 2016, it will achieve a maturity level that will allow us to proceed with our commercial launch. We currently intend to perform first product demonstrations with early adopters and launch customers of the APB350 within approximately the same timeframe. We anticipate that the APB350 will have sufficient power to address application needs in all six markets such as metrological data collection, wind and environmental data collection for offshore wind, and sensors and communications for homeland defense. With additional power available, we believe new applications will be enabled through the development of new sensors and hardware that were not feasible or financially viable with incumbent power sources such as generators, solar, wind and battery based sources.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2008, we announced a Joint Development Agreement with Leighton Contractors Pty. Ltd. (Leighton) for the development of wave power projects off the coast of Australia. In 2009,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the Company determined to classify the Initial Funding as an advance payment, hold the funds as restricted cash and defer recognition of the funds as revenue. In July 2014, the VWP Board of Directors determined that the project contemplated by the Funding Deed was no longer commercially viable and terminated the Funding Deed and returned the Initial Funding to ARENA.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our revenue for the periods involved. Upon anticipating a loss on a contract, we recognize the full amount of the anticipated loss in the current period.</w:t>
      </w:r>
    </w:p>
    <w:p>
      <w:pPr>
        <w:spacing w:after="0" w:line="166"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 development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Some of our revenue for the three months ended July 31, 2015 and 2014 was from cost-sharing contracts.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breakdown of our revenues by customer for the three months ended July 31, 2015 and 2014:</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July 31,</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40" w:type="dxa"/>
            <w:vAlign w:val="bottom"/>
            <w:gridSpan w:val="3"/>
          </w:tcPr>
          <w:p>
            <w:pPr>
              <w:jc w:val="right"/>
              <w:ind w:right="770"/>
              <w:spacing w:after="0" w:line="191" w:lineRule="exact"/>
              <w:rPr>
                <w:sz w:val="20"/>
                <w:szCs w:val="20"/>
                <w:color w:val="auto"/>
              </w:rPr>
            </w:pPr>
            <w:r>
              <w:rPr>
                <w:rFonts w:ascii="Arial" w:cs="Arial" w:eastAsia="Arial" w:hAnsi="Arial"/>
                <w:sz w:val="18"/>
                <w:szCs w:val="18"/>
                <w:color w:val="auto"/>
              </w:rPr>
              <w:t>($ millions)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32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33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6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European Union (WavePort project)</w:t>
            </w:r>
          </w:p>
        </w:tc>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2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32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40" w:type="dxa"/>
            <w:vAlign w:val="bottom"/>
            <w:vMerge w:val="restart"/>
          </w:tcPr>
          <w:p>
            <w:pPr>
              <w:jc w:val="right"/>
              <w:ind w:right="1030"/>
              <w:spacing w:after="0"/>
              <w:rPr>
                <w:sz w:val="20"/>
                <w:szCs w:val="20"/>
                <w:color w:val="auto"/>
              </w:rPr>
            </w:pPr>
            <w:r>
              <w:rPr>
                <w:rFonts w:ascii="Arial" w:cs="Arial" w:eastAsia="Arial" w:hAnsi="Arial"/>
                <w:sz w:val="18"/>
                <w:szCs w:val="18"/>
                <w:color w:val="auto"/>
              </w:rPr>
              <w:t>23</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520" w:type="dxa"/>
            <w:vAlign w:val="bottom"/>
            <w:shd w:val="clear" w:color="auto" w:fill="808080"/>
          </w:tcPr>
          <w:p>
            <w:pPr>
              <w:spacing w:after="0"/>
              <w:rPr>
                <w:sz w:val="5"/>
                <w:szCs w:val="5"/>
                <w:color w:val="auto"/>
              </w:rPr>
            </w:pPr>
          </w:p>
        </w:tc>
        <w:tc>
          <w:tcPr>
            <w:tcW w:w="2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and Japan. The following table shows the percentage of our revenues by geographical location of our customers for the three months ended July 31, 2015 and 2014:</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183"/>
        </w:trPr>
        <w:tc>
          <w:tcPr>
            <w:tcW w:w="568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Customer Location</w:t>
            </w:r>
          </w:p>
        </w:tc>
        <w:tc>
          <w:tcPr>
            <w:tcW w:w="154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revenue recorded for the three months ended July 31, 2015 and 2014 was generated from cost-sharing contracts, which result in zero gross profit. However, in the three months ended July 31, 2014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increasing sales of our PowerBuoy systems and our ability to manage costs incurred on fixed price commercial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utility PowerBuoy system,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research and development expenses and scope as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$14.7 million as of July 31, 2015, compared to $32.5 million as of July 31, 2014.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interest income reported in fiscal 2016 will continue to be lower than the comparable periods of the prior fiscal year as a result of the decrease in invested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foreign-denominated certificates of deposit and cash accounts had a balance of $1.4 million as of July 31, 2015 and $6.6 million as of July 31, 2014, compared to our total cash, cash equivalents, restricted cash, and marketable securities balances of $14.7 million as of July 31, 2015 and $32.5 million as of July 31, 2014. These foreign currency balances are translated at each month end to our functional currency, the US dollar, and any resulting gain or loss is recognized in our results of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months ended July 31, 2014 were recorded in Euros.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2015 Compared to Three Months Ended July 31, 2014</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July 31, 2015 and 2014:</w:t>
      </w:r>
    </w:p>
    <w:p>
      <w:pPr>
        <w:spacing w:after="0" w:line="200" w:lineRule="exact"/>
        <w:rPr>
          <w:sz w:val="20"/>
          <w:szCs w:val="20"/>
          <w:color w:val="auto"/>
        </w:rPr>
      </w:pPr>
    </w:p>
    <w:p>
      <w:pPr>
        <w:spacing w:after="0" w:line="23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5"/>
            <w:vMerge w:val="restart"/>
          </w:tcPr>
          <w:p>
            <w:pPr>
              <w:jc w:val="right"/>
              <w:ind w:right="700"/>
              <w:spacing w:after="0"/>
              <w:rPr>
                <w:sz w:val="20"/>
                <w:szCs w:val="20"/>
                <w:color w:val="auto"/>
              </w:rPr>
            </w:pPr>
            <w:r>
              <w:rPr>
                <w:rFonts w:ascii="Arial" w:cs="Arial" w:eastAsia="Arial" w:hAnsi="Arial"/>
                <w:sz w:val="18"/>
                <w:szCs w:val="18"/>
                <w:b w:val="1"/>
                <w:bCs w:val="1"/>
                <w:color w:val="auto"/>
                <w:w w:val="98"/>
              </w:rPr>
              <w:t>Three Months ended July 31,</w:t>
            </w:r>
          </w:p>
        </w:tc>
        <w:tc>
          <w:tcPr>
            <w:tcW w:w="17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5"/>
            <w:vMerge w:val="continue"/>
          </w:tcPr>
          <w:p>
            <w:pPr>
              <w:spacing w:after="0"/>
              <w:rPr>
                <w:sz w:val="19"/>
                <w:szCs w:val="19"/>
                <w:color w:val="auto"/>
              </w:rPr>
            </w:pPr>
          </w:p>
        </w:tc>
        <w:tc>
          <w:tcPr>
            <w:tcW w:w="17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2015 Period to</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7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2014 Period</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105,666</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1,540,528</w:t>
            </w:r>
          </w:p>
        </w:tc>
        <w:tc>
          <w:tcPr>
            <w:tcW w:w="1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105,666</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1,967,164</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loss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(426,636)</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(recoveries) costs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2,482,788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(80,055)</w:t>
            </w:r>
          </w:p>
        </w:tc>
        <w:tc>
          <w:tcPr>
            <w:tcW w:w="1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16"/>
        </w:trPr>
        <w:tc>
          <w:tcPr>
            <w:tcW w:w="44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1,906,945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3,122,972</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4,389,733</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3,042,917</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(4,389,733)</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(3,469,553)</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(58,620)</w:t>
            </w:r>
          </w:p>
        </w:tc>
        <w:tc>
          <w:tcPr>
            <w:tcW w:w="1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251,007</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185,000</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18,959</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(5,658)</w:t>
            </w:r>
          </w:p>
        </w:tc>
        <w:tc>
          <w:tcPr>
            <w:tcW w:w="1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(4,114,644)</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(3,348,831)</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Net (gain) loss attributable to the noncontrolling</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interest in Ocean Power Technologies (Australasia) Pty</w:t>
            </w:r>
          </w:p>
        </w:tc>
        <w:tc>
          <w:tcPr>
            <w:tcW w:w="30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(47,397)</w:t>
            </w:r>
          </w:p>
        </w:tc>
        <w:tc>
          <w:tcPr>
            <w:tcW w:w="34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66,079</w:t>
            </w:r>
          </w:p>
        </w:tc>
        <w:tc>
          <w:tcPr>
            <w:tcW w:w="176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Ltd</w:t>
            </w:r>
          </w:p>
        </w:tc>
        <w:tc>
          <w:tcPr>
            <w:tcW w:w="3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(4,162,041)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(3,282,752)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decreased by $1.4 million, or 93%, to $0.1 million in the three months ended July 31, 2015, as compared to $1.5 million in the three months ended July 31, 2014. The decrease in revenue is related to the completion of our WavePort contract with the EU in fiscal 2015 and the decrease in billable work under the current phase of our project with MES which is undergoing a stage-gate review process. This is discussed more fully in the Overview section of the Management Discussion and Analysis of Financial Conditions and Results of Operations (“MD&amp;A”).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revenues decreased by $1.9 million, or 95%, to $0.1 million in the three months ended July 31, 2015, as compared to $2.0 million in the three months ended July 31, 2014. The decrease in cost of revenue is related to the completion of our WavePort contract with the EU in fiscal 2015 and the decrease in billable work under the current phase of our project with MES which is undergoing a stage-gate review process. This is discussed more fully in the Overview section of the MD&amp;A. During the three months ended July 31, 2014,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Some of our projects in the three month period ended July 31, 2015 and 2014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Product development costs increased by $2.6 million, or (3201)%, to $2.5 million in the three months ended July 31, 2015, as compared to $(0.1) million in the three months ended July 31, 2014. The increase in product development costs was related primarily to increased costs associated with the deployment of our legacy PB40 device off the coast of New Jersey in July and with the redesigned APB350. During the three months ended July 31, 2014, we recovered product development costs from prior periods under our cost-sharing contract with the European Union for our WavePort project in Spain. Over the next several years, it is our intent to fund the majority of our research and development expenses, including cost-sharing arrangements, with sources of external funding. If we are unable to obtain external funding, we may curtail our product development expenses or the scope of our development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costs decreased by approximately $1.2 million, or 39%, to $1.9 million for the three months ended July 31, 2015 as compared to $3.1 million for the three months ended July 31, 2014. The decrease was related primarily to legal fees for outside counsel retained by the Special Committee of the Board of Directors to conduct an internal investigation into the agreement between VWP and ARENA during the three months ended July 31, 2014. In addition, costs decreased related to site development expenses related to our terminated project in Australia, decreased patent costs due to shortening the estimated useful lives for recording amortization expense and third party consultant fees. These decreases were offset by increased employee related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(expense) net increased to $5,000 for the three months ended July 31, 2015, as compared to ($59,000) in the three months ended July 31, 2014. During the three months ended July 31, 2014, we recorded interest expense for the repayment of funds received in March 2014 from ARENA of $5.2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gain was $19,000 for the three months ended July 31, 2015, compared to a foreign exchange loss of $6,000 for the three months ended July 31, 2014.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July 31, 2015, we received a refund of $251,000 related to research and development expenditures in Australia. During the three months ended July 31, 2014, we reached a favorable settlement with a vendor regarding a disputed transaction, which comprises the amount of $185,000.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developing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Since fiscal 2002, government agencies have accounted for a significant portion of our revenues, which were largely for the support of our product development efforts. Our goal is that an increased portion of our revenues will be from the sale of products and maintenance services, as compared to revenue from grants to support our product development efforts. As we continue to advance our proprietary technologies, we expect to have a net use of cash in operating activities unless or until we achieve positive cash flow from the planned commercialization of products and services.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2015, our net losses were $24.4 million and our net cash used in operating activities was $23.7 million.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Cash flows for the three months ended July 31, 2015 and 2014 were as follows: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8"/>
              </w:rPr>
              <w:t>Three Months Ended July 31,</w:t>
            </w: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(4,114,644)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(3,348,831)</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261,969</w:t>
            </w:r>
          </w:p>
        </w:tc>
      </w:tr>
      <w:tr>
        <w:trPr>
          <w:trHeight w:val="210"/>
        </w:trPr>
        <w:tc>
          <w:tcPr>
            <w:tcW w:w="860" w:type="dxa"/>
            <w:vAlign w:val="bottom"/>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(3,959,632)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(3,086,862)</w:t>
            </w: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841,264</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(80,678)</w:t>
            </w: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(3,118,368)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(3,167,540)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r>
      <w:tr>
        <w:trPr>
          <w:trHeight w:val="256"/>
        </w:trPr>
        <w:tc>
          <w:tcPr>
            <w:tcW w:w="860" w:type="dxa"/>
            <w:vAlign w:val="bottom"/>
          </w:tcPr>
          <w:p>
            <w:pPr>
              <w:spacing w:after="0"/>
              <w:rPr>
                <w:sz w:val="22"/>
                <w:szCs w:val="22"/>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93,111</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(3,006,517)</w:t>
            </w:r>
          </w:p>
        </w:tc>
      </w:tr>
      <w:tr>
        <w:trPr>
          <w:trHeight w:val="197"/>
        </w:trPr>
        <w:tc>
          <w:tcPr>
            <w:tcW w:w="860" w:type="dxa"/>
            <w:vAlign w:val="bottom"/>
          </w:tcPr>
          <w:p>
            <w:pPr>
              <w:spacing w:after="0"/>
              <w:rPr>
                <w:sz w:val="17"/>
                <w:szCs w:val="17"/>
                <w:color w:val="auto"/>
              </w:rPr>
            </w:pPr>
          </w:p>
        </w:tc>
        <w:tc>
          <w:tcPr>
            <w:tcW w:w="63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60" w:type="dxa"/>
            <w:vAlign w:val="bottom"/>
          </w:tcPr>
          <w:p>
            <w:pPr>
              <w:spacing w:after="0"/>
              <w:rPr>
                <w:sz w:val="22"/>
                <w:szCs w:val="22"/>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(25,355)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(25,668)</w:t>
            </w:r>
          </w:p>
        </w:tc>
      </w:tr>
      <w:tr>
        <w:trPr>
          <w:trHeight w:val="197"/>
        </w:trPr>
        <w:tc>
          <w:tcPr>
            <w:tcW w:w="860" w:type="dxa"/>
            <w:vAlign w:val="bottom"/>
          </w:tcPr>
          <w:p>
            <w:pPr>
              <w:spacing w:after="0"/>
              <w:rPr>
                <w:sz w:val="17"/>
                <w:szCs w:val="17"/>
                <w:color w:val="auto"/>
              </w:rPr>
            </w:pPr>
          </w:p>
        </w:tc>
        <w:tc>
          <w:tcPr>
            <w:tcW w:w="63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860" w:type="dxa"/>
            <w:vAlign w:val="bottom"/>
          </w:tcPr>
          <w:p>
            <w:pPr>
              <w:spacing w:after="0"/>
              <w:rPr>
                <w:sz w:val="20"/>
                <w:szCs w:val="20"/>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(31,284)</w:t>
            </w:r>
          </w:p>
        </w:tc>
      </w:tr>
      <w:tr>
        <w:trPr>
          <w:trHeight w:val="20"/>
        </w:trPr>
        <w:tc>
          <w:tcPr>
            <w:tcW w:w="86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was $3.1 million and $3.2 million for the three months ended July 31, 2015 and 2014, respectively. The change was the result of an increase in net loss of $0.8 million offset by a decrease in cash provided by noncash operating items of $0.1 million and the net change in operating assets and liabilities of $0.8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net loss for the three months ended July 31, 2015 compared to the three months ended July 31, 2014 reflects an increase in product development costs of $2.6 million relating primarily to the deployment of the PB40 off the coast of NJ and the anticipated deployment of the APB350, offset by a decrease in SG&amp;A costs of $1.2 million relating primarily to decreased legal fees to address the shareholder litigation and related matters and decreased site development expenses related to our terminated project in Australia.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noncash operating items reflects a decrease in amortization expense for patents of $0.2 million, offset by an increase in equity compensation of $0.1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operating assets and liabilities reflects a net increase in accounts payable and accrued expenses of $1.1 million and an increase of $0.3 million in other current assets, during the three months ended July 31,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was $0.1 million for the three months ended July 31, 2015 and net cash used in investing activities was $3.0 million for the three months ended July 31, 2014. The change was primarily the result of a net decrease in maturities of marketable securities during the three months ended July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Net cash used in financing activities was $25,000 and $26,000 for the three months ended July 31, 2015 and 2014, respectively. The net cash used was primarily for repayment of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$48,000 and $31,000 in the three months ended July 31, 2015 and 2014, respectively. The effect of exchange rates on cash and cash equivalents results primarily from gains or losses on consolidation of foreign subsidiaries and foreign denominated cash and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w:t>
      </w:r>
    </w:p>
    <w:p>
      <w:pPr>
        <w:spacing w:after="0" w:line="178" w:lineRule="exact"/>
        <w:rPr>
          <w:sz w:val="20"/>
          <w:szCs w:val="20"/>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development efforts for our PowerBuoys;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major customers;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success rate of commercialization activities, including demonstration projects, product marketing and sales;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potential acquisitions of other products or technologies;</w:t>
      </w:r>
    </w:p>
    <w:p>
      <w:pPr>
        <w:spacing w:after="0" w:line="225" w:lineRule="exact"/>
        <w:rPr>
          <w:rFonts w:ascii="Arial" w:cs="Arial" w:eastAsia="Arial" w:hAnsi="Arial"/>
          <w:sz w:val="18"/>
          <w:szCs w:val="18"/>
          <w:color w:val="auto"/>
        </w:rPr>
      </w:pPr>
    </w:p>
    <w:p>
      <w:pPr>
        <w:ind w:left="700" w:right="1900" w:hanging="379"/>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 and</w:t>
      </w:r>
    </w:p>
    <w:p>
      <w:pPr>
        <w:spacing w:after="0" w:line="170" w:lineRule="exact"/>
        <w:rPr>
          <w:rFonts w:ascii="Arial" w:cs="Arial" w:eastAsia="Arial" w:hAnsi="Arial"/>
          <w:sz w:val="18"/>
          <w:szCs w:val="18"/>
          <w:color w:val="auto"/>
        </w:rPr>
      </w:pPr>
    </w:p>
    <w:p>
      <w:pPr>
        <w:ind w:left="700" w:hanging="379"/>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shareholder and other litigation and regulatory inquiries.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incurred negative operating cash flows since our inception. As of July 31, 2015, our cash and cash equivalents and marketable securities balance was approximately $14.2 million. Based upon our cash and cash equivalents and marketable securities balance as of April 30, 2015, we believe that we will be able to finance our capital requirements and operations into the quarter ending October 31, 2016. In addition, as of July 31, 2015, our restricted cash balance was approximately $0.5 million.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14, 2015, we received a deficiency letter from the Listing Qualifications Department (the “Staff”) of The NASDAQ Stock Market notifying us that, for the last 30 consecutive business days, the bid price of our common stock had closed below the minimum $1.00 per share requirement for continued inclusion on The NASDAQ Global Market pursuant to NASDAQ Listing Rule 5450(a) (1) (the “Rule”). In accordance with Nasdaq Listing Rule 5810(c) (3) (A), the Company was provided an initial period of 180 calendar days, or until July 13, 2015, to regain compliance with the Rule.</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14, 2015, we were granted an additional 180 day, or until January 11, 2016, compliance period and, as required, transferred the listing of our common stock from The NASDAQ Global Market to The NASDAQ Capital Market. If, at any time before January 11, 2016, the bid price of our common stock closes at $1.00 or more for a minimum of 10 consecutive business days as required under Listing Rule 5810(c) (3) (A), the Staff will provide written notification to us that it complies with the Rule, unless the Staff exercises its discretion to extend this 10 day period pursuant to Listing Rule 5810(c) (3) (F).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p>
      <w:pPr>
        <w:jc w:val="both"/>
        <w:spacing w:after="0" w:line="270" w:lineRule="auto"/>
        <w:rPr>
          <w:sz w:val="20"/>
          <w:szCs w:val="20"/>
          <w:color w:val="auto"/>
        </w:rPr>
      </w:pPr>
      <w:r>
        <w:rPr>
          <w:rFonts w:ascii="Arial" w:cs="Arial" w:eastAsia="Arial" w:hAnsi="Arial"/>
          <w:sz w:val="17"/>
          <w:szCs w:val="17"/>
          <w:color w:val="auto"/>
        </w:rPr>
        <w:t>If our common stock is delisted from NASDAQ, our ability to raise capital through public offerings of our securities could be adversely affected.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 Our Board of Directors has approved and we are seeking stockholder approval of a proposed reverse stock split of our common stock in the range of 1:5 to 1:12 (but subject to the discretion of our Board of Directors to effectuate the reverse stock split or not) at our upcoming Annual Meeting of Stockholders, scheduled to be held October 22, 2015, which we believe would permit us to regain compliance with the bid price rule. However, we cannot provide you with any assurance that the proposed reverse stock split will be approved by our stockholders and that we will be able to regain compliance with NASDAQ’s continued listing requirements. If we fail to regain compliance with the minimum bid price rule or otherwise maintain the standards required now or in the future by NASDAQ, our common stock will likely be delisted from NASDAQ.</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make investments in ongoing product development efforts in anticipation of future growth. Our future results of operations involve significant risks and uncertainties. Factors that could affect the Company’s future operating results and cause actual results to vary materially from our expectations include, but are not limited to, risks from insufficiencies of capital, technology development, scalability of technology and production, dependence on skills of key personnel, concentration of customers and suppliers, performance of PowerBuoy, deployment risks and laws, regulations and permitting. In order to complete our future growth strategy, we will require additional equity and/or debt financing. There is no assurance that additional equity and/or debt financing will be available to us as needed. Historically, we have raised proceeds through public capital markets. If sufficient financing is not obtained, we may be required to further curtail or limit certain product development costs, and/or selling, general and administrative activities in order to reduce our cash expenditures.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2013, we filed the Form S-3 Shelf. The S-3 Shelf was declared effective in February 2013. Under the S-3 Shelf in June 2013, we established the ATM Facility with Ascendiant Capital Markets, LLC via the ATM Agreement in June 2013. Under the ATM Agreement, we offered and sold shares of our common stock from time to time through Ascendiant, acting as sales agent, in ordinary brokerage transactions at prevailing market prices. Under the ATM Facility, during fiscal 2014, we issued 3,306,334 shares of our common stock at an average price to the public of $3.02 per share, receiving net proceeds from the ATM Facility of approximately $9,698,000.</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in fiscal 2014, we entered into an Underwriting Agreement with Roth Capital Partners, LLC on April 4, 2014, with respect to the issuance and sale in an underwritten Public Offering of an aggregate of 3,800,000 shares of our common stock at a price of $3.10 per share. The Underwriting Agreement contained customary representations, warranties and agreements by us, customary conditions to closing, indemnification obligations, and a 90 day lock-up period that limited transactions in our common stock by us. Net proceeds from the Public Offering, which was completed in early April 2014, were approximately $10,828,000.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Form S-3, to one third of our public float. In 2014, we fully utilized our available transaction capacity to sell securities using the S-3 Shelf in the ATM offering. However, we regained the ability to utilize Form S-3 as we entered fiscal 2016. Of the $40 million authorized under the S-3 Shelf, approximately $18.2 million remains available for issuance and sale under the S-3 Shelf. However, given our market capitalization of $9.9 million at July 31, 2015, we would be further limited in our ability to sell securities under the S-3 Shelf to approximately $3 million. During fiscal 2015 and the three months ended July 31, 2015, we did not sell any securities under or receive any proceeds from the sale of securities under the S-3 Shelf.</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2015, the Company returned the initial grant funding received of A$5,595,723 ($5,179,960) and interest of A$109,051 ($102,061) to ARENA.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related to the VWP Board of Directors determination that the project contemplated by the grant was no longer commercially viable.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under the supervision and with the participation of our Chief Executive Officer and Chief Financial Officer, evaluated the effectiveness of the design and operation of our disclosure controls and procedures as of July 31, 2015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July 31, 2015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July 31, 2015 that has materially affected, or is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and its former Chief Executive Officer Charles Dunleavy are defendants in consolidated securities class action lawsuits pending in the United States District Court for the District of New Jersey captioned In Re: Ocean Power Technologies, Inc. Securities Litigation, Civil Action No. 14-3799 (FLW) (LHG). The consolidated actions are Roby v. Ocean Power Technologies, Inc., et al., Case No. 3:14-cv-03799-FLW-LHG; Chew, et al. v. Ocean Power Technologies, Inc. et. al., Case No 3:14-cv-03815; Konstantinidis v. Ocean Power Technologies, Inc., et al., Case No. 3:14-cv-04015; and Turner v. Ocean Power Technologies, Inc., et al., Case No. 3:14-cv-04592. On March 17, 2015, the court entered an order appointing Five More Special Situation Fund Ltd. as the lead plaintiff. On May 18, 2015, the lead plaintiff filed an amended class action complaint. The amended class action complaint alleges claims for violations of sections 12(a) (2) and 15 of the Securities Act of 1933 and for violations of §10(b) and §20(a) of the Securities Exchange Act of 1934 arising out of public statements relating to a now terminated agreement between Victorian Wave Partners Pty. Ltd. (VWP) and the Australian Renewable Energy Agency (ARENA) for the development of a wave power station (the "VWP Project"). The amended complaint seeks unspecified monetary damages and other relief. On July 17, 2015, defendants filed a motion to dismiss the amended class action complaint. Lead plaintiff filed a response to the motion on August 31, 2015.</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is continuing to evaluate the Demand Letter but also invited the attorney to participate in the Section 220 Demand process discussed below. On February 6, 2015, the Company produced documents to the attorney pursuant to a confidentiality agreement in connection with the Section 220 Demand process.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The Company has received two additional Section 220 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certain of its current and former directors and officers are defendants in a derivative lawsuit filed on March 18, 2015 in the United States District Court for the District of New Jersey captioned Labare v. Dunleavy, et. al.,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July 10, 2015, a second derivative lawsuit, captioned Rywolt v. Dunleavy</w:t>
      </w:r>
      <w:r>
        <w:rPr>
          <w:rFonts w:ascii="Arial" w:cs="Arial" w:eastAsia="Arial" w:hAnsi="Arial"/>
          <w:sz w:val="18"/>
          <w:szCs w:val="18"/>
          <w:i w:val="1"/>
          <w:iCs w:val="1"/>
          <w:color w:val="auto"/>
        </w:rPr>
        <w:t>, et al.,</w:t>
      </w:r>
      <w:r>
        <w:rPr>
          <w:rFonts w:ascii="Arial" w:cs="Arial" w:eastAsia="Arial" w:hAnsi="Arial"/>
          <w:sz w:val="18"/>
          <w:szCs w:val="18"/>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8"/>
          <w:szCs w:val="18"/>
          <w:i w:val="1"/>
          <w:iCs w:val="1"/>
          <w:color w:val="auto"/>
        </w:rPr>
        <w:t>Rywolt</w:t>
      </w:r>
      <w:r>
        <w:rPr>
          <w:rFonts w:ascii="Arial" w:cs="Arial" w:eastAsia="Arial" w:hAnsi="Arial"/>
          <w:sz w:val="18"/>
          <w:szCs w:val="18"/>
          <w:color w:val="auto"/>
        </w:rPr>
        <w:t xml:space="preserve"> complaint also seeks unspecified monetary damages and other relief. The case is still in its preliminary stage and defendants have not yet responded to the complaint. On September 2, 2015, the plaintiffs in the Labare and Rywolt derivative lawsuits filed an unopposed motion to consolidate the two actions. The Court has not yet ruled on that motion.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Subpoena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2015, the Company received a subpoena from the Securities and Exchange Commission (“SEC”) requesting information related to the VWP Project. The Company has provided information to the SEC in response to that subpoena and continues to cooperate with the SEC.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i w:val="1"/>
          <w:i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2015.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6, 2015.</w:t>
      </w:r>
    </w:p>
    <w:p>
      <w:pPr>
        <w:spacing w:after="0" w:line="15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7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 Number of</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Total Number of</w:t>
            </w:r>
          </w:p>
        </w:tc>
        <w:tc>
          <w:tcPr>
            <w:tcW w:w="24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2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 Purchased as</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Shares</w:t>
            </w:r>
          </w:p>
        </w:tc>
        <w:tc>
          <w:tcPr>
            <w:tcW w:w="24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Price Paid</w:t>
            </w:r>
          </w:p>
        </w:tc>
        <w:tc>
          <w:tcPr>
            <w:tcW w:w="2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Part of Publicly</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34"/>
        </w:trPr>
        <w:tc>
          <w:tcPr>
            <w:tcW w:w="17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per Share</w:t>
            </w:r>
          </w:p>
        </w:tc>
        <w:tc>
          <w:tcPr>
            <w:tcW w:w="18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8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Under the Plan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12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May 1-31, 2015</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206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June 1-30, 2015</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675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0.53</w:t>
            </w:r>
          </w:p>
        </w:tc>
        <w:tc>
          <w:tcPr>
            <w:tcW w:w="212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240" w:type="dxa"/>
            <w:vAlign w:val="bottom"/>
          </w:tcPr>
          <w:p>
            <w:pPr>
              <w:ind w:left="20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July 1-31, 2015</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20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Represents shares delivered back to the Company by employees to pay taxes related to the vesting of restricted shares.</w:t>
      </w:r>
    </w:p>
    <w:p>
      <w:pPr>
        <w:spacing w:after="0" w:line="200" w:lineRule="exact"/>
        <w:rPr>
          <w:sz w:val="20"/>
          <w:szCs w:val="20"/>
          <w:color w:val="auto"/>
        </w:rPr>
      </w:pPr>
    </w:p>
    <w:p>
      <w:pPr>
        <w:spacing w:after="0" w:line="23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3" w:name="page34"/>
    <w:bookmarkEnd w:id="33"/>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1120" w:right="2339" w:hanging="638"/>
        <w:spacing w:after="0" w:line="277" w:lineRule="auto"/>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170"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1120" w:right="2339" w:hanging="638"/>
        <w:spacing w:after="0" w:line="277" w:lineRule="auto"/>
        <w:tabs>
          <w:tab w:leader="none" w:pos="1100" w:val="left"/>
        </w:tabs>
        <w:rPr>
          <w:sz w:val="20"/>
          <w:szCs w:val="20"/>
          <w:color w:val="auto"/>
        </w:rPr>
      </w:pPr>
      <w:r>
        <w:rPr>
          <w:rFonts w:ascii="Arial" w:cs="Arial" w:eastAsia="Arial" w:hAnsi="Arial"/>
          <w:sz w:val="18"/>
          <w:szCs w:val="18"/>
          <w:color w:val="auto"/>
        </w:rPr>
        <w:t>32.1*</w:t>
        <w:tab/>
        <w:t>Certification of Chief Executive Officer pursuant to Section 906 of the Sarbanes-Oxley Act of 2002</w:t>
      </w:r>
    </w:p>
    <w:p>
      <w:pPr>
        <w:spacing w:after="0" w:line="170" w:lineRule="exact"/>
        <w:rPr>
          <w:sz w:val="20"/>
          <w:szCs w:val="20"/>
          <w:color w:val="auto"/>
        </w:rPr>
      </w:pPr>
    </w:p>
    <w:p>
      <w:pPr>
        <w:ind w:left="480"/>
        <w:spacing w:after="0"/>
        <w:tabs>
          <w:tab w:leader="none" w:pos="11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jc w:val="both"/>
        <w:ind w:left="1120" w:right="2339" w:hanging="599"/>
        <w:spacing w:after="0" w:line="289"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July 31, 2015, filed September 8, 2015: (i) Consolidated Balance Sheets – July 31, 2015 (unaudited) and April 30, 2015, (ii) Consolidated Statements of Operations (unaudited) – Three Months Ended July 31, 2015 and 2014, (iii) Consolidated Statements of Comprehensive Loss (unaudited) – Three Months Ended July 31, 2015 and 2014, (iv) Consolidated Statements of Cash Flows (unaudited) – Three Months Ended July 31, 2015 and 2014, (v) Consolidated Statements of Stockholders’ Equity (unaudited) – Three Months Ended July 31, 2015 and 2014 and (vi) Notes to Consolidated Financial Statements.**</w:t>
      </w:r>
    </w:p>
    <w:p>
      <w:pPr>
        <w:spacing w:after="0" w:line="166" w:lineRule="exact"/>
        <w:rPr>
          <w:rFonts w:ascii="Arial" w:cs="Arial" w:eastAsia="Arial" w:hAnsi="Arial"/>
          <w:sz w:val="16"/>
          <w:szCs w:val="16"/>
          <w:color w:val="auto"/>
        </w:rPr>
      </w:pPr>
    </w:p>
    <w:p>
      <w:pPr>
        <w:jc w:val="both"/>
        <w:ind w:left="1120" w:right="2339"/>
        <w:spacing w:after="0" w:line="257" w:lineRule="auto"/>
        <w:rPr>
          <w:rFonts w:ascii="Arial" w:cs="Arial" w:eastAsia="Arial" w:hAnsi="Arial"/>
          <w:sz w:val="16"/>
          <w:szCs w:val="16"/>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8" w:lineRule="exact"/>
        <w:rPr>
          <w:rFonts w:ascii="Arial" w:cs="Arial" w:eastAsia="Arial" w:hAnsi="Arial"/>
          <w:sz w:val="16"/>
          <w:szCs w:val="16"/>
          <w:color w:val="auto"/>
        </w:rPr>
      </w:pPr>
    </w:p>
    <w:p>
      <w:pPr>
        <w:jc w:val="both"/>
        <w:ind w:left="1120" w:right="2339" w:hanging="5"/>
        <w:spacing w:after="0" w:line="257" w:lineRule="auto"/>
        <w:tabs>
          <w:tab w:leader="none" w:pos="1351"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796" w:right="1440"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980" w:type="dxa"/>
            <w:vAlign w:val="bottom"/>
            <w:gridSpan w:val="3"/>
          </w:tcPr>
          <w:p>
            <w:pPr>
              <w:ind w:left="460"/>
              <w:spacing w:after="0"/>
              <w:rPr>
                <w:sz w:val="20"/>
                <w:szCs w:val="20"/>
                <w:color w:val="auto"/>
              </w:rPr>
            </w:pPr>
            <w:r>
              <w:rPr>
                <w:rFonts w:ascii="Arial" w:cs="Arial" w:eastAsia="Arial" w:hAnsi="Arial"/>
                <w:sz w:val="18"/>
                <w:szCs w:val="18"/>
                <w:b w:val="1"/>
                <w:bCs w:val="1"/>
                <w:color w:val="auto"/>
              </w:rPr>
              <w:t>Ocean Power Technologies, Inc.</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tcBorders>
              <w:top w:val="single" w:sz="8" w:color="auto"/>
            </w:tcBorders>
          </w:tcPr>
          <w:p>
            <w:pPr>
              <w:ind w:left="800"/>
              <w:spacing w:after="0"/>
              <w:rPr>
                <w:sz w:val="20"/>
                <w:szCs w:val="20"/>
                <w:color w:val="auto"/>
              </w:rPr>
            </w:pPr>
            <w:r>
              <w:rPr>
                <w:rFonts w:ascii="Arial" w:cs="Arial" w:eastAsia="Arial" w:hAnsi="Arial"/>
                <w:sz w:val="18"/>
                <w:szCs w:val="18"/>
                <w:i w:val="1"/>
                <w:iCs w:val="1"/>
                <w:color w:val="auto"/>
              </w:rPr>
              <w:t>(Registrant)</w:t>
            </w: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September 8, 2015</w:t>
            </w:r>
          </w:p>
        </w:tc>
        <w:tc>
          <w:tcPr>
            <w:tcW w:w="2360" w:type="dxa"/>
            <w:vAlign w:val="bottom"/>
            <w:vMerge w:val="restart"/>
          </w:tcPr>
          <w:p>
            <w:pPr>
              <w:ind w:left="20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George H. Kirby III</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3980" w:type="dxa"/>
            <w:vAlign w:val="bottom"/>
            <w:gridSpan w:val="3"/>
          </w:tcPr>
          <w:p>
            <w:pPr>
              <w:spacing w:after="0" w:line="195" w:lineRule="exact"/>
              <w:rPr>
                <w:sz w:val="20"/>
                <w:szCs w:val="20"/>
                <w:color w:val="auto"/>
              </w:rPr>
            </w:pPr>
            <w:r>
              <w:rPr>
                <w:rFonts w:ascii="Arial" w:cs="Arial" w:eastAsia="Arial" w:hAnsi="Arial"/>
                <w:sz w:val="18"/>
                <w:szCs w:val="18"/>
                <w:color w:val="auto"/>
              </w:rPr>
              <w:t>George H. Kirby III</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720" w:type="dxa"/>
            <w:vAlign w:val="bottom"/>
          </w:tcPr>
          <w:p>
            <w:pPr>
              <w:spacing w:after="0"/>
              <w:rPr>
                <w:sz w:val="20"/>
                <w:szCs w:val="20"/>
                <w:color w:val="auto"/>
              </w:rPr>
            </w:pPr>
            <w:r>
              <w:rPr>
                <w:rFonts w:ascii="Arial" w:cs="Arial" w:eastAsia="Arial" w:hAnsi="Arial"/>
                <w:sz w:val="18"/>
                <w:szCs w:val="18"/>
                <w:color w:val="auto"/>
              </w:rPr>
              <w:t>Date: September 8, 2015</w:t>
            </w:r>
          </w:p>
        </w:tc>
        <w:tc>
          <w:tcPr>
            <w:tcW w:w="2360" w:type="dxa"/>
            <w:vAlign w:val="bottom"/>
            <w:vMerge w:val="restart"/>
          </w:tcPr>
          <w:p>
            <w:pPr>
              <w:ind w:left="20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Mark A. Featherstone</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3980" w:type="dxa"/>
            <w:vAlign w:val="bottom"/>
            <w:gridSpan w:val="3"/>
          </w:tcPr>
          <w:p>
            <w:pPr>
              <w:spacing w:after="0" w:line="195" w:lineRule="exact"/>
              <w:rPr>
                <w:sz w:val="20"/>
                <w:szCs w:val="20"/>
                <w:color w:val="auto"/>
              </w:rPr>
            </w:pPr>
            <w:r>
              <w:rPr>
                <w:rFonts w:ascii="Arial" w:cs="Arial" w:eastAsia="Arial" w:hAnsi="Arial"/>
                <w:sz w:val="18"/>
                <w:szCs w:val="18"/>
                <w:color w:val="auto"/>
              </w:rPr>
              <w:t>Mark A. Featherstone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3720" w:type="dxa"/>
            <w:vAlign w:val="bottom"/>
          </w:tcPr>
          <w:p>
            <w:pPr>
              <w:spacing w:after="0"/>
              <w:rPr>
                <w:sz w:val="24"/>
                <w:szCs w:val="24"/>
                <w:color w:val="auto"/>
              </w:rPr>
            </w:pPr>
          </w:p>
        </w:tc>
        <w:tc>
          <w:tcPr>
            <w:tcW w:w="236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7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20" w:type="dxa"/>
            <w:vAlign w:val="bottom"/>
            <w:shd w:val="clear" w:color="auto" w:fill="808080"/>
          </w:tcPr>
          <w:p>
            <w:pPr>
              <w:spacing w:after="0"/>
              <w:rPr>
                <w:sz w:val="5"/>
                <w:szCs w:val="5"/>
                <w:color w:val="auto"/>
              </w:rPr>
            </w:pPr>
          </w:p>
        </w:tc>
        <w:tc>
          <w:tcPr>
            <w:tcW w:w="23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35" w:name="page36"/>
    <w:bookmarkEnd w:id="35"/>
    <w:p>
      <w:pPr>
        <w:jc w:val="center"/>
        <w:ind w:right="440"/>
        <w:spacing w:after="0"/>
        <w:rPr>
          <w:sz w:val="20"/>
          <w:szCs w:val="20"/>
          <w:color w:val="auto"/>
        </w:rPr>
      </w:pPr>
      <w:r>
        <w:rPr>
          <w:rFonts w:ascii="Arial" w:cs="Arial" w:eastAsia="Arial" w:hAnsi="Arial"/>
          <w:sz w:val="18"/>
          <w:szCs w:val="18"/>
          <w:b w:val="1"/>
          <w:bCs w:val="1"/>
          <w:color w:val="auto"/>
        </w:rPr>
        <w:t>EXHIBITS INDEX</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jc w:val="both"/>
        <w:ind w:left="720" w:right="20" w:hanging="669"/>
        <w:spacing w:after="0" w:line="288"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July 31, 2015, filed September 8, 2015: (i) Consolidated Balance Sheets – July 31, 2015 (unaudited) and April 30, 2015, (ii) Consolidated Statements of Operations (unaudited) – Three Months Ended July 31, 2015 and 2014,</w:t>
      </w:r>
    </w:p>
    <w:p>
      <w:pPr>
        <w:jc w:val="both"/>
        <w:ind w:left="720" w:right="20" w:hanging="8"/>
        <w:spacing w:after="0" w:line="281" w:lineRule="auto"/>
        <w:tabs>
          <w:tab w:leader="none" w:pos="1053" w:val="left"/>
        </w:tabs>
        <w:numPr>
          <w:ilvl w:val="1"/>
          <w:numId w:val="7"/>
        </w:numPr>
        <w:rPr>
          <w:rFonts w:ascii="Arial" w:cs="Arial" w:eastAsia="Arial" w:hAnsi="Arial"/>
          <w:sz w:val="16"/>
          <w:szCs w:val="16"/>
          <w:color w:val="auto"/>
        </w:rPr>
      </w:pPr>
      <w:r>
        <w:rPr>
          <w:rFonts w:ascii="Arial" w:cs="Arial" w:eastAsia="Arial" w:hAnsi="Arial"/>
          <w:sz w:val="16"/>
          <w:szCs w:val="16"/>
          <w:color w:val="auto"/>
        </w:rPr>
        <w:t>Consolidated Statements of Comprehensive Loss (unaudited) – Three Months Ended July 31, 2015 and 2014, (iv) Consolidated Statements of Cash Flows (unaudited) – Three Months Ended July 31, 2015 and 2014, (v) Consolidated Statements of Stockholders’ Equity (unaudited) – Three Months Ended July 31, 2015 and 2014 and (vi) Notes to Consolidated Financial Statements.**</w:t>
      </w:r>
    </w:p>
    <w:p>
      <w:pPr>
        <w:spacing w:after="0" w:line="2" w:lineRule="exact"/>
        <w:rPr>
          <w:rFonts w:ascii="Arial" w:cs="Arial" w:eastAsia="Arial" w:hAnsi="Arial"/>
          <w:sz w:val="16"/>
          <w:szCs w:val="16"/>
          <w:color w:val="auto"/>
        </w:rPr>
      </w:pPr>
    </w:p>
    <w:p>
      <w:pPr>
        <w:jc w:val="both"/>
        <w:ind w:left="720"/>
        <w:spacing w:after="0" w:line="265" w:lineRule="auto"/>
        <w:rPr>
          <w:rFonts w:ascii="Arial" w:cs="Arial" w:eastAsia="Arial" w:hAnsi="Arial"/>
          <w:sz w:val="16"/>
          <w:szCs w:val="16"/>
          <w:color w:val="auto"/>
        </w:rPr>
      </w:pPr>
      <w:r>
        <w:rPr>
          <w:rFonts w:ascii="Arial" w:cs="Arial" w:eastAsia="Arial" w:hAnsi="Arial"/>
          <w:sz w:val="17"/>
          <w:szCs w:val="17"/>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jc w:val="both"/>
        <w:ind w:left="720"/>
        <w:spacing w:after="0" w:line="255" w:lineRule="auto"/>
        <w:rPr>
          <w:rFonts w:ascii="Arial" w:cs="Arial" w:eastAsia="Arial" w:hAnsi="Arial"/>
          <w:sz w:val="16"/>
          <w:szCs w:val="16"/>
          <w:color w:val="auto"/>
        </w:rPr>
      </w:pPr>
      <w:r>
        <w:rPr>
          <w:rFonts w:ascii="Arial" w:cs="Arial" w:eastAsia="Arial" w:hAnsi="Arial"/>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40"/>
          </w:cols>
          <w:pgMar w:left="900" w:top="580" w:right="4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certify that:</w:t>
      </w:r>
    </w:p>
    <w:p>
      <w:pPr>
        <w:spacing w:after="0" w:line="22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46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4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September 8, 2015</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George H. Kirby III</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Featherstone, certify that:</w:t>
      </w:r>
    </w:p>
    <w:p>
      <w:pPr>
        <w:spacing w:after="0" w:line="22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4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2015</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A. Featherstone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2015,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right="500" w:hanging="472"/>
        <w:spacing w:after="0" w:line="657" w:lineRule="auto"/>
        <w:tabs>
          <w:tab w:leader="none" w:pos="4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8, 2015</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George H. Kirby III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25298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2015, as filed with the Securities and Exchange Commission on the date hereof (the "Report"), the undersigned, Mark A. Featherstone,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right="500" w:hanging="472"/>
        <w:spacing w:after="0" w:line="657" w:lineRule="auto"/>
        <w:tabs>
          <w:tab w:leader="none" w:pos="4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8, 2015</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Mark A. Featherstone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3"/>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01"/>
    </w:lvl>
    <w:lvl w:ilvl="1">
      <w:lvlJc w:val="left"/>
      <w:lvlText w:val="*"/>
      <w:numFmt w:val="bullet"/>
      <w:start w:val="1"/>
    </w:lvl>
  </w:abstractNum>
  <w:abstractNum w:abstractNumId="5">
    <w:nsid w:val="1190CDE7"/>
    <w:multiLevelType w:val="hybridMultilevel"/>
    <w:lvl w:ilvl="0">
      <w:lvlJc w:val="left"/>
      <w:lvlText w:val="%1"/>
      <w:numFmt w:val="decimal"/>
      <w:start w:val="1"/>
    </w:lvl>
    <w:lvl w:ilvl="1">
      <w:lvlJc w:val="left"/>
      <w:lvlText w:val="**"/>
      <w:numFmt w:val="bullet"/>
      <w:start w:val="1"/>
    </w:lvl>
  </w:abstractNum>
  <w:abstractNum w:abstractNumId="6">
    <w:nsid w:val="66EF438D"/>
    <w:multiLevelType w:val="hybridMultilevel"/>
    <w:lvl w:ilvl="0">
      <w:lvlJc w:val="left"/>
      <w:lvlText w:val="%1"/>
      <w:numFmt w:val="decimal"/>
      <w:start w:val="101"/>
    </w:lvl>
    <w:lvl w:ilvl="1">
      <w:lvlJc w:val="left"/>
      <w:lvlText w:val="(%2)"/>
      <w:numFmt w:val="lowerRoman"/>
      <w:start w:val="3"/>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2019-12-08T17:04:13Z</dcterms:created>
  <dcterms:modified xsi:type="dcterms:W3CDTF">2019-12-08T17:04:13Z</dcterms:modified>
</cp:coreProperties>
</file>