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 SECURITIES AND EXCHANGE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20549</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7" w:lineRule="exact"/>
        <w:rPr>
          <w:sz w:val="24"/>
          <w:szCs w:val="24"/>
          <w:color w:val="auto"/>
        </w:rPr>
      </w:pPr>
    </w:p>
    <w:p>
      <w:pPr>
        <w:ind w:left="1440" w:right="3260" w:hanging="835"/>
        <w:spacing w:after="0" w:line="257" w:lineRule="auto"/>
        <w:tabs>
          <w:tab w:leader="none" w:pos="144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 For the fiscal year ended April 30, 2012</w:t>
      </w:r>
    </w:p>
    <w:p>
      <w:pPr>
        <w:jc w:val="center"/>
        <w:spacing w:after="0"/>
        <w:rPr>
          <w:sz w:val="20"/>
          <w:szCs w:val="20"/>
          <w:color w:val="auto"/>
        </w:rPr>
      </w:pPr>
      <w:r>
        <w:rPr>
          <w:rFonts w:ascii="Arial" w:cs="Arial" w:eastAsia="Arial" w:hAnsi="Arial"/>
          <w:sz w:val="14"/>
          <w:szCs w:val="14"/>
          <w:b w:val="1"/>
          <w:bCs w:val="1"/>
          <w:color w:val="auto"/>
        </w:rPr>
        <w:t>or</w:t>
      </w:r>
    </w:p>
    <w:p>
      <w:pPr>
        <w:spacing w:after="0" w:line="5" w:lineRule="exact"/>
        <w:rPr>
          <w:sz w:val="24"/>
          <w:szCs w:val="24"/>
          <w:color w:val="auto"/>
        </w:rPr>
      </w:pPr>
    </w:p>
    <w:p>
      <w:pPr>
        <w:ind w:left="1440" w:hanging="808"/>
        <w:spacing w:after="0"/>
        <w:tabs>
          <w:tab w:leader="none" w:pos="14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500" w:type="dxa"/>
            <w:vAlign w:val="bottom"/>
          </w:tcPr>
          <w:p>
            <w:pPr>
              <w:ind w:left="1440"/>
              <w:spacing w:after="0"/>
              <w:rPr>
                <w:sz w:val="20"/>
                <w:szCs w:val="20"/>
                <w:color w:val="auto"/>
              </w:rPr>
            </w:pPr>
            <w:r>
              <w:rPr>
                <w:rFonts w:ascii="Arial" w:cs="Arial" w:eastAsia="Arial" w:hAnsi="Arial"/>
                <w:sz w:val="14"/>
                <w:szCs w:val="14"/>
                <w:b w:val="1"/>
                <w:bCs w:val="1"/>
                <w:color w:val="auto"/>
              </w:rPr>
              <w:t>For the transition period from</w:t>
            </w:r>
          </w:p>
        </w:tc>
        <w:tc>
          <w:tcPr>
            <w:tcW w:w="220" w:type="dxa"/>
            <w:vAlign w:val="bottom"/>
          </w:tcPr>
          <w:p>
            <w:pPr>
              <w:ind w:left="80"/>
              <w:spacing w:after="0"/>
              <w:rPr>
                <w:sz w:val="20"/>
                <w:szCs w:val="20"/>
                <w:color w:val="auto"/>
              </w:rPr>
            </w:pPr>
            <w:r>
              <w:rPr>
                <w:rFonts w:ascii="Arial" w:cs="Arial" w:eastAsia="Arial" w:hAnsi="Arial"/>
                <w:sz w:val="14"/>
                <w:szCs w:val="14"/>
                <w:b w:val="1"/>
                <w:bCs w:val="1"/>
                <w:color w:val="auto"/>
                <w:w w:val="90"/>
              </w:rPr>
              <w:t>to</w:t>
            </w:r>
          </w:p>
        </w:tc>
        <w:tc>
          <w:tcPr>
            <w:tcW w:w="3300" w:type="dxa"/>
            <w:vAlign w:val="bottom"/>
          </w:tcPr>
          <w:p>
            <w:pPr>
              <w:jc w:val="right"/>
              <w:ind w:right="2871"/>
              <w:spacing w:after="0"/>
              <w:rPr>
                <w:sz w:val="20"/>
                <w:szCs w:val="20"/>
                <w:color w:val="auto"/>
              </w:rPr>
            </w:pPr>
            <w:r>
              <w:rPr>
                <w:rFonts w:ascii="Arial" w:cs="Arial" w:eastAsia="Arial" w:hAnsi="Arial"/>
                <w:sz w:val="14"/>
                <w:szCs w:val="14"/>
                <w:b w:val="1"/>
                <w:bCs w:val="1"/>
                <w:color w:val="auto"/>
              </w:rPr>
              <w:t>.</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tcPr>
          <w:p>
            <w:pPr>
              <w:jc w:val="center"/>
              <w:ind w:left="651"/>
              <w:spacing w:after="0"/>
              <w:rPr>
                <w:sz w:val="20"/>
                <w:szCs w:val="20"/>
                <w:color w:val="auto"/>
              </w:rPr>
            </w:pPr>
            <w:r>
              <w:rPr>
                <w:rFonts w:ascii="Arial" w:cs="Arial" w:eastAsia="Arial" w:hAnsi="Arial"/>
                <w:sz w:val="14"/>
                <w:szCs w:val="14"/>
                <w:b w:val="1"/>
                <w:bCs w:val="1"/>
                <w:color w:val="auto"/>
                <w:w w:val="89"/>
              </w:rPr>
              <w:t>Commission File Number 001-33417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4"/>
        </w:trPr>
        <w:tc>
          <w:tcPr>
            <w:tcW w:w="3500" w:type="dxa"/>
            <w:vAlign w:val="bottom"/>
          </w:tcPr>
          <w:p>
            <w:pPr>
              <w:jc w:val="center"/>
              <w:ind w:left="2031"/>
              <w:spacing w:after="0"/>
              <w:rPr>
                <w:sz w:val="20"/>
                <w:szCs w:val="20"/>
                <w:color w:val="auto"/>
              </w:rPr>
            </w:pPr>
            <w:r>
              <w:rPr>
                <w:rFonts w:ascii="Arial" w:cs="Arial" w:eastAsia="Arial" w:hAnsi="Arial"/>
                <w:sz w:val="14"/>
                <w:szCs w:val="14"/>
                <w:b w:val="1"/>
                <w:bCs w:val="1"/>
                <w:color w:val="auto"/>
                <w:w w:val="91"/>
              </w:rPr>
              <w:t>Delaware</w:t>
            </w:r>
          </w:p>
        </w:tc>
        <w:tc>
          <w:tcPr>
            <w:tcW w:w="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20" w:type="dxa"/>
            <w:vAlign w:val="bottom"/>
          </w:tcPr>
          <w:p>
            <w:pPr>
              <w:jc w:val="center"/>
              <w:ind w:left="371"/>
              <w:spacing w:after="0"/>
              <w:rPr>
                <w:sz w:val="20"/>
                <w:szCs w:val="20"/>
                <w:color w:val="auto"/>
              </w:rPr>
            </w:pPr>
            <w:r>
              <w:rPr>
                <w:rFonts w:ascii="Arial" w:cs="Arial" w:eastAsia="Arial" w:hAnsi="Arial"/>
                <w:sz w:val="14"/>
                <w:szCs w:val="14"/>
                <w:b w:val="1"/>
                <w:bCs w:val="1"/>
                <w:color w:val="auto"/>
                <w:w w:val="88"/>
              </w:rPr>
              <w:t>22-2535818</w:t>
            </w:r>
          </w:p>
        </w:tc>
        <w:tc>
          <w:tcPr>
            <w:tcW w:w="0" w:type="dxa"/>
            <w:vAlign w:val="bottom"/>
          </w:tcPr>
          <w:p>
            <w:pPr>
              <w:spacing w:after="0"/>
              <w:rPr>
                <w:sz w:val="1"/>
                <w:szCs w:val="1"/>
                <w:color w:val="auto"/>
              </w:rPr>
            </w:pPr>
          </w:p>
        </w:tc>
      </w:tr>
      <w:tr>
        <w:trPr>
          <w:trHeight w:val="162"/>
        </w:trPr>
        <w:tc>
          <w:tcPr>
            <w:tcW w:w="7020" w:type="dxa"/>
            <w:vAlign w:val="bottom"/>
            <w:gridSpan w:val="3"/>
          </w:tcPr>
          <w:p>
            <w:pPr>
              <w:jc w:val="center"/>
              <w:ind w:right="1351"/>
              <w:spacing w:after="0"/>
              <w:rPr>
                <w:sz w:val="20"/>
                <w:szCs w:val="20"/>
                <w:color w:val="auto"/>
              </w:rPr>
            </w:pPr>
            <w:r>
              <w:rPr>
                <w:rFonts w:ascii="Arial" w:cs="Arial" w:eastAsia="Arial" w:hAnsi="Arial"/>
                <w:sz w:val="14"/>
                <w:szCs w:val="14"/>
                <w:i w:val="1"/>
                <w:iCs w:val="1"/>
                <w:color w:val="auto"/>
                <w:w w:val="93"/>
              </w:rPr>
              <w:t>(State or other jurisdiction of incorporation or organization)</w:t>
            </w:r>
          </w:p>
        </w:tc>
        <w:tc>
          <w:tcPr>
            <w:tcW w:w="2820" w:type="dxa"/>
            <w:vAlign w:val="bottom"/>
          </w:tcPr>
          <w:p>
            <w:pPr>
              <w:jc w:val="center"/>
              <w:ind w:left="371"/>
              <w:spacing w:after="0"/>
              <w:rPr>
                <w:sz w:val="20"/>
                <w:szCs w:val="20"/>
                <w:color w:val="auto"/>
              </w:rPr>
            </w:pPr>
            <w:r>
              <w:rPr>
                <w:rFonts w:ascii="Arial" w:cs="Arial" w:eastAsia="Arial" w:hAnsi="Arial"/>
                <w:sz w:val="14"/>
                <w:szCs w:val="14"/>
                <w:i w:val="1"/>
                <w:iCs w:val="1"/>
                <w:color w:val="auto"/>
                <w:w w:val="91"/>
              </w:rPr>
              <w:t>(I.R.S. Employer Identification No.)</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tcPr>
          <w:p>
            <w:pPr>
              <w:jc w:val="center"/>
              <w:ind w:left="651"/>
              <w:spacing w:after="0"/>
              <w:rPr>
                <w:sz w:val="20"/>
                <w:szCs w:val="20"/>
                <w:color w:val="auto"/>
              </w:rPr>
            </w:pPr>
            <w:r>
              <w:rPr>
                <w:rFonts w:ascii="Arial" w:cs="Arial" w:eastAsia="Arial" w:hAnsi="Arial"/>
                <w:sz w:val="14"/>
                <w:szCs w:val="14"/>
                <w:b w:val="1"/>
                <w:bCs w:val="1"/>
                <w:color w:val="auto"/>
                <w:w w:val="95"/>
              </w:rPr>
              <w:t>1590 REED ROAD</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tcPr>
          <w:p>
            <w:pPr>
              <w:jc w:val="center"/>
              <w:ind w:left="671"/>
              <w:spacing w:after="0"/>
              <w:rPr>
                <w:sz w:val="20"/>
                <w:szCs w:val="20"/>
                <w:color w:val="auto"/>
              </w:rPr>
            </w:pPr>
            <w:r>
              <w:rPr>
                <w:rFonts w:ascii="Arial" w:cs="Arial" w:eastAsia="Arial" w:hAnsi="Arial"/>
                <w:sz w:val="14"/>
                <w:szCs w:val="14"/>
                <w:b w:val="1"/>
                <w:bCs w:val="1"/>
                <w:color w:val="auto"/>
                <w:w w:val="96"/>
              </w:rPr>
              <w:t>PENNINGTON, NJ 08534</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20" w:type="dxa"/>
            <w:vAlign w:val="bottom"/>
            <w:gridSpan w:val="2"/>
          </w:tcPr>
          <w:p>
            <w:pPr>
              <w:jc w:val="center"/>
              <w:ind w:right="2011"/>
              <w:spacing w:after="0"/>
              <w:rPr>
                <w:sz w:val="20"/>
                <w:szCs w:val="20"/>
                <w:color w:val="auto"/>
              </w:rPr>
            </w:pPr>
            <w:r>
              <w:rPr>
                <w:rFonts w:ascii="Arial" w:cs="Arial" w:eastAsia="Arial" w:hAnsi="Arial"/>
                <w:sz w:val="14"/>
                <w:szCs w:val="14"/>
                <w:i w:val="1"/>
                <w:iCs w:val="1"/>
                <w:color w:val="auto"/>
                <w:w w:val="90"/>
              </w:rPr>
              <w:t>(Address of principal executive offices, including zip code)</w:t>
            </w: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20" w:type="dxa"/>
            <w:vAlign w:val="bottom"/>
            <w:gridSpan w:val="2"/>
          </w:tcPr>
          <w:p>
            <w:pPr>
              <w:jc w:val="center"/>
              <w:ind w:right="2031"/>
              <w:spacing w:after="0"/>
              <w:rPr>
                <w:sz w:val="20"/>
                <w:szCs w:val="20"/>
                <w:color w:val="auto"/>
              </w:rPr>
            </w:pPr>
            <w:r>
              <w:rPr>
                <w:rFonts w:ascii="Arial" w:cs="Arial" w:eastAsia="Arial" w:hAnsi="Arial"/>
                <w:sz w:val="14"/>
                <w:szCs w:val="14"/>
                <w:b w:val="1"/>
                <w:bCs w:val="1"/>
                <w:color w:val="auto"/>
                <w:w w:val="88"/>
              </w:rPr>
              <w:t>Registrant's telephone number, including area code: (609) 730-0400</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20" w:type="dxa"/>
            <w:vAlign w:val="bottom"/>
            <w:gridSpan w:val="2"/>
          </w:tcPr>
          <w:p>
            <w:pPr>
              <w:jc w:val="center"/>
              <w:ind w:right="2031"/>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332"/>
        </w:trPr>
        <w:tc>
          <w:tcPr>
            <w:tcW w:w="3500" w:type="dxa"/>
            <w:vAlign w:val="bottom"/>
          </w:tcPr>
          <w:p>
            <w:pPr>
              <w:jc w:val="center"/>
              <w:ind w:left="2171"/>
              <w:spacing w:after="0"/>
              <w:rPr>
                <w:sz w:val="20"/>
                <w:szCs w:val="20"/>
                <w:color w:val="auto"/>
              </w:rPr>
            </w:pPr>
            <w:r>
              <w:rPr>
                <w:rFonts w:ascii="Arial" w:cs="Arial" w:eastAsia="Arial" w:hAnsi="Arial"/>
                <w:sz w:val="14"/>
                <w:szCs w:val="14"/>
                <w:b w:val="1"/>
                <w:bCs w:val="1"/>
                <w:color w:val="auto"/>
                <w:w w:val="88"/>
              </w:rPr>
              <w:t>Title of Each Class</w:t>
            </w:r>
          </w:p>
        </w:tc>
        <w:tc>
          <w:tcPr>
            <w:tcW w:w="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20" w:type="dxa"/>
            <w:vAlign w:val="bottom"/>
          </w:tcPr>
          <w:p>
            <w:pPr>
              <w:jc w:val="center"/>
              <w:ind w:left="371"/>
              <w:spacing w:after="0"/>
              <w:rPr>
                <w:sz w:val="20"/>
                <w:szCs w:val="20"/>
                <w:color w:val="auto"/>
              </w:rPr>
            </w:pPr>
            <w:r>
              <w:rPr>
                <w:rFonts w:ascii="Arial" w:cs="Arial" w:eastAsia="Arial" w:hAnsi="Arial"/>
                <w:sz w:val="14"/>
                <w:szCs w:val="14"/>
                <w:b w:val="1"/>
                <w:bCs w:val="1"/>
                <w:color w:val="auto"/>
                <w:w w:val="88"/>
              </w:rPr>
              <w:t>Name of Exchange on Which Registered</w:t>
            </w:r>
          </w:p>
        </w:tc>
        <w:tc>
          <w:tcPr>
            <w:tcW w:w="0" w:type="dxa"/>
            <w:vAlign w:val="bottom"/>
          </w:tcPr>
          <w:p>
            <w:pPr>
              <w:spacing w:after="0"/>
              <w:rPr>
                <w:sz w:val="1"/>
                <w:szCs w:val="1"/>
                <w:color w:val="auto"/>
              </w:rPr>
            </w:pPr>
          </w:p>
        </w:tc>
      </w:tr>
      <w:tr>
        <w:trPr>
          <w:trHeight w:val="332"/>
        </w:trPr>
        <w:tc>
          <w:tcPr>
            <w:tcW w:w="7020" w:type="dxa"/>
            <w:vAlign w:val="bottom"/>
            <w:gridSpan w:val="3"/>
          </w:tcPr>
          <w:p>
            <w:pPr>
              <w:jc w:val="center"/>
              <w:ind w:right="1211"/>
              <w:spacing w:after="0"/>
              <w:rPr>
                <w:sz w:val="20"/>
                <w:szCs w:val="20"/>
                <w:color w:val="auto"/>
              </w:rPr>
            </w:pPr>
            <w:r>
              <w:rPr>
                <w:rFonts w:ascii="Arial" w:cs="Arial" w:eastAsia="Arial" w:hAnsi="Arial"/>
                <w:sz w:val="14"/>
                <w:szCs w:val="14"/>
                <w:color w:val="auto"/>
                <w:w w:val="89"/>
              </w:rPr>
              <w:t>Common Stock, par value $0.001</w:t>
            </w:r>
          </w:p>
        </w:tc>
        <w:tc>
          <w:tcPr>
            <w:tcW w:w="2820" w:type="dxa"/>
            <w:vAlign w:val="bottom"/>
          </w:tcPr>
          <w:p>
            <w:pPr>
              <w:jc w:val="center"/>
              <w:ind w:left="371"/>
              <w:spacing w:after="0"/>
              <w:rPr>
                <w:sz w:val="20"/>
                <w:szCs w:val="20"/>
                <w:color w:val="auto"/>
              </w:rPr>
            </w:pPr>
            <w:r>
              <w:rPr>
                <w:rFonts w:ascii="Arial" w:cs="Arial" w:eastAsia="Arial" w:hAnsi="Arial"/>
                <w:sz w:val="14"/>
                <w:szCs w:val="14"/>
                <w:color w:val="auto"/>
                <w:w w:val="89"/>
              </w:rPr>
              <w:t>The Nasdaq Global Market</w:t>
            </w:r>
          </w:p>
        </w:tc>
        <w:tc>
          <w:tcPr>
            <w:tcW w:w="0" w:type="dxa"/>
            <w:vAlign w:val="bottom"/>
          </w:tcPr>
          <w:p>
            <w:pPr>
              <w:spacing w:after="0"/>
              <w:rPr>
                <w:sz w:val="1"/>
                <w:szCs w:val="1"/>
                <w:color w:val="auto"/>
              </w:rPr>
            </w:pPr>
          </w:p>
        </w:tc>
      </w:tr>
      <w:tr>
        <w:trPr>
          <w:trHeight w:val="319"/>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20" w:type="dxa"/>
            <w:vAlign w:val="bottom"/>
            <w:gridSpan w:val="2"/>
          </w:tcPr>
          <w:p>
            <w:pPr>
              <w:jc w:val="center"/>
              <w:ind w:right="2031"/>
              <w:spacing w:after="0"/>
              <w:rPr>
                <w:sz w:val="20"/>
                <w:szCs w:val="20"/>
                <w:color w:val="auto"/>
              </w:rPr>
            </w:pPr>
            <w:r>
              <w:rPr>
                <w:rFonts w:ascii="Arial" w:cs="Arial" w:eastAsia="Arial" w:hAnsi="Arial"/>
                <w:sz w:val="14"/>
                <w:szCs w:val="14"/>
                <w:b w:val="1"/>
                <w:bCs w:val="1"/>
                <w:color w:val="auto"/>
                <w:w w:val="87"/>
              </w:rPr>
              <w:t>Securities registered pursuant to Section 12(g) of the Act:</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00" w:type="dxa"/>
            <w:vAlign w:val="bottom"/>
          </w:tcPr>
          <w:p>
            <w:pPr>
              <w:jc w:val="center"/>
              <w:ind w:left="651"/>
              <w:spacing w:after="0"/>
              <w:rPr>
                <w:sz w:val="20"/>
                <w:szCs w:val="20"/>
                <w:color w:val="auto"/>
              </w:rPr>
            </w:pPr>
            <w:r>
              <w:rPr>
                <w:rFonts w:ascii="Arial" w:cs="Arial" w:eastAsia="Arial" w:hAnsi="Arial"/>
                <w:sz w:val="14"/>
                <w:szCs w:val="14"/>
                <w:b w:val="1"/>
                <w:bCs w:val="1"/>
                <w:color w:val="auto"/>
                <w:w w:val="85"/>
              </w:rPr>
              <w:t>None</w:t>
            </w:r>
          </w:p>
        </w:tc>
        <w:tc>
          <w:tcPr>
            <w:tcW w:w="2820" w:type="dxa"/>
            <w:vAlign w:val="bottom"/>
            <w:vMerge w:val="restart"/>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2"/>
        </w:trPr>
        <w:tc>
          <w:tcPr>
            <w:tcW w:w="7020" w:type="dxa"/>
            <w:vAlign w:val="bottom"/>
            <w:gridSpan w:val="3"/>
          </w:tcPr>
          <w:p>
            <w:pPr>
              <w:spacing w:after="0"/>
              <w:rPr>
                <w:sz w:val="20"/>
                <w:szCs w:val="20"/>
                <w:color w:val="auto"/>
              </w:rPr>
            </w:pPr>
            <w:r>
              <w:rPr>
                <w:rFonts w:ascii="Arial" w:cs="Arial" w:eastAsia="Arial" w:hAnsi="Arial"/>
                <w:sz w:val="14"/>
                <w:szCs w:val="14"/>
                <w:color w:val="auto"/>
                <w:w w:val="91"/>
              </w:rPr>
              <w:t>Indicate by check mark if the registrant is a well-known seasoned issuer, as defined in Rule 405 of the Securities Act. Yes o</w:t>
            </w: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7020" w:type="dxa"/>
            <w:vAlign w:val="bottom"/>
            <w:gridSpan w:val="3"/>
          </w:tcPr>
          <w:p>
            <w:pPr>
              <w:spacing w:after="0"/>
              <w:rPr>
                <w:sz w:val="20"/>
                <w:szCs w:val="20"/>
                <w:color w:val="auto"/>
              </w:rPr>
            </w:pPr>
            <w:r>
              <w:rPr>
                <w:rFonts w:ascii="Arial" w:cs="Arial" w:eastAsia="Arial" w:hAnsi="Arial"/>
                <w:sz w:val="14"/>
                <w:szCs w:val="14"/>
                <w:color w:val="auto"/>
                <w:w w:val="90"/>
              </w:rPr>
              <w:t>Indicate by check mark if the registrant is not required to file reports pursuant to Section 13 or Section 15(d) of the Act. Yes o</w:t>
            </w:r>
          </w:p>
        </w:tc>
        <w:tc>
          <w:tcPr>
            <w:tcW w:w="282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3077845</wp:posOffset>
            </wp:positionH>
            <wp:positionV relativeFrom="paragraph">
              <wp:posOffset>-2188845</wp:posOffset>
            </wp:positionV>
            <wp:extent cx="1132840" cy="236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840" cy="236855"/>
                    </a:xfrm>
                    <a:prstGeom prst="rect">
                      <a:avLst/>
                    </a:prstGeom>
                    <a:noFill/>
                  </pic:spPr>
                </pic:pic>
              </a:graphicData>
            </a:graphic>
          </wp:anchor>
        </w:drawing>
      </w:r>
    </w:p>
    <w:p>
      <w:pPr>
        <w:spacing w:after="0" w:line="162" w:lineRule="exact"/>
        <w:rPr>
          <w:sz w:val="24"/>
          <w:szCs w:val="24"/>
          <w:color w:val="auto"/>
        </w:rPr>
      </w:pPr>
    </w:p>
    <w:p>
      <w:pPr>
        <w:ind w:right="16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3" w:lineRule="exact"/>
        <w:rPr>
          <w:sz w:val="24"/>
          <w:szCs w:val="24"/>
          <w:color w:val="auto"/>
        </w:rPr>
      </w:pPr>
    </w:p>
    <w:p>
      <w:pPr>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3" w:lineRule="exact"/>
        <w:rPr>
          <w:sz w:val="24"/>
          <w:szCs w:val="24"/>
          <w:color w:val="auto"/>
        </w:rPr>
      </w:pPr>
    </w:p>
    <w:p>
      <w:pPr>
        <w:ind w:right="60"/>
        <w:spacing w:after="0" w:line="179"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pacing w:after="0" w:line="147" w:lineRule="exact"/>
        <w:rPr>
          <w:sz w:val="24"/>
          <w:szCs w:val="24"/>
          <w:color w:val="auto"/>
        </w:rPr>
      </w:pPr>
    </w:p>
    <w:p>
      <w:pPr>
        <w:spacing w:after="0" w:line="161" w:lineRule="exact"/>
        <w:tabs>
          <w:tab w:leader="none" w:pos="3760" w:val="left"/>
          <w:tab w:leader="none" w:pos="6500" w:val="left"/>
          <w:tab w:leader="none" w:pos="978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 not check if a smaller reporting company)</w:t>
      </w:r>
    </w:p>
    <w:p>
      <w:pPr>
        <w:spacing w:after="0" w:line="175" w:lineRule="exact"/>
        <w:rPr>
          <w:sz w:val="24"/>
          <w:szCs w:val="24"/>
          <w:color w:val="auto"/>
        </w:rPr>
      </w:pPr>
    </w:p>
    <w:p>
      <w:pPr>
        <w:spacing w:after="0" w:line="150" w:lineRule="exact"/>
        <w:tabs>
          <w:tab w:leader="none" w:pos="68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tab/>
        <w:t xml:space="preserve">No </w:t>
      </w:r>
      <w:r>
        <w:rPr>
          <w:rFonts w:ascii="MS PGothic" w:cs="MS PGothic" w:eastAsia="MS PGothic" w:hAnsi="MS PGothic"/>
          <w:sz w:val="13"/>
          <w:szCs w:val="13"/>
          <w:color w:val="auto"/>
        </w:rPr>
        <w:t>☑</w:t>
      </w:r>
    </w:p>
    <w:p>
      <w:pPr>
        <w:spacing w:after="0" w:line="249" w:lineRule="exact"/>
        <w:rPr>
          <w:sz w:val="24"/>
          <w:szCs w:val="24"/>
          <w:color w:val="auto"/>
        </w:rPr>
      </w:pPr>
    </w:p>
    <w:p>
      <w:pPr>
        <w:ind w:right="260"/>
        <w:spacing w:after="0" w:line="268" w:lineRule="auto"/>
        <w:rPr>
          <w:sz w:val="20"/>
          <w:szCs w:val="20"/>
          <w:color w:val="auto"/>
        </w:rPr>
      </w:pPr>
      <w:r>
        <w:rPr>
          <w:rFonts w:ascii="Arial" w:cs="Arial" w:eastAsia="Arial" w:hAnsi="Arial"/>
          <w:sz w:val="14"/>
          <w:szCs w:val="14"/>
          <w:color w:val="auto"/>
        </w:rPr>
        <w:t>The aggregate market value of the common stock of the registrant held by non-affiliates as of October 31, 2011, the last business day of the registrant's most recently completed second fiscal quarter, was $37.1 million based on the closing sale price of the registrant's common stock on that date as reported on the Nasdaq Global Market.</w:t>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as of June 30, 2012 was 10,382,060.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5800" w:type="dxa"/>
            <w:vAlign w:val="bottom"/>
          </w:tcPr>
          <w:p>
            <w:pPr>
              <w:ind w:left="2560"/>
              <w:spacing w:after="0"/>
              <w:rPr>
                <w:sz w:val="20"/>
                <w:szCs w:val="20"/>
                <w:color w:val="auto"/>
              </w:rPr>
            </w:pPr>
            <w:r>
              <w:rPr>
                <w:rFonts w:ascii="Arial" w:cs="Arial" w:eastAsia="Arial" w:hAnsi="Arial"/>
                <w:sz w:val="14"/>
                <w:szCs w:val="14"/>
                <w:b w:val="1"/>
                <w:bCs w:val="1"/>
                <w:color w:val="auto"/>
              </w:rPr>
              <w:t>Document</w:t>
            </w:r>
          </w:p>
        </w:tc>
        <w:tc>
          <w:tcPr>
            <w:tcW w:w="5660" w:type="dxa"/>
            <w:vAlign w:val="bottom"/>
          </w:tcPr>
          <w:p>
            <w:pPr>
              <w:jc w:val="center"/>
              <w:spacing w:after="0"/>
              <w:rPr>
                <w:sz w:val="20"/>
                <w:szCs w:val="20"/>
                <w:color w:val="auto"/>
              </w:rPr>
            </w:pPr>
            <w:r>
              <w:rPr>
                <w:rFonts w:ascii="Arial" w:cs="Arial" w:eastAsia="Arial" w:hAnsi="Arial"/>
                <w:sz w:val="14"/>
                <w:szCs w:val="14"/>
                <w:b w:val="1"/>
                <w:bCs w:val="1"/>
                <w:color w:val="auto"/>
                <w:w w:val="91"/>
              </w:rPr>
              <w:t>Part of the Form 10-K into Which Incorporated</w:t>
            </w:r>
          </w:p>
        </w:tc>
      </w:tr>
      <w:tr>
        <w:trPr>
          <w:trHeight w:val="332"/>
        </w:trPr>
        <w:tc>
          <w:tcPr>
            <w:tcW w:w="5800" w:type="dxa"/>
            <w:vAlign w:val="bottom"/>
          </w:tcPr>
          <w:p>
            <w:pPr>
              <w:ind w:left="260"/>
              <w:spacing w:after="0"/>
              <w:rPr>
                <w:sz w:val="20"/>
                <w:szCs w:val="20"/>
                <w:color w:val="auto"/>
              </w:rPr>
            </w:pPr>
            <w:r>
              <w:rPr>
                <w:rFonts w:ascii="Arial" w:cs="Arial" w:eastAsia="Arial" w:hAnsi="Arial"/>
                <w:sz w:val="14"/>
                <w:szCs w:val="14"/>
                <w:color w:val="auto"/>
              </w:rPr>
              <w:t>Proxy Statement for the registrant's 2012 Annual Meeting of Stockholders</w:t>
            </w:r>
          </w:p>
        </w:tc>
        <w:tc>
          <w:tcPr>
            <w:tcW w:w="5660" w:type="dxa"/>
            <w:vAlign w:val="bottom"/>
          </w:tcPr>
          <w:p>
            <w:pPr>
              <w:jc w:val="center"/>
              <w:spacing w:after="0"/>
              <w:rPr>
                <w:sz w:val="20"/>
                <w:szCs w:val="20"/>
                <w:color w:val="auto"/>
              </w:rPr>
            </w:pPr>
            <w:r>
              <w:rPr>
                <w:rFonts w:ascii="Arial" w:cs="Arial" w:eastAsia="Arial" w:hAnsi="Arial"/>
                <w:sz w:val="14"/>
                <w:szCs w:val="14"/>
                <w:color w:val="auto"/>
              </w:rPr>
              <w:t>III</w:t>
            </w:r>
          </w:p>
        </w:tc>
      </w:tr>
      <w:tr>
        <w:trPr>
          <w:trHeight w:val="360"/>
        </w:trPr>
        <w:tc>
          <w:tcPr>
            <w:tcW w:w="580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212"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940" w:type="dxa"/>
            <w:vAlign w:val="bottom"/>
          </w:tcPr>
          <w:p>
            <w:pPr>
              <w:spacing w:after="0"/>
              <w:rPr>
                <w:sz w:val="14"/>
                <w:szCs w:val="14"/>
                <w:color w:val="auto"/>
              </w:rPr>
            </w:pPr>
          </w:p>
        </w:tc>
        <w:tc>
          <w:tcPr>
            <w:tcW w:w="9500" w:type="dxa"/>
            <w:vAlign w:val="bottom"/>
          </w:tcPr>
          <w:p>
            <w:pPr>
              <w:jc w:val="center"/>
              <w:ind w:left="11"/>
              <w:spacing w:after="0"/>
              <w:rPr>
                <w:sz w:val="20"/>
                <w:szCs w:val="20"/>
                <w:color w:val="auto"/>
              </w:rPr>
            </w:pPr>
            <w:r>
              <w:rPr>
                <w:rFonts w:ascii="Arial" w:cs="Arial" w:eastAsia="Arial" w:hAnsi="Arial"/>
                <w:sz w:val="14"/>
                <w:szCs w:val="14"/>
                <w:b w:val="1"/>
                <w:bCs w:val="1"/>
                <w:color w:val="auto"/>
                <w:w w:val="98"/>
              </w:rPr>
              <w:t>OCEAN POWER</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9"/>
        </w:trPr>
        <w:tc>
          <w:tcPr>
            <w:tcW w:w="940" w:type="dxa"/>
            <w:vAlign w:val="bottom"/>
          </w:tcPr>
          <w:p>
            <w:pPr>
              <w:spacing w:after="0"/>
              <w:rPr>
                <w:sz w:val="15"/>
                <w:szCs w:val="15"/>
                <w:color w:val="auto"/>
              </w:rPr>
            </w:pPr>
          </w:p>
        </w:tc>
        <w:tc>
          <w:tcPr>
            <w:tcW w:w="9500" w:type="dxa"/>
            <w:vAlign w:val="bottom"/>
          </w:tcPr>
          <w:p>
            <w:pPr>
              <w:jc w:val="center"/>
              <w:ind w:left="31"/>
              <w:spacing w:after="0"/>
              <w:rPr>
                <w:sz w:val="20"/>
                <w:szCs w:val="20"/>
                <w:color w:val="auto"/>
              </w:rPr>
            </w:pPr>
            <w:r>
              <w:rPr>
                <w:rFonts w:ascii="Arial" w:cs="Arial" w:eastAsia="Arial" w:hAnsi="Arial"/>
                <w:sz w:val="14"/>
                <w:szCs w:val="14"/>
                <w:b w:val="1"/>
                <w:bCs w:val="1"/>
                <w:color w:val="auto"/>
              </w:rPr>
              <w:t>TECHNOLOGIES, INC.</w:t>
            </w: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84"/>
        </w:trPr>
        <w:tc>
          <w:tcPr>
            <w:tcW w:w="940" w:type="dxa"/>
            <w:vAlign w:val="bottom"/>
          </w:tcPr>
          <w:p>
            <w:pPr>
              <w:spacing w:after="0"/>
              <w:rPr>
                <w:sz w:val="24"/>
                <w:szCs w:val="24"/>
                <w:color w:val="auto"/>
              </w:rPr>
            </w:pPr>
          </w:p>
        </w:tc>
        <w:tc>
          <w:tcPr>
            <w:tcW w:w="9500" w:type="dxa"/>
            <w:vAlign w:val="bottom"/>
          </w:tcPr>
          <w:p>
            <w:pPr>
              <w:jc w:val="center"/>
              <w:ind w:left="11"/>
              <w:spacing w:after="0"/>
              <w:rPr>
                <w:sz w:val="20"/>
                <w:szCs w:val="20"/>
                <w:color w:val="auto"/>
              </w:rPr>
            </w:pPr>
            <w:r>
              <w:rPr>
                <w:rFonts w:ascii="Arial" w:cs="Arial" w:eastAsia="Arial" w:hAnsi="Arial"/>
                <w:sz w:val="14"/>
                <w:szCs w:val="14"/>
                <w:b w:val="1"/>
                <w:bCs w:val="1"/>
                <w:color w:val="auto"/>
                <w:w w:val="98"/>
              </w:rPr>
              <w:t>INDEX TO REPORT ON FORM 10-K</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93"/>
        </w:trPr>
        <w:tc>
          <w:tcPr>
            <w:tcW w:w="9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r>
      <w:tr>
        <w:trPr>
          <w:trHeight w:val="331"/>
        </w:trPr>
        <w:tc>
          <w:tcPr>
            <w:tcW w:w="940" w:type="dxa"/>
            <w:vAlign w:val="bottom"/>
          </w:tcPr>
          <w:p>
            <w:pPr>
              <w:spacing w:after="0"/>
              <w:rPr>
                <w:sz w:val="24"/>
                <w:szCs w:val="24"/>
                <w:color w:val="auto"/>
              </w:rPr>
            </w:pPr>
          </w:p>
        </w:tc>
        <w:tc>
          <w:tcPr>
            <w:tcW w:w="9500" w:type="dxa"/>
            <w:vAlign w:val="bottom"/>
          </w:tcPr>
          <w:p>
            <w:pPr>
              <w:jc w:val="center"/>
              <w:ind w:right="411"/>
              <w:spacing w:after="0"/>
              <w:rPr>
                <w:sz w:val="20"/>
                <w:szCs w:val="20"/>
                <w:color w:val="auto"/>
              </w:rPr>
            </w:pPr>
            <w:r>
              <w:rPr>
                <w:rFonts w:ascii="Arial" w:cs="Arial" w:eastAsia="Arial" w:hAnsi="Arial"/>
                <w:sz w:val="14"/>
                <w:szCs w:val="14"/>
                <w:b w:val="1"/>
                <w:bCs w:val="1"/>
                <w:color w:val="auto"/>
              </w:rPr>
              <w:t>PART I</w:t>
            </w:r>
          </w:p>
        </w:tc>
        <w:tc>
          <w:tcPr>
            <w:tcW w:w="4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1:</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Business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1A:</w:t>
            </w:r>
          </w:p>
        </w:tc>
        <w:tc>
          <w:tcPr>
            <w:tcW w:w="9500" w:type="dxa"/>
            <w:vAlign w:val="bottom"/>
          </w:tcPr>
          <w:p>
            <w:pPr>
              <w:ind w:left="460"/>
              <w:spacing w:after="0"/>
              <w:rPr>
                <w:sz w:val="20"/>
                <w:szCs w:val="20"/>
                <w:color w:val="auto"/>
              </w:rPr>
            </w:pPr>
            <w:r>
              <w:rPr>
                <w:rFonts w:ascii="Arial" w:cs="Arial" w:eastAsia="Arial" w:hAnsi="Arial"/>
                <w:sz w:val="14"/>
                <w:szCs w:val="14"/>
                <w:color w:val="auto"/>
              </w:rPr>
              <w:t>Risk Factors</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19</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1B:</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Unresolved Staff Comments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2:</w:t>
            </w:r>
          </w:p>
        </w:tc>
        <w:tc>
          <w:tcPr>
            <w:tcW w:w="9500" w:type="dxa"/>
            <w:vAlign w:val="bottom"/>
          </w:tcPr>
          <w:p>
            <w:pPr>
              <w:ind w:left="460"/>
              <w:spacing w:after="0"/>
              <w:rPr>
                <w:sz w:val="20"/>
                <w:szCs w:val="20"/>
                <w:color w:val="auto"/>
              </w:rPr>
            </w:pPr>
            <w:r>
              <w:rPr>
                <w:rFonts w:ascii="Arial" w:cs="Arial" w:eastAsia="Arial" w:hAnsi="Arial"/>
                <w:sz w:val="14"/>
                <w:szCs w:val="14"/>
                <w:color w:val="auto"/>
              </w:rPr>
              <w:t>Properties</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30</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3:</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Legal Proceedings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4:</w:t>
            </w:r>
          </w:p>
        </w:tc>
        <w:tc>
          <w:tcPr>
            <w:tcW w:w="9500" w:type="dxa"/>
            <w:vAlign w:val="bottom"/>
          </w:tcPr>
          <w:p>
            <w:pPr>
              <w:ind w:left="460"/>
              <w:spacing w:after="0"/>
              <w:rPr>
                <w:sz w:val="20"/>
                <w:szCs w:val="20"/>
                <w:color w:val="auto"/>
              </w:rPr>
            </w:pPr>
            <w:r>
              <w:rPr>
                <w:rFonts w:ascii="Arial" w:cs="Arial" w:eastAsia="Arial" w:hAnsi="Arial"/>
                <w:sz w:val="14"/>
                <w:szCs w:val="14"/>
                <w:color w:val="auto"/>
              </w:rPr>
              <w:t>(Removed and Reserved)</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30</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14"/>
                <w:szCs w:val="14"/>
                <w:color w:val="auto"/>
              </w:rPr>
            </w:pPr>
          </w:p>
        </w:tc>
        <w:tc>
          <w:tcPr>
            <w:tcW w:w="9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14"/>
                <w:szCs w:val="14"/>
                <w:color w:val="auto"/>
              </w:rPr>
            </w:pPr>
          </w:p>
        </w:tc>
        <w:tc>
          <w:tcPr>
            <w:tcW w:w="9500" w:type="dxa"/>
            <w:vAlign w:val="bottom"/>
          </w:tcPr>
          <w:p>
            <w:pPr>
              <w:jc w:val="center"/>
              <w:ind w:right="411"/>
              <w:spacing w:after="0"/>
              <w:rPr>
                <w:sz w:val="20"/>
                <w:szCs w:val="20"/>
                <w:color w:val="auto"/>
              </w:rPr>
            </w:pPr>
            <w:r>
              <w:rPr>
                <w:rFonts w:ascii="Arial" w:cs="Arial" w:eastAsia="Arial" w:hAnsi="Arial"/>
                <w:sz w:val="14"/>
                <w:szCs w:val="14"/>
                <w:b w:val="1"/>
                <w:bCs w:val="1"/>
                <w:color w:val="auto"/>
              </w:rPr>
              <w:t>PART II</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5:</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Market for Registrant's Common Equity, Related Stockholder Matters and Issuer Purchases of Equity Securities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6:</w:t>
            </w:r>
          </w:p>
        </w:tc>
        <w:tc>
          <w:tcPr>
            <w:tcW w:w="9500" w:type="dxa"/>
            <w:vAlign w:val="bottom"/>
          </w:tcPr>
          <w:p>
            <w:pPr>
              <w:ind w:left="460"/>
              <w:spacing w:after="0"/>
              <w:rPr>
                <w:sz w:val="20"/>
                <w:szCs w:val="20"/>
                <w:color w:val="auto"/>
              </w:rPr>
            </w:pPr>
            <w:r>
              <w:rPr>
                <w:rFonts w:ascii="Arial" w:cs="Arial" w:eastAsia="Arial" w:hAnsi="Arial"/>
                <w:sz w:val="14"/>
                <w:szCs w:val="14"/>
                <w:color w:val="auto"/>
              </w:rPr>
              <w:t>Selected Financial Data</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7:</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32</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7A:</w:t>
            </w:r>
          </w:p>
        </w:tc>
        <w:tc>
          <w:tcPr>
            <w:tcW w:w="9500" w:type="dxa"/>
            <w:vAlign w:val="bottom"/>
          </w:tcPr>
          <w:p>
            <w:pPr>
              <w:ind w:left="460"/>
              <w:spacing w:after="0"/>
              <w:rPr>
                <w:sz w:val="20"/>
                <w:szCs w:val="20"/>
                <w:color w:val="auto"/>
              </w:rPr>
            </w:pPr>
            <w:r>
              <w:rPr>
                <w:rFonts w:ascii="Arial" w:cs="Arial" w:eastAsia="Arial" w:hAnsi="Arial"/>
                <w:sz w:val="14"/>
                <w:szCs w:val="14"/>
                <w:color w:val="auto"/>
              </w:rPr>
              <w:t>Quantitative and Qualitative Disclosures About Market Risk</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42</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8:</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Financial Statements and Supplementary Data</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9:</w:t>
            </w:r>
          </w:p>
        </w:tc>
        <w:tc>
          <w:tcPr>
            <w:tcW w:w="9500" w:type="dxa"/>
            <w:vAlign w:val="bottom"/>
          </w:tcPr>
          <w:p>
            <w:pPr>
              <w:ind w:left="46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42</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9A:</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Controls and Procedures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42</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9B:</w:t>
            </w:r>
          </w:p>
        </w:tc>
        <w:tc>
          <w:tcPr>
            <w:tcW w:w="9500" w:type="dxa"/>
            <w:vAlign w:val="bottom"/>
          </w:tcPr>
          <w:p>
            <w:pPr>
              <w:ind w:left="460"/>
              <w:spacing w:after="0"/>
              <w:rPr>
                <w:sz w:val="20"/>
                <w:szCs w:val="20"/>
                <w:color w:val="auto"/>
              </w:rPr>
            </w:pPr>
            <w:r>
              <w:rPr>
                <w:rFonts w:ascii="Arial" w:cs="Arial" w:eastAsia="Arial" w:hAnsi="Arial"/>
                <w:sz w:val="14"/>
                <w:szCs w:val="14"/>
                <w:color w:val="auto"/>
              </w:rPr>
              <w:t>Other Information</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42</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14"/>
                <w:szCs w:val="14"/>
                <w:color w:val="auto"/>
              </w:rPr>
            </w:pPr>
          </w:p>
        </w:tc>
        <w:tc>
          <w:tcPr>
            <w:tcW w:w="9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14"/>
                <w:szCs w:val="14"/>
                <w:color w:val="auto"/>
              </w:rPr>
            </w:pPr>
          </w:p>
        </w:tc>
        <w:tc>
          <w:tcPr>
            <w:tcW w:w="9500" w:type="dxa"/>
            <w:vAlign w:val="bottom"/>
          </w:tcPr>
          <w:p>
            <w:pPr>
              <w:jc w:val="center"/>
              <w:ind w:right="411"/>
              <w:spacing w:after="0"/>
              <w:rPr>
                <w:sz w:val="20"/>
                <w:szCs w:val="20"/>
                <w:color w:val="auto"/>
              </w:rPr>
            </w:pPr>
            <w:r>
              <w:rPr>
                <w:rFonts w:ascii="Arial" w:cs="Arial" w:eastAsia="Arial" w:hAnsi="Arial"/>
                <w:sz w:val="14"/>
                <w:szCs w:val="14"/>
                <w:b w:val="1"/>
                <w:bCs w:val="1"/>
                <w:color w:val="auto"/>
              </w:rPr>
              <w:t>PART III</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10:</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Directors, Executive Officers and Corporate Governance</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11:</w:t>
            </w:r>
          </w:p>
        </w:tc>
        <w:tc>
          <w:tcPr>
            <w:tcW w:w="9500" w:type="dxa"/>
            <w:vAlign w:val="bottom"/>
          </w:tcPr>
          <w:p>
            <w:pPr>
              <w:ind w:left="460"/>
              <w:spacing w:after="0"/>
              <w:rPr>
                <w:sz w:val="20"/>
                <w:szCs w:val="20"/>
                <w:color w:val="auto"/>
              </w:rPr>
            </w:pPr>
            <w:r>
              <w:rPr>
                <w:rFonts w:ascii="Arial" w:cs="Arial" w:eastAsia="Arial" w:hAnsi="Arial"/>
                <w:sz w:val="14"/>
                <w:szCs w:val="14"/>
                <w:color w:val="auto"/>
              </w:rPr>
              <w:t>Executive Compensation</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43</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12:</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20"/>
                <w:szCs w:val="20"/>
                <w:color w:val="auto"/>
              </w:rPr>
            </w:pPr>
            <w:r>
              <w:rPr>
                <w:rFonts w:ascii="Arial" w:cs="Arial" w:eastAsia="Arial" w:hAnsi="Arial"/>
                <w:sz w:val="14"/>
                <w:szCs w:val="14"/>
                <w:color w:val="auto"/>
              </w:rPr>
              <w:t>Item 13:</w:t>
            </w:r>
          </w:p>
        </w:tc>
        <w:tc>
          <w:tcPr>
            <w:tcW w:w="9500" w:type="dxa"/>
            <w:vAlign w:val="bottom"/>
          </w:tcPr>
          <w:p>
            <w:pPr>
              <w:ind w:left="46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43</w:t>
            </w: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Item 14:</w:t>
            </w:r>
          </w:p>
        </w:tc>
        <w:tc>
          <w:tcPr>
            <w:tcW w:w="950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Principal Accountant Fees and Services</w:t>
            </w:r>
          </w:p>
        </w:tc>
        <w:tc>
          <w:tcPr>
            <w:tcW w:w="4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w:t>
            </w:r>
          </w:p>
        </w:tc>
        <w:tc>
          <w:tcPr>
            <w:tcW w:w="560" w:type="dxa"/>
            <w:vAlign w:val="bottom"/>
            <w:shd w:val="clear" w:color="auto" w:fill="CCEEFF"/>
          </w:tcPr>
          <w:p>
            <w:pPr>
              <w:spacing w:after="0"/>
              <w:rPr>
                <w:sz w:val="14"/>
                <w:szCs w:val="14"/>
                <w:color w:val="auto"/>
              </w:rPr>
            </w:pPr>
          </w:p>
        </w:tc>
      </w:tr>
      <w:tr>
        <w:trPr>
          <w:trHeight w:val="166"/>
        </w:trPr>
        <w:tc>
          <w:tcPr>
            <w:tcW w:w="94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940" w:type="dxa"/>
            <w:vAlign w:val="bottom"/>
            <w:shd w:val="clear" w:color="auto" w:fill="CCEEFF"/>
          </w:tcPr>
          <w:p>
            <w:pPr>
              <w:spacing w:after="0"/>
              <w:rPr>
                <w:sz w:val="14"/>
                <w:szCs w:val="14"/>
                <w:color w:val="auto"/>
              </w:rPr>
            </w:pPr>
          </w:p>
        </w:tc>
        <w:tc>
          <w:tcPr>
            <w:tcW w:w="9500" w:type="dxa"/>
            <w:vAlign w:val="bottom"/>
            <w:shd w:val="clear" w:color="auto" w:fill="CCEEFF"/>
          </w:tcPr>
          <w:p>
            <w:pPr>
              <w:jc w:val="center"/>
              <w:ind w:right="411"/>
              <w:spacing w:after="0"/>
              <w:rPr>
                <w:sz w:val="20"/>
                <w:szCs w:val="20"/>
                <w:color w:val="auto"/>
              </w:rPr>
            </w:pPr>
            <w:r>
              <w:rPr>
                <w:rFonts w:ascii="Arial" w:cs="Arial" w:eastAsia="Arial" w:hAnsi="Arial"/>
                <w:sz w:val="14"/>
                <w:szCs w:val="14"/>
                <w:b w:val="1"/>
                <w:bCs w:val="1"/>
                <w:color w:val="auto"/>
                <w:w w:val="97"/>
              </w:rPr>
              <w:t>PART IV</w:t>
            </w:r>
          </w:p>
        </w:tc>
        <w:tc>
          <w:tcPr>
            <w:tcW w:w="4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75"/>
        </w:trPr>
        <w:tc>
          <w:tcPr>
            <w:tcW w:w="940" w:type="dxa"/>
            <w:vAlign w:val="bottom"/>
          </w:tcPr>
          <w:p>
            <w:pPr>
              <w:spacing w:after="0"/>
              <w:rPr>
                <w:sz w:val="20"/>
                <w:szCs w:val="20"/>
                <w:color w:val="auto"/>
              </w:rPr>
            </w:pPr>
            <w:r>
              <w:rPr>
                <w:rFonts w:ascii="Arial" w:cs="Arial" w:eastAsia="Arial" w:hAnsi="Arial"/>
                <w:sz w:val="14"/>
                <w:szCs w:val="14"/>
                <w:color w:val="auto"/>
              </w:rPr>
              <w:t>Item 15:</w:t>
            </w:r>
          </w:p>
        </w:tc>
        <w:tc>
          <w:tcPr>
            <w:tcW w:w="9500" w:type="dxa"/>
            <w:vAlign w:val="bottom"/>
          </w:tcPr>
          <w:p>
            <w:pPr>
              <w:ind w:left="460"/>
              <w:spacing w:after="0"/>
              <w:rPr>
                <w:sz w:val="20"/>
                <w:szCs w:val="20"/>
                <w:color w:val="auto"/>
              </w:rPr>
            </w:pPr>
            <w:r>
              <w:rPr>
                <w:rFonts w:ascii="Arial" w:cs="Arial" w:eastAsia="Arial" w:hAnsi="Arial"/>
                <w:sz w:val="14"/>
                <w:szCs w:val="14"/>
                <w:color w:val="auto"/>
              </w:rPr>
              <w:t>Exhibits and Financial Statement Schedules</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43</w:t>
            </w:r>
          </w:p>
        </w:tc>
        <w:tc>
          <w:tcPr>
            <w:tcW w:w="560" w:type="dxa"/>
            <w:vAlign w:val="bottom"/>
          </w:tcPr>
          <w:p>
            <w:pPr>
              <w:spacing w:after="0"/>
              <w:rPr>
                <w:sz w:val="15"/>
                <w:szCs w:val="15"/>
                <w:color w:val="auto"/>
              </w:rPr>
            </w:pPr>
          </w:p>
        </w:tc>
      </w:tr>
    </w:tbl>
    <w:p>
      <w:pPr>
        <w:spacing w:after="0" w:line="394" w:lineRule="exact"/>
        <w:rPr>
          <w:sz w:val="20"/>
          <w:szCs w:val="20"/>
          <w:color w:val="auto"/>
        </w:rPr>
      </w:pPr>
    </w:p>
    <w:p>
      <w:pPr>
        <w:jc w:val="both"/>
        <w:ind w:firstLine="373"/>
        <w:spacing w:after="0" w:line="187" w:lineRule="auto"/>
        <w:rPr>
          <w:sz w:val="20"/>
          <w:szCs w:val="20"/>
          <w:color w:val="auto"/>
        </w:rPr>
      </w:pPr>
      <w:r>
        <w:rPr>
          <w:rFonts w:ascii="Arial" w:cs="Arial" w:eastAsia="Arial" w:hAnsi="Arial"/>
          <w:sz w:val="14"/>
          <w:szCs w:val="14"/>
          <w:color w:val="auto"/>
        </w:rPr>
        <w:t>PowerBuoy</w:t>
      </w:r>
      <w:r>
        <w:rPr>
          <w:rFonts w:ascii="Arial" w:cs="Arial" w:eastAsia="Arial" w:hAnsi="Arial"/>
          <w:sz w:val="19"/>
          <w:szCs w:val="19"/>
          <w:color w:val="auto"/>
          <w:vertAlign w:val="superscript"/>
        </w:rPr>
        <w:t>®</w:t>
      </w:r>
      <w:r>
        <w:rPr>
          <w:rFonts w:ascii="Arial" w:cs="Arial" w:eastAsia="Arial" w:hAnsi="Arial"/>
          <w:sz w:val="14"/>
          <w:szCs w:val="14"/>
          <w:color w:val="auto"/>
        </w:rPr>
        <w:t xml:space="preserve"> is a registered trademark of Ocean Power Technologies, Inc. The Ocean Power Technologies logo, CellBuoy</w:t>
      </w:r>
      <w:r>
        <w:rPr>
          <w:rFonts w:ascii="Arial" w:cs="Arial" w:eastAsia="Arial" w:hAnsi="Arial"/>
          <w:sz w:val="19"/>
          <w:szCs w:val="19"/>
          <w:color w:val="auto"/>
          <w:vertAlign w:val="superscript"/>
        </w:rPr>
        <w:t>®</w:t>
      </w:r>
      <w:r>
        <w:rPr>
          <w:rFonts w:ascii="Arial" w:cs="Arial" w:eastAsia="Arial" w:hAnsi="Arial"/>
          <w:sz w:val="14"/>
          <w:szCs w:val="14"/>
          <w:color w:val="auto"/>
        </w:rPr>
        <w:t>, Talk on Water</w:t>
      </w:r>
      <w:r>
        <w:rPr>
          <w:rFonts w:ascii="Arial" w:cs="Arial" w:eastAsia="Arial" w:hAnsi="Arial"/>
          <w:sz w:val="19"/>
          <w:szCs w:val="19"/>
          <w:color w:val="auto"/>
          <w:vertAlign w:val="superscript"/>
        </w:rPr>
        <w:t>®</w:t>
      </w:r>
      <w:r>
        <w:rPr>
          <w:rFonts w:ascii="Arial" w:cs="Arial" w:eastAsia="Arial" w:hAnsi="Arial"/>
          <w:sz w:val="14"/>
          <w:szCs w:val="14"/>
          <w:color w:val="auto"/>
        </w:rPr>
        <w:t>, Making Waves in Power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Powertower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are trademarks or service marks of Ocean Power Technologies, Inc. All other trademarks appearing in this annual report are the property of their respective holders.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216"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58"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260"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w:t>
      </w:r>
    </w:p>
    <w:p>
      <w:pPr>
        <w:spacing w:after="0" w:line="181"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16"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3"/>
          <w:szCs w:val="13"/>
          <w:color w:val="auto"/>
        </w:rPr>
        <w:t>We develop and are seeking to commercialize proprietary systems that generate electricity by harnessing the renewable energy of ocean waves. Our PowerBuoy</w:t>
      </w:r>
      <w:r>
        <w:rPr>
          <w:rFonts w:ascii="Arial" w:cs="Arial" w:eastAsia="Arial" w:hAnsi="Arial"/>
          <w:sz w:val="18"/>
          <w:szCs w:val="18"/>
          <w:color w:val="auto"/>
          <w:vertAlign w:val="superscript"/>
        </w:rPr>
        <w:t>®</w:t>
      </w:r>
      <w:r>
        <w:rPr>
          <w:rFonts w:ascii="Arial" w:cs="Arial" w:eastAsia="Arial" w:hAnsi="Arial"/>
          <w:sz w:val="13"/>
          <w:szCs w:val="13"/>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In addition, we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such revenues represent a greater portion of our total revenues. In addition, our goal in the future is that an increased portion of our revenues will be from the sale of products and maintenance services, as compared to revenue to support our product development efforts.</w:t>
      </w:r>
    </w:p>
    <w:p>
      <w:pPr>
        <w:spacing w:after="0" w:line="192"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Our PowerBuoy system is based on modular, ocean-going buoys, which we have been ocean testing for nearly fifteen years. The rising and falling of the waves moves the buoy-like structure creating mechanical energy that our proprietary technologies convert into electricity. We have tested and developed wave power generation and control technology using proven equipment and processes in novel applications and have deployed and maintained our systems in the ocean. The PowerBuoy technology has the unique, patented capability to electronically "tune" itself automatically as wave characteristics change. This enables the PowerBuoy to optimize its efficiency and resulting power output in dynamic ocean wave conditions. Our two PowerBuoy products are designed for the following applications:</w:t>
      </w:r>
    </w:p>
    <w:p>
      <w:pPr>
        <w:spacing w:after="0" w:line="324" w:lineRule="exact"/>
        <w:rPr>
          <w:sz w:val="20"/>
          <w:szCs w:val="20"/>
          <w:color w:val="auto"/>
        </w:rPr>
      </w:pPr>
    </w:p>
    <w:p>
      <w:pPr>
        <w:jc w:val="both"/>
        <w:ind w:left="720" w:hanging="240"/>
        <w:spacing w:after="0" w:line="271" w:lineRule="auto"/>
        <w:tabs>
          <w:tab w:leader="none" w:pos="72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utility PowerBuoy system is capable of supplying electricity to a local or regional electric power grid. Our wave power stations will be comprised of a single PowerBuoy system or an integrated array of PowerBuoy systems, plus the remaining components required to deliver electricity to a power grid. We intend to sell our utility PowerBuoy system to utilities and other electrical power producers seeking to add electricity generated by wave energy to their existing electricity supply. In July 2007, our PowerBuoy interface with the electrical utility power grid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utility scale PB150 structure and mooring system achieved independent certification from Lloyd’s Register. This certification confirms that the PB150 design complies with certain international standards promulgated for floating offshore installations. The Lloyd’s Register process included detailed design analysis and appraisals, addressing the PB150’s structure, hydrodynamics, mooring and anchoring. This PowerBuoy was deployed off the coast of Scotland from April 2011 through October 2011. We are currently seeking a commercial partner or customer for this buoy.</w:t>
      </w:r>
    </w:p>
    <w:p>
      <w:pPr>
        <w:spacing w:after="0" w:line="137" w:lineRule="exact"/>
        <w:rPr>
          <w:rFonts w:ascii="Arial" w:cs="Arial" w:eastAsia="Arial" w:hAnsi="Arial"/>
          <w:sz w:val="13"/>
          <w:szCs w:val="13"/>
          <w:color w:val="auto"/>
        </w:rPr>
      </w:pPr>
    </w:p>
    <w:p>
      <w:pPr>
        <w:jc w:val="both"/>
        <w:ind w:left="720" w:hanging="240"/>
        <w:spacing w:after="0" w:line="301" w:lineRule="auto"/>
        <w:tabs>
          <w:tab w:leader="none" w:pos="7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autonomous PowerBuoy system is designed to generate power for use independent of the power grid in remote locations. We have successfully operated an autonomous PowerBuoy® off the coast of New Jersey, which we designed and manufactured under the US Navy’s Littoral Expeditionary Autonomous PowerBuoy (LEAP) program for coastal security and maritime surveillance. The LEAP PowerBuoy structure, incorporating a unique power take-off and onboard system for energy storage and management, is significantly smaller than our standard utility PowerBuoy. With the funding from the US Navy, we have been able to refine our PowerBuoy system while simultaneously preparing for commercial deployment to address a particular customer need. We believe that the successful deployment of our PowerBuoy system for the US Navy has enhanced our market visibility. We believe there are a variety of potential applications for this system, including homeland security, offshore oil and gas platforms, aquaculture and ocean-based communication and data gathering such as for tsunami warnings and seismic surveys.</w:t>
      </w:r>
    </w:p>
    <w:p>
      <w:pPr>
        <w:spacing w:after="0" w:line="123"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product development and engineering efforts are focused primarily on increasing energy output, reliability and scalability of the design of our utility PowerBuoy system. Currently, we are marketing PowerBuoys rated at levels up to 150kW. We have also initiated product development efforts in connection with our 500kW PowerBuoy. Structural development of the PB500’s major subsystems is in progress, and wave tank testing of models has been completed. Assuming we are able to reach significant annual manufacturing volume levels of our 500kW PowerBuoy systems and increase the energy output of our PowerBuoy systems, we believe we will be able to offer a renewable electricity solution that competes with other existing renewable energy systems and, in certain cases, with existing fossil fuel systems in key markets.</w:t>
      </w:r>
    </w:p>
    <w:p>
      <w:pPr>
        <w:spacing w:after="0" w:line="192"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If we achieve economies of scale for our 150kW PowerBuoy systems and improve energy conversion efficiencies, we expect them to be able to provide a renewable electricity solution that competes in certain local markets where wave energy resources are very strong, where the current retail price of electricity is relatively high, or where sufficient subsidies are available.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4" w:name="page5"/>
    <w:bookmarkEnd w:id="4"/>
    <w:p>
      <w:pPr>
        <w:jc w:val="both"/>
        <w:ind w:firstLine="373"/>
        <w:spacing w:after="0" w:line="254" w:lineRule="auto"/>
        <w:rPr>
          <w:sz w:val="20"/>
          <w:szCs w:val="20"/>
          <w:color w:val="auto"/>
        </w:rPr>
      </w:pPr>
      <w:r>
        <w:rPr>
          <w:rFonts w:ascii="Arial" w:cs="Arial" w:eastAsia="Arial" w:hAnsi="Arial"/>
          <w:sz w:val="14"/>
          <w:szCs w:val="14"/>
          <w:color w:val="auto"/>
        </w:rPr>
        <w:t>We expect to market our undersea substation pod (USP) and marine energy infrastructure services to other companies in the marine energy sector. We completed the successful in-ocean trials of our USP in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offshore energy systems developed by other companies. The required switching and protection circuits for the individual PowerBuoys are also included in the USP.</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In addition, we are focusing on expanding our key commercial opportunities for both the utility and the autonomous PowerBuoy systems. Our recent commercial relationships are with the following:</w:t>
      </w:r>
    </w:p>
    <w:p>
      <w:pPr>
        <w:spacing w:after="0" w:line="194" w:lineRule="exact"/>
        <w:rPr>
          <w:sz w:val="20"/>
          <w:szCs w:val="20"/>
          <w:color w:val="auto"/>
        </w:rPr>
      </w:pPr>
    </w:p>
    <w:p>
      <w:pPr>
        <w:ind w:left="720" w:hanging="240"/>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United States Navy:</w:t>
      </w:r>
    </w:p>
    <w:p>
      <w:pPr>
        <w:spacing w:after="0" w:line="378" w:lineRule="exact"/>
        <w:rPr>
          <w:rFonts w:ascii="Arial" w:cs="Arial" w:eastAsia="Arial" w:hAnsi="Arial"/>
          <w:sz w:val="14"/>
          <w:szCs w:val="14"/>
          <w:color w:val="auto"/>
        </w:rPr>
      </w:pPr>
    </w:p>
    <w:p>
      <w:pPr>
        <w:ind w:left="960" w:hanging="241"/>
        <w:spacing w:after="0" w:line="268" w:lineRule="auto"/>
        <w:tabs>
          <w:tab w:leader="none" w:pos="960" w:val="left"/>
        </w:tabs>
        <w:numPr>
          <w:ilvl w:val="1"/>
          <w:numId w:val="4"/>
        </w:numPr>
        <w:rPr>
          <w:rFonts w:ascii="Arial" w:cs="Arial" w:eastAsia="Arial" w:hAnsi="Arial"/>
          <w:sz w:val="14"/>
          <w:szCs w:val="14"/>
          <w:color w:val="auto"/>
        </w:rPr>
      </w:pPr>
      <w:r>
        <w:rPr>
          <w:rFonts w:ascii="Arial" w:cs="Arial" w:eastAsia="Arial" w:hAnsi="Arial"/>
          <w:sz w:val="14"/>
          <w:szCs w:val="14"/>
          <w:color w:val="auto"/>
        </w:rPr>
        <w:t>From 2009 to 2012, we ocean-tested our PowerBuoy at the US Marine Corps Base Hawaii at Kanehoe Bay. The Oahu PowerBuoy was launched under our program with the US Navy for ocean testing and demonstration of PowerBuoys, including connection to the Oahu grid.</w:t>
      </w:r>
    </w:p>
    <w:p>
      <w:pPr>
        <w:spacing w:after="0" w:line="159" w:lineRule="exact"/>
        <w:rPr>
          <w:rFonts w:ascii="Arial" w:cs="Arial" w:eastAsia="Arial" w:hAnsi="Arial"/>
          <w:sz w:val="14"/>
          <w:szCs w:val="14"/>
          <w:color w:val="auto"/>
        </w:rPr>
      </w:pPr>
    </w:p>
    <w:p>
      <w:pPr>
        <w:ind w:left="960" w:hanging="241"/>
        <w:spacing w:after="0" w:line="268" w:lineRule="auto"/>
        <w:tabs>
          <w:tab w:leader="none" w:pos="960" w:val="left"/>
        </w:tabs>
        <w:numPr>
          <w:ilvl w:val="1"/>
          <w:numId w:val="4"/>
        </w:numPr>
        <w:rPr>
          <w:rFonts w:ascii="Arial" w:cs="Arial" w:eastAsia="Arial" w:hAnsi="Arial"/>
          <w:sz w:val="14"/>
          <w:szCs w:val="14"/>
          <w:color w:val="auto"/>
        </w:rPr>
      </w:pPr>
      <w:r>
        <w:rPr>
          <w:rFonts w:ascii="Arial" w:cs="Arial" w:eastAsia="Arial" w:hAnsi="Arial"/>
          <w:sz w:val="14"/>
          <w:szCs w:val="14"/>
          <w:color w:val="auto"/>
        </w:rPr>
        <w:t>We operated in 2011 an autonomous PowerBuoy off the coast of New Jersey, designed and manufactured by us under the US Navy’s Littoral Expeditionary Autonomous PowerBuoy (LEAP) Program for coastal security and maritime security.</w:t>
      </w:r>
    </w:p>
    <w:p>
      <w:pPr>
        <w:spacing w:after="0" w:line="138" w:lineRule="exact"/>
        <w:rPr>
          <w:rFonts w:ascii="Arial" w:cs="Arial" w:eastAsia="Arial" w:hAnsi="Arial"/>
          <w:sz w:val="14"/>
          <w:szCs w:val="14"/>
          <w:color w:val="auto"/>
        </w:rPr>
      </w:pPr>
    </w:p>
    <w:p>
      <w:pPr>
        <w:ind w:left="960" w:hanging="241"/>
        <w:spacing w:after="0"/>
        <w:tabs>
          <w:tab w:leader="none" w:pos="960" w:val="left"/>
        </w:tabs>
        <w:numPr>
          <w:ilvl w:val="1"/>
          <w:numId w:val="4"/>
        </w:numPr>
        <w:rPr>
          <w:rFonts w:ascii="Arial" w:cs="Arial" w:eastAsia="Arial" w:hAnsi="Arial"/>
          <w:sz w:val="14"/>
          <w:szCs w:val="14"/>
          <w:color w:val="auto"/>
        </w:rPr>
      </w:pPr>
      <w:r>
        <w:rPr>
          <w:rFonts w:ascii="Arial" w:cs="Arial" w:eastAsia="Arial" w:hAnsi="Arial"/>
          <w:sz w:val="14"/>
          <w:szCs w:val="14"/>
          <w:color w:val="auto"/>
        </w:rPr>
        <w:t>We have built an autonomous PowerBuoy as the power source for the Navy's Deep Water Active Detection System (DWADS).</w:t>
      </w:r>
    </w:p>
    <w:p>
      <w:pPr>
        <w:spacing w:after="0" w:line="170"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Pacific Northwest Generating Cooperative (PNGC Power) and the US Department of Energy (DOE), both of which are providing funding toward the construction, ocean installation, and ocean trials of a 150kW PowerBuoy near Reedsport, Oregon.</w:t>
      </w:r>
    </w:p>
    <w:p>
      <w:pPr>
        <w:spacing w:after="0" w:line="138" w:lineRule="exact"/>
        <w:rPr>
          <w:rFonts w:ascii="Arial" w:cs="Arial" w:eastAsia="Arial" w:hAnsi="Arial"/>
          <w:sz w:val="14"/>
          <w:szCs w:val="14"/>
          <w:color w:val="auto"/>
        </w:rPr>
      </w:pPr>
    </w:p>
    <w:p>
      <w:pPr>
        <w:ind w:left="720" w:hanging="240"/>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Scottish Government, to develop a 150kW PowerBuoy, which was deployed off the coast of Invergordon, Scotland in 2011.</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European Union has awarded funding to deploy a PowerBuoy off the coast of Santoña, Spain. We commenced work under the European Union grant in fiscal year 2012.</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DOE and the UK Government’s Technology Strategy Board to help fund the scale-up of the power output per PowerBuoy from the current level of 150kW to 500kW.</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Mitsui Engineering and Shipbuilding, with which we are working to develop a wave power project in Japan.</w:t>
      </w:r>
    </w:p>
    <w:p>
      <w:pPr>
        <w:spacing w:after="0" w:line="170" w:lineRule="exact"/>
        <w:rPr>
          <w:rFonts w:ascii="Arial" w:cs="Arial" w:eastAsia="Arial" w:hAnsi="Arial"/>
          <w:sz w:val="14"/>
          <w:szCs w:val="14"/>
          <w:color w:val="auto"/>
        </w:rPr>
      </w:pPr>
    </w:p>
    <w:p>
      <w:pPr>
        <w:jc w:val="both"/>
        <w:ind w:left="720" w:hanging="240"/>
        <w:spacing w:after="0" w:line="258" w:lineRule="auto"/>
        <w:tabs>
          <w:tab w:leader="none" w:pos="7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Lockheed Martin, which is providing design, manufacturing, system integration and supply chain management expertise to enhance our technology, under the DOE grant we received for the 150kW PowerBuoy project near Reedsport Oregon. This builds on previous work conducted by Lockheed Martin and OPT. In addition, both companies entered into a teaming agreement with the goal of developing a 19MW wave energy project in Victoria, Australia.</w:t>
      </w:r>
    </w:p>
    <w:p>
      <w:pPr>
        <w:spacing w:after="0" w:line="186"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 xml:space="preserve">We were incorporated under the laws of the State of New Jersey in April 1984 and began commercial operations in 1994. On April 23, 2007, we reincorporated in Delaware. Our principal executive offices are located at 1590 Reed Road, Pennington, New Jersey 08534, and our telephone number is (609) 730-0400. Our website address is </w:t>
      </w:r>
      <w:r>
        <w:rPr>
          <w:rFonts w:ascii="Arial" w:cs="Arial" w:eastAsia="Arial" w:hAnsi="Arial"/>
          <w:sz w:val="13"/>
          <w:szCs w:val="13"/>
          <w:i w:val="1"/>
          <w:iCs w:val="1"/>
          <w:color w:val="auto"/>
        </w:rPr>
        <w:t>www.oceanpowertechnologies.com.</w:t>
      </w:r>
      <w:r>
        <w:rPr>
          <w:rFonts w:ascii="Arial" w:cs="Arial" w:eastAsia="Arial" w:hAnsi="Arial"/>
          <w:sz w:val="13"/>
          <w:szCs w:val="13"/>
          <w:color w:val="auto"/>
        </w:rPr>
        <w:t xml:space="preserve"> We make available free of charge on our website our annual reports on Form 10-K, quarterly reports on Form 10-Q, current reports on Form 8-K and all amendments to those reports as soon as reasonably practicable after such material is filed electronically with the Securities and Exchange Commission, or SEC. The information on our website is not a part of this Annual Report. Our common stock has been listed on the NASDAQ Global Market since April 24, 2007, the date on which we commenced our initial public offering in the United States.</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Market</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According to the World Energy Council, wave energy has the potential to produce around 2,000 terawatt hours of electricity a year, or enough power to meet 10% of the world’s current energy needs.</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Global demand for electric power is expected to increase from 19.1 trillion kilowatt hours in 2008 to 35.2 trillion kilowatt hours by 2035 according to Energy Information Administration’s Outlook 2011.</w:t>
      </w:r>
    </w:p>
    <w:p>
      <w:pPr>
        <w:spacing w:after="0" w:line="215"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According to a January 11, 2011 report from Bloomberg New Energy Finance, nearly $243 billion was invested in low carbon energy worldwide during 2010, representing a 23% increase over 2009 investments. This includes wind, solar, biomass, geothermal and hydropower, increased efficiencies and smart-grid technologies and biofuels, as well as carbon capture and storage technologies. There are a variety of factors contributing to the increasing development of renewable energy systems that capture energy from replenishable natural resources, including ocean waves, tides, flowing water, wind and sunlight, and convert it into electricity. These factors include: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5" w:name="page6"/>
    <w:bookmarkEnd w:id="5"/>
    <w:p>
      <w:pPr>
        <w:ind w:left="720" w:hanging="240"/>
        <w:spacing w:after="0"/>
        <w:tabs>
          <w:tab w:leader="none" w:pos="7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Rising cost of fossil fuels. </w:t>
      </w:r>
      <w:r>
        <w:rPr>
          <w:rFonts w:ascii="Arial" w:cs="Arial" w:eastAsia="Arial" w:hAnsi="Arial"/>
          <w:sz w:val="12"/>
          <w:szCs w:val="12"/>
          <w:color w:val="auto"/>
        </w:rPr>
        <w:t>Although subject to short-term fluctuations, the cost of fossil fuel used to generate electricity has been generally rising and is likely to continue to rise in the future.</w:t>
      </w:r>
    </w:p>
    <w:p>
      <w:pPr>
        <w:spacing w:after="0" w:line="193" w:lineRule="exact"/>
        <w:rPr>
          <w:rFonts w:ascii="Arial" w:cs="Arial" w:eastAsia="Arial" w:hAnsi="Arial"/>
          <w:sz w:val="12"/>
          <w:szCs w:val="12"/>
          <w:color w:val="auto"/>
        </w:rPr>
      </w:pPr>
    </w:p>
    <w:p>
      <w:pPr>
        <w:ind w:left="720" w:hanging="240"/>
        <w:spacing w:after="0" w:line="353" w:lineRule="auto"/>
        <w:tabs>
          <w:tab w:leader="none" w:pos="7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 xml:space="preserve">Dependence on energy from foreign sources. </w:t>
      </w:r>
      <w:r>
        <w:rPr>
          <w:rFonts w:ascii="Arial" w:cs="Arial" w:eastAsia="Arial" w:hAnsi="Arial"/>
          <w:sz w:val="12"/>
          <w:szCs w:val="12"/>
          <w:color w:val="auto"/>
        </w:rPr>
        <w:t>Many countries, including the United States, Japan and much of Europe, depend on foreign resources for a majority of their domestic energy needs.</w:t>
      </w:r>
      <w:r>
        <w:rPr>
          <w:rFonts w:ascii="Arial" w:cs="Arial" w:eastAsia="Arial" w:hAnsi="Arial"/>
          <w:sz w:val="12"/>
          <w:szCs w:val="12"/>
          <w:i w:val="1"/>
          <w:iCs w:val="1"/>
          <w:color w:val="auto"/>
        </w:rPr>
        <w:t xml:space="preserve"> </w:t>
      </w:r>
      <w:r>
        <w:rPr>
          <w:rFonts w:ascii="Arial" w:cs="Arial" w:eastAsia="Arial" w:hAnsi="Arial"/>
          <w:sz w:val="12"/>
          <w:szCs w:val="12"/>
          <w:color w:val="auto"/>
        </w:rPr>
        <w:t>Concerns over political and economic instability in some of the leading fossil fuel producing regions of the world are encouraging consuming countries to diversify their sources of energy.</w:t>
      </w:r>
    </w:p>
    <w:p>
      <w:pPr>
        <w:spacing w:after="0" w:line="299" w:lineRule="exact"/>
        <w:rPr>
          <w:rFonts w:ascii="Arial" w:cs="Arial" w:eastAsia="Arial" w:hAnsi="Arial"/>
          <w:sz w:val="12"/>
          <w:szCs w:val="12"/>
          <w:color w:val="auto"/>
        </w:rPr>
      </w:pPr>
    </w:p>
    <w:p>
      <w:pPr>
        <w:ind w:left="720" w:hanging="240"/>
        <w:spacing w:after="0" w:line="268"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Environmental concerns. </w:t>
      </w:r>
      <w:r>
        <w:rPr>
          <w:rFonts w:ascii="Arial" w:cs="Arial" w:eastAsia="Arial" w:hAnsi="Arial"/>
          <w:sz w:val="14"/>
          <w:szCs w:val="14"/>
          <w:color w:val="auto"/>
        </w:rPr>
        <w:t>Environmental concerns regarding the contamination, pollution and by-products from fossil fuels have led many countries and several US states to agree to reduce</w:t>
      </w:r>
      <w:r>
        <w:rPr>
          <w:rFonts w:ascii="Arial" w:cs="Arial" w:eastAsia="Arial" w:hAnsi="Arial"/>
          <w:sz w:val="14"/>
          <w:szCs w:val="14"/>
          <w:i w:val="1"/>
          <w:iCs w:val="1"/>
          <w:color w:val="auto"/>
        </w:rPr>
        <w:t xml:space="preserve"> </w:t>
      </w:r>
      <w:r>
        <w:rPr>
          <w:rFonts w:ascii="Arial" w:cs="Arial" w:eastAsia="Arial" w:hAnsi="Arial"/>
          <w:sz w:val="14"/>
          <w:szCs w:val="14"/>
          <w:color w:val="auto"/>
        </w:rPr>
        <w:t>emissions of carbon dioxide and other gases associated with the use of fossil fuels and to adopt policies promoting the development of cleaner technologies.</w:t>
      </w:r>
    </w:p>
    <w:p>
      <w:pPr>
        <w:spacing w:after="0" w:line="138"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 xml:space="preserve">Government incentives. </w:t>
      </w:r>
      <w:r>
        <w:rPr>
          <w:rFonts w:ascii="Arial" w:cs="Arial" w:eastAsia="Arial" w:hAnsi="Arial"/>
          <w:sz w:val="14"/>
          <w:szCs w:val="14"/>
          <w:color w:val="auto"/>
        </w:rPr>
        <w:t>Many countries have adopted policies to provide incentives for the development and use of renewable energy sources, such as subsidies to encourage the</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commercialization of renewable energy power generation.</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Wave Energy</w:t>
      </w:r>
    </w:p>
    <w:p>
      <w:pPr>
        <w:spacing w:after="0" w:line="212"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The energy in ocean waves is a form of renewable energy that can be harnessed to generate electricity. Ocean waves are created when wind moves across the ocean surface. The interaction between the wind and the ocean surface causes energy to be exchanged. At first, small waves occur on the ocean surface. As this process continues, the waves become larger and the distance between the tops of the waves becomes longer. The size of the waves, and the amount of energy contained in the waves, depends on the wind speed, the time the wind blows over the waves and the distance covered. The rising and falling of the waves move our PowerBuoy system creating mechanical energy that our proprietary technologies convert into usable electricity.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There are a variety of benefits to using wave energy for electricity generation.</w:t>
      </w:r>
    </w:p>
    <w:p>
      <w:pPr>
        <w:spacing w:after="0" w:line="378" w:lineRule="exact"/>
        <w:rPr>
          <w:sz w:val="20"/>
          <w:szCs w:val="20"/>
          <w:color w:val="auto"/>
        </w:rPr>
      </w:pPr>
    </w:p>
    <w:p>
      <w:pPr>
        <w:jc w:val="both"/>
        <w:ind w:left="720" w:hanging="240"/>
        <w:spacing w:after="0" w:line="258"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Scalability within a small site area. </w:t>
      </w:r>
      <w:r>
        <w:rPr>
          <w:rFonts w:ascii="Arial" w:cs="Arial" w:eastAsia="Arial" w:hAnsi="Arial"/>
          <w:sz w:val="14"/>
          <w:szCs w:val="14"/>
          <w:color w:val="auto"/>
        </w:rPr>
        <w:t>Due to the tremendous energy in ocean waves, wave power stations with high capacity — 50 megawatts (MW) and above — can be installed in a relatively</w:t>
      </w:r>
      <w:r>
        <w:rPr>
          <w:rFonts w:ascii="Arial" w:cs="Arial" w:eastAsia="Arial" w:hAnsi="Arial"/>
          <w:sz w:val="14"/>
          <w:szCs w:val="14"/>
          <w:i w:val="1"/>
          <w:iCs w:val="1"/>
          <w:color w:val="auto"/>
        </w:rPr>
        <w:t xml:space="preserve"> </w:t>
      </w:r>
      <w:r>
        <w:rPr>
          <w:rFonts w:ascii="Arial" w:cs="Arial" w:eastAsia="Arial" w:hAnsi="Arial"/>
          <w:sz w:val="14"/>
          <w:szCs w:val="14"/>
          <w:color w:val="auto"/>
        </w:rPr>
        <w:t>small area. We estimate that, upon completion of the development of our 500kW PowerBuoy system, we would be able to construct a wave power station that we expect would occupy less of the ocean surface than an offshore wind power station of equivalent capacity.</w:t>
      </w:r>
    </w:p>
    <w:p>
      <w:pPr>
        <w:spacing w:after="0" w:line="144" w:lineRule="exact"/>
        <w:rPr>
          <w:rFonts w:ascii="Arial" w:cs="Arial" w:eastAsia="Arial" w:hAnsi="Arial"/>
          <w:sz w:val="14"/>
          <w:szCs w:val="14"/>
          <w:color w:val="auto"/>
        </w:rPr>
      </w:pPr>
    </w:p>
    <w:p>
      <w:pPr>
        <w:jc w:val="both"/>
        <w:ind w:left="720" w:hanging="240"/>
        <w:spacing w:after="0" w:line="258"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Predictability. </w:t>
      </w:r>
      <w:r>
        <w:rPr>
          <w:rFonts w:ascii="Arial" w:cs="Arial" w:eastAsia="Arial" w:hAnsi="Arial"/>
          <w:sz w:val="14"/>
          <w:szCs w:val="14"/>
          <w:color w:val="auto"/>
        </w:rPr>
        <w:t>The supply of electricity from wave energy can be forecasted several days in advance. The amount of energy a wave hundreds of miles away will have when it arrives at a wave</w:t>
      </w:r>
      <w:r>
        <w:rPr>
          <w:rFonts w:ascii="Arial" w:cs="Arial" w:eastAsia="Arial" w:hAnsi="Arial"/>
          <w:sz w:val="14"/>
          <w:szCs w:val="14"/>
          <w:i w:val="1"/>
          <w:iCs w:val="1"/>
          <w:color w:val="auto"/>
        </w:rPr>
        <w:t xml:space="preserve"> </w:t>
      </w:r>
      <w:r>
        <w:rPr>
          <w:rFonts w:ascii="Arial" w:cs="Arial" w:eastAsia="Arial" w:hAnsi="Arial"/>
          <w:sz w:val="14"/>
          <w:szCs w:val="14"/>
          <w:color w:val="auto"/>
        </w:rPr>
        <w:t>power station days later can be calculated based on satellite images and meteorological data with a high degree of accuracy. Power producers can use this information to develop sourcing plans to meet their short-term electricity needs.</w:t>
      </w:r>
    </w:p>
    <w:p>
      <w:pPr>
        <w:spacing w:after="0" w:line="144"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Constant source of energy. </w:t>
      </w:r>
      <w:r>
        <w:rPr>
          <w:rFonts w:ascii="Arial" w:cs="Arial" w:eastAsia="Arial" w:hAnsi="Arial"/>
          <w:sz w:val="14"/>
          <w:szCs w:val="14"/>
          <w:color w:val="auto"/>
        </w:rPr>
        <w:t>The annual flow of waves at specific sites can be relatively constant. Based on our studies and analysis of our target sites, we believe our wave power stations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able to produce usable electricity for approximately 90% of all hours during a year.</w:t>
      </w:r>
    </w:p>
    <w:p>
      <w:pPr>
        <w:spacing w:after="0" w:line="138"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 xml:space="preserve">Close to population centers. </w:t>
      </w:r>
      <w:r>
        <w:rPr>
          <w:rFonts w:ascii="Arial" w:cs="Arial" w:eastAsia="Arial" w:hAnsi="Arial"/>
          <w:sz w:val="14"/>
          <w:szCs w:val="14"/>
          <w:color w:val="auto"/>
        </w:rPr>
        <w:t>The proximity of large population areas to large bodies of water means that power transmission infrastructure is often already in place and may be utilized for wave</w:t>
      </w:r>
      <w:r>
        <w:rPr>
          <w:rFonts w:ascii="Arial" w:cs="Arial" w:eastAsia="Arial" w:hAnsi="Arial"/>
          <w:sz w:val="14"/>
          <w:szCs w:val="14"/>
          <w:i w:val="1"/>
          <w:iCs w:val="1"/>
          <w:color w:val="auto"/>
        </w:rPr>
        <w:t xml:space="preserve"> </w:t>
      </w:r>
      <w:r>
        <w:rPr>
          <w:rFonts w:ascii="Arial" w:cs="Arial" w:eastAsia="Arial" w:hAnsi="Arial"/>
          <w:sz w:val="14"/>
          <w:szCs w:val="14"/>
          <w:color w:val="auto"/>
        </w:rPr>
        <w:t>energy generation projects.</w:t>
      </w:r>
    </w:p>
    <w:p>
      <w:pPr>
        <w:spacing w:after="0" w:line="138" w:lineRule="exact"/>
        <w:rPr>
          <w:sz w:val="20"/>
          <w:szCs w:val="20"/>
          <w:color w:val="auto"/>
        </w:rPr>
      </w:pPr>
    </w:p>
    <w:p>
      <w:pPr>
        <w:jc w:val="both"/>
        <w:ind w:firstLine="373"/>
        <w:spacing w:after="0" w:line="297" w:lineRule="auto"/>
        <w:rPr>
          <w:sz w:val="20"/>
          <w:szCs w:val="20"/>
          <w:color w:val="auto"/>
        </w:rPr>
      </w:pPr>
      <w:r>
        <w:rPr>
          <w:rFonts w:ascii="Arial" w:cs="Arial" w:eastAsia="Arial" w:hAnsi="Arial"/>
          <w:sz w:val="12"/>
          <w:szCs w:val="12"/>
          <w:color w:val="auto"/>
        </w:rPr>
        <w:t>There are currently several approaches, in different stages of development, for capturing wave energy and converting it into electricity. Methods for generating electricity from wave energy can be divided into two general categories: onshore systems and offshore systems. Our PowerBuoy system is an offshore system. Offshore systems are typically located one to five miles offshore and in water depths of between 100 and 200 feet. The system can be above, on or below the ocean surface. Many offshore systems utilize a floatation device to harness wave energy. The heaving or pitching of the floatation device due to the force of the waves creates mechanical energy, which is converted into electricity by various technologies. Onshore and nearshore systems are often located on a shore cliff or a breakwater, or a short distance at sea from the shore line, and typically must concentrate the wave energy first before using it to drive an electrical generator. Although maintenance costs of onshore systems may be less than those associated with offshore systems, there are a variety of disadvantages to these systems. As waves approach the shore, the energy in the waves decreases; onshore and nearshore wave power stations, therefore, do not take full advantage of the amount of energy that waves in deeper water produce. In addition, there are a limited number of suitable sites for onshore and nearshore systems and there are environmental and possible aesthetic issues with these wave power stations due to their size and location at or near the seashore.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40" w:right="21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Our Products</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offer two types of PowerBuoy systems: our utility PowerBuoy system, which is designed to supply electricity to a local or regional electric power grid, and our autonomous PowerBuoy system, which is designed to generate power for use independent of the power grid in remote locations. Both products use the same PowerBuoy technology.</w:t>
      </w:r>
    </w:p>
    <w:p>
      <w:pPr>
        <w:spacing w:after="0" w:line="180" w:lineRule="exact"/>
        <w:rPr>
          <w:sz w:val="20"/>
          <w:szCs w:val="20"/>
          <w:color w:val="auto"/>
        </w:rPr>
      </w:pPr>
    </w:p>
    <w:p>
      <w:pPr>
        <w:jc w:val="both"/>
        <w:ind w:firstLine="373"/>
        <w:spacing w:after="0" w:line="255" w:lineRule="auto"/>
        <w:rPr>
          <w:sz w:val="20"/>
          <w:szCs w:val="20"/>
          <w:color w:val="auto"/>
        </w:rPr>
      </w:pPr>
      <w:r>
        <w:rPr>
          <w:rFonts w:ascii="Arial" w:cs="Arial" w:eastAsia="Arial" w:hAnsi="Arial"/>
          <w:sz w:val="14"/>
          <w:szCs w:val="14"/>
          <w:color w:val="auto"/>
        </w:rPr>
        <w:t>Our PowerBuoy system consists of a floating buoy-like device that is loosely moored to the seabed so that it can freely move up and down in response to the rising and falling of the waves, as well as a power take-off device, an electrical generator, a power electronics system and our control system, all of which are sealed in the unit.</w:t>
      </w:r>
    </w:p>
    <w:p>
      <w:pPr>
        <w:jc w:val="both"/>
        <w:ind w:firstLine="373"/>
        <w:spacing w:after="0" w:line="252" w:lineRule="auto"/>
        <w:rPr>
          <w:sz w:val="20"/>
          <w:szCs w:val="20"/>
          <w:color w:val="auto"/>
        </w:rPr>
      </w:pPr>
      <w:r>
        <w:rPr>
          <w:rFonts w:ascii="Arial" w:cs="Arial" w:eastAsia="Arial" w:hAnsi="Arial"/>
          <w:sz w:val="14"/>
          <w:szCs w:val="14"/>
          <w:color w:val="auto"/>
        </w:rPr>
        <w:t>The power take-off device converts the mechanical stroking created by the movement of the unit caused by ocean waves into rotational mechanical energy, which, in turn, drives the electrical generator. The power electronics system then conditions the output from the generator into grid-ready electricity. The operation of the PowerBuoy system is controlled by our customized, proprietary control system.</w:t>
      </w:r>
    </w:p>
    <w:p>
      <w:pPr>
        <w:spacing w:after="0" w:line="1"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control system uses sophisticated sensors and an onboard computer to continuously monitor the PowerBuoy subsystems as well as the height, frequency and shape of the waves interacting with the PowerBuoy system. The control system collects data from the sensors and uses proprietary algorithms to electronically adjust the performance of the PowerBuoy system in real-time. By making these electrical adjustments automatically, the PowerBuoy system is able to maximize the amount of usable electricity generated from the waves. We believe that this ability to optimize the performance of the PowerBuoy system in real-time is a significant advantage of our product.</w:t>
      </w:r>
    </w:p>
    <w:p>
      <w:pPr>
        <w:spacing w:after="0" w:line="19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the event of storm waves larger than 23 feet, the control system for the PowerBuoy automatically locks down the PowerBuoy system and electricity generation is suspended. When the wave heights return to a normal operating range of 23 feet or less, the control system automatically unlocks the PowerBuoy system and electricity generation and transmission recommence. This safety feature prevents the PowerBuoy system from being damaged by the increased amount of energy in storm waves.</w:t>
      </w:r>
    </w:p>
    <w:p>
      <w:pPr>
        <w:spacing w:after="0" w:line="18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Our 150kW PowerBuoy system has a maximum diameter of 36 feet near the surface, and is 135 feet long, with approximately 30 feet of the PowerBuoy system protruding above the surface of the ocean. At anticipated deployment distances, generally the system has minimal visability from the shore.</w:t>
      </w:r>
    </w:p>
    <w:p>
      <w:pPr>
        <w:spacing w:after="0" w:line="3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Utility PowerBuoy System</w:t>
      </w:r>
    </w:p>
    <w:p>
      <w:pPr>
        <w:spacing w:after="0" w:line="21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The utility PowerBuoy system is designed to transmit electricity to shore by an underwater power cable, which would then be connected to a power grid. Our current utility PowerBuoy systems presently being marketed to customers have rated capacities of up to 150kW. The utility PowerBuoy system is designed to be positioned in water with a depth of 100 to 200 feet, which can usually be found one to five miles offshore. This depth allows the system to capture meaningful amounts of energy from the waves, since decreasing water depth depletes the energy in the waves.</w:t>
      </w:r>
    </w:p>
    <w:p>
      <w:pPr>
        <w:spacing w:after="0" w:line="169"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The mooring system for keeping a utility PowerBuoy system in position connects it by lines to three floats that, in turn, are connected by lines to three anchors. This is a well-established mooring system, referred to as three-point mooring, which we have improved upon with various techniques that reduce cost and deployment time.</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We refer to the entire utility power generation system at one location as a wave power station, which can either be comprised of a single PowerBuoy system or an integrated array of PowerBuoy systems connected by our USP to an underwater cable to transmit the electricity to shore. Our system is designed to be scalable, as multiple PowerBuoy units can be integrated to create a wave power station with a larger output capacity. An array of PowerBuoy systems would likely be configured in three staggered rows parallel to the incoming wave front to form a long rectangle. This staggered arrangement would maximize the level of wave energy that the wave power station can capture.</w:t>
      </w:r>
    </w:p>
    <w:p>
      <w:pPr>
        <w:spacing w:after="0" w:line="190" w:lineRule="exact"/>
        <w:rPr>
          <w:sz w:val="20"/>
          <w:szCs w:val="20"/>
          <w:color w:val="auto"/>
        </w:rPr>
      </w:pPr>
    </w:p>
    <w:p>
      <w:pPr>
        <w:jc w:val="both"/>
        <w:ind w:firstLine="373"/>
        <w:spacing w:after="0" w:line="353" w:lineRule="auto"/>
        <w:rPr>
          <w:sz w:val="20"/>
          <w:szCs w:val="20"/>
          <w:color w:val="auto"/>
        </w:rPr>
      </w:pPr>
      <w:r>
        <w:rPr>
          <w:rFonts w:ascii="Arial" w:cs="Arial" w:eastAsia="Arial" w:hAnsi="Arial"/>
          <w:sz w:val="12"/>
          <w:szCs w:val="12"/>
          <w:color w:val="auto"/>
        </w:rPr>
        <w:t>We are also exploring the use of our utility PowerBuoy system for applications that include generating electricity for desalination of water, hydrogen production, water treatment and natural resource processing. In these instances, the power generated by the utility PowerBuoy system would bypass the grid and be delivered directly to the point of electricity consumption for these special applications.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Status of Utility PowerBuoy System</w:t>
      </w:r>
    </w:p>
    <w:p>
      <w:pPr>
        <w:spacing w:after="0" w:line="212"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Ocean trials of our first 150kW PowerBuoy were conducted in 2011. These ocean trials were conducted at a site approximately 33 nautical miles from Invergordon, off Scotland’s northeast coast. During the ocean trials, our 150kW rated PowerBuoy produced power in excess of our expectations of performance. A second PB150 is expected to be ready for deployment off the coast of Reedsport, Oregon in 2012, with deployment timing dependent principally on weather conditions. Our utility scale PB150 structure and mooring system achieved independent certification from Lloyd’s Register.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7" w:name="page8"/>
    <w:bookmarkEnd w:id="7"/>
    <w:p>
      <w:pPr>
        <w:jc w:val="both"/>
        <w:ind w:firstLine="373"/>
        <w:spacing w:after="0" w:line="258" w:lineRule="auto"/>
        <w:rPr>
          <w:sz w:val="20"/>
          <w:szCs w:val="20"/>
          <w:color w:val="auto"/>
        </w:rPr>
      </w:pPr>
      <w:r>
        <w:rPr>
          <w:rFonts w:ascii="Arial" w:cs="Arial" w:eastAsia="Arial" w:hAnsi="Arial"/>
          <w:sz w:val="14"/>
          <w:szCs w:val="14"/>
          <w:color w:val="auto"/>
        </w:rPr>
        <w:t>We completed the successful in-ocean trials of our USP in October 2009. The USP, based on our proprietary design, has been developed to facilitate the collection, networking and transforming of power and data generated by multiple offshore energy devices. The USP has been built as an open platform, and can provide connectivity for the PowerBuoy as well as other offshore energy systems developed by other companies.</w:t>
      </w:r>
    </w:p>
    <w:p>
      <w:pPr>
        <w:spacing w:after="0" w:line="18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 September 2010, working in conjunction with the US Navy, our 40kW-rated PowerBuoy located at Marine Corps Base Hawaii became the first-ever grid connected wave energy device in the United States. This PowerBuoy was deployed from December 2009 to January 2012.</w:t>
      </w:r>
    </w:p>
    <w:p>
      <w:pPr>
        <w:spacing w:after="0" w:line="180"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product development and engineering efforts are focused primarily on increasing energy output, reliability and scalability of the design of our utility PowerBuoy system. Currently we are marketing PowerBuoys rated at levels up to 150kW. We have also initiated product development efforts in connection with our 500kW PowerBuoy. Structural development of the PB500’s major subsystems is in progress, and wave tank testing of models has been completed. Assuming we are able to reach significant annual manufacturing volume levels of our 500kW PowerBuoy systems and increase the energy output of our PowerBuoy systems, we believe we will be able to offer a renewable electricity solution that competes with other existing renewable energy systems and, in certain cases, with existing fossil fuel systems in key markets.</w:t>
      </w:r>
    </w:p>
    <w:p>
      <w:pPr>
        <w:spacing w:after="0" w:line="192"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If we achieve economies of scale for our 150kW PowerBuoy systems and improve energy conversion efficiencies, we expect them to be able to provide a renewable electricity solution that competes in certain local markets where wave energy resources are very strong, where the current retail price of electricity is relatively high, or where sufficient subsidies are available.</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Autonomous PowerBuoy System</w:t>
      </w:r>
    </w:p>
    <w:p>
      <w:pPr>
        <w:spacing w:after="0" w:line="21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The autonomous PowerBuoy system is based on similar technology to the utility PowerBuoy system, but is designed for persistent electricity generation of relatively low amounts of continuous power for use independent of the power grid, in remote deep-ocean locations. The autonomous PowerBuoy range of products has rated output from 2kW to 40kW, depending on the application. In addition, the PB150 may be utilized in an autonomous mode. Our autonomous PowerBuoy system is designed to operate anywhere in the ocean and in any depth of water.</w:t>
      </w:r>
    </w:p>
    <w:p>
      <w:pPr>
        <w:spacing w:after="0" w:line="169"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believe there are a variety of potential applications for this system, including homeland security, offshore oil and gas platforms, aquaculture and ocean-based communication and data gathering such as for tsunami warnings and seismic surveys.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Status of Autonomous PowerBuoy System</w:t>
      </w:r>
    </w:p>
    <w:p>
      <w:pPr>
        <w:spacing w:after="0" w:line="212" w:lineRule="exact"/>
        <w:rPr>
          <w:sz w:val="20"/>
          <w:szCs w:val="20"/>
          <w:color w:val="auto"/>
        </w:rPr>
      </w:pPr>
    </w:p>
    <w:p>
      <w:pPr>
        <w:jc w:val="both"/>
        <w:ind w:firstLine="373"/>
        <w:spacing w:after="0" w:line="304" w:lineRule="auto"/>
        <w:rPr>
          <w:sz w:val="20"/>
          <w:szCs w:val="20"/>
          <w:color w:val="auto"/>
        </w:rPr>
      </w:pPr>
      <w:r>
        <w:rPr>
          <w:rFonts w:ascii="Arial" w:cs="Arial" w:eastAsia="Arial" w:hAnsi="Arial"/>
          <w:sz w:val="12"/>
          <w:szCs w:val="12"/>
          <w:color w:val="auto"/>
        </w:rPr>
        <w:t>We received a contract from the US Navy to provide our PowerBuoy to the Navy's Littoral Expeditionary Autonomous PowerBuoy (LEAP) program. The LEAP program has been established to enhance the US Navy's anti-terrorism and force protection capability by providing persistent power at sea for port maritime surveillance in near coast, harbor, and offshore areas. In September 2010, the US Navy provided $2.75 million in additional funding to us for the second stage of this program. During the first stage of the LEAP program, we successfully completed delivery of the design and on-land testing of a new power take-off system for the autonomous LEAP PowerBuoy. In the second stage of the program, we built and in 2011 deployed off the coast of New Jersey a LEAP PowerBuoy structure incorporating that new power take-off system. The ocean test of the LEAP PowerBuoy further supported the use of our technology as a persistent power source for systems requiring remote power at sea.</w:t>
      </w:r>
    </w:p>
    <w:p>
      <w:pPr>
        <w:spacing w:after="0" w:line="163"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also have received several contracts from the US Navy to provide our PowerBuoy technology to a unique program for ocean data gathering. Under this program, the Navy has conducted an ocean test of our autonomous PowerBuoy as the power source for the Navy's Deep Water Active Detection System, and we have substantially completed work under a contract for ocean testing by the Navy of an advanced version of the autonomous PowerBuoy for the Navy's operational requirements.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Advantages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We believe that our technology for generating electricity from wave energy and our commercial relationships give us several potential competitive advantages in the renewable energy market.</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Our PowerBuoy system uses an ocean-tested technology to generate electricity.</w:t>
      </w:r>
    </w:p>
    <w:p>
      <w:pPr>
        <w:spacing w:after="0" w:line="171" w:lineRule="exact"/>
        <w:rPr>
          <w:sz w:val="20"/>
          <w:szCs w:val="20"/>
          <w:color w:val="auto"/>
        </w:rPr>
      </w:pPr>
    </w:p>
    <w:p>
      <w:pPr>
        <w:jc w:val="both"/>
        <w:ind w:left="720" w:hanging="240"/>
        <w:spacing w:after="0" w:line="274" w:lineRule="auto"/>
        <w:tabs>
          <w:tab w:leader="none" w:pos="1093"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have been conducting ocean tests for nearly 15 years in order to demonstrate the viability of our technology. We initiated our first ocean installation in 1997 and have had several deployments of our systems for testing and operation since then. Our grid-connected Hawaii system was deployed from December 2009 to January 2012. During its period of operation in Hawaii, our 40kW-rated PowerBuoy produced power consistent with our predictive models for the incoming wave conditions. Ocean trials of our first 150kW PowerBuoy were conducted in 2011. These ocean trials were conducted at a site approximately 33 nautical miles from Invergordon, off Scotland’s northeast coast. During the ocean trials, our 150kW rated PowerBuoy produced power in excess of our expectations of performance. The 2011 ocean test of the LEAP PowerBuoy further supported the use of our technology as a persistent power source for systems requiring remote power at sea. Our PowerBuoy systems have endured hurricanes, winter storms and tsunami-driven waves while installed in the ocean.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8" w:name="page9"/>
    <w:bookmarkEnd w:id="8"/>
    <w:p>
      <w:pPr>
        <w:ind w:left="1000"/>
        <w:spacing w:after="0"/>
        <w:rPr>
          <w:sz w:val="20"/>
          <w:szCs w:val="20"/>
          <w:color w:val="auto"/>
        </w:rPr>
      </w:pPr>
      <w:r>
        <w:rPr>
          <w:rFonts w:ascii="Arial" w:cs="Arial" w:eastAsia="Arial" w:hAnsi="Arial"/>
          <w:sz w:val="14"/>
          <w:szCs w:val="14"/>
          <w:color w:val="auto"/>
        </w:rPr>
        <w:t>In 2011, The DOE assessed our 150kW rated PowerBuoy as the highest-rated wave energy system for commercial readiness (Technology Readiness Level 7-8).</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PowerBuoy system's grid connection has been certified and one of our PowerBuoys has been successfully connected to a grid.</w:t>
      </w:r>
    </w:p>
    <w:p>
      <w:pPr>
        <w:spacing w:after="0" w:line="171" w:lineRule="exact"/>
        <w:rPr>
          <w:sz w:val="20"/>
          <w:szCs w:val="20"/>
          <w:color w:val="auto"/>
        </w:rPr>
      </w:pPr>
    </w:p>
    <w:p>
      <w:pPr>
        <w:jc w:val="both"/>
        <w:ind w:left="720" w:hanging="240"/>
        <w:spacing w:after="0" w:line="258"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July 2007, we announced that our PowerBuoy grid connection system had been certified as compliant with designated national and international standards. This qualifies our technology for integration into utility grid systems. In September 2010, our PowerBuoy, which was tested at the US Marine Corps Base in Hawaii, became the first-ever grid-connected wave energy device in the United States.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PowerBuoy system design is efficient in harnessing wave energy.</w:t>
      </w:r>
    </w:p>
    <w:p>
      <w:pPr>
        <w:spacing w:after="0" w:line="171" w:lineRule="exact"/>
        <w:rPr>
          <w:sz w:val="20"/>
          <w:szCs w:val="20"/>
          <w:color w:val="auto"/>
        </w:rPr>
      </w:pPr>
    </w:p>
    <w:p>
      <w:pPr>
        <w:ind w:left="720" w:hanging="240"/>
        <w:spacing w:after="0" w:line="268"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PowerBuoy system is designed to efficiently convert wave energy into electricity by using onboard sensors to detect actual wave conditions and then to automatically adjust, or "tune", the performance of the generator using our proprietary electrical and electronics-based control systems in response to that information.</w:t>
      </w:r>
    </w:p>
    <w:p>
      <w:pPr>
        <w:spacing w:after="0" w:line="138" w:lineRule="exact"/>
        <w:rPr>
          <w:rFonts w:ascii="Arial" w:cs="Arial" w:eastAsia="Arial" w:hAnsi="Arial"/>
          <w:sz w:val="14"/>
          <w:szCs w:val="14"/>
          <w:color w:val="auto"/>
        </w:rPr>
      </w:pPr>
    </w:p>
    <w:p>
      <w:pPr>
        <w:jc w:val="both"/>
        <w:ind w:left="720" w:hanging="240"/>
        <w:spacing w:after="0" w:line="280" w:lineRule="auto"/>
        <w:tabs>
          <w:tab w:leader="none" w:pos="720" w:val="left"/>
        </w:tabs>
        <w:numPr>
          <w:ilvl w:val="0"/>
          <w:numId w:val="9"/>
        </w:numPr>
        <w:rPr>
          <w:rFonts w:ascii="Arial" w:cs="Arial" w:eastAsia="Arial" w:hAnsi="Arial"/>
          <w:sz w:val="13"/>
          <w:szCs w:val="13"/>
          <w:color w:val="auto"/>
        </w:rPr>
      </w:pPr>
      <w:r>
        <w:rPr>
          <w:rFonts w:ascii="Arial" w:cs="Arial" w:eastAsia="Arial" w:hAnsi="Arial"/>
          <w:sz w:val="13"/>
          <w:szCs w:val="13"/>
          <w:color w:val="auto"/>
        </w:rPr>
        <w:t>One measure of the efficiency of an electric power generation system is capacity factor. The capacity factor is the percent of kilowatt hours produced by a specific system in a given period as compared to the maximum kilowatt hours that could be produced by the system in that period. A high capacity factor indicates a high degree of utilization of the capacity of the system and provides a means to compare the effectiveness of different energy sources. Based on our research and analysis, and in-ocean experience to date, we believe the design capacity factor for a PowerBuoy wave power station located at many of our targeted sites would be favorably positioned in the range of 30% to 45%.</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Numerous potential sites for our wave power stations are located near major population centers worldwide.</w:t>
      </w:r>
    </w:p>
    <w:p>
      <w:pPr>
        <w:spacing w:after="0" w:line="171" w:lineRule="exact"/>
        <w:rPr>
          <w:sz w:val="20"/>
          <w:szCs w:val="20"/>
          <w:color w:val="auto"/>
        </w:rPr>
      </w:pPr>
    </w:p>
    <w:p>
      <w:pPr>
        <w:jc w:val="both"/>
        <w:ind w:left="720" w:hanging="240"/>
        <w:spacing w:after="0" w:line="254"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systems are designed to work in sites with average annual wave energy of at least 20kW per meter of wave front, which can be found in many coastal locations around the world. In particular, we are currently targeting the west coast of North America, the west coast of Europe, the coasts of Australia and the east coast of Japan. These potential sites not only have appropriate natural resources for harnessing wave energy, but they are also located near large population centers with access to existing power transmission infrastructure and significant and increasing electricity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We have significant commercial relationships.</w:t>
      </w:r>
    </w:p>
    <w:p>
      <w:pPr>
        <w:spacing w:after="0" w:line="171" w:lineRule="exact"/>
        <w:rPr>
          <w:sz w:val="20"/>
          <w:szCs w:val="20"/>
          <w:color w:val="auto"/>
        </w:rPr>
      </w:pPr>
    </w:p>
    <w:p>
      <w:pPr>
        <w:jc w:val="both"/>
        <w:ind w:left="720" w:hanging="240"/>
        <w:spacing w:after="0" w:line="310" w:lineRule="auto"/>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recent projects with PNGC Power, the DOE, the US Navy, Lockheed Martin, Mitsui Engineering and Shipbuilding, the European Union, and the UK Government’s Technology Strategy Board, provide us with an initial opportunity to sell our wave power stations for utility applications. By collaborating with leaders in renewable energy development, we believe we are able to accelerate both our in-house knowledge of the utility power generation market and our reputation as a credible renewable energy equipment supplier. If these projects are successful, we intend to leverage our experiences with our projects to add wave power stations, new customers and complementary revenue streams from operations and maintenance contracts.</w:t>
      </w:r>
    </w:p>
    <w:p>
      <w:pPr>
        <w:spacing w:after="0" w:line="116" w:lineRule="exact"/>
        <w:rPr>
          <w:rFonts w:ascii="Arial" w:cs="Arial" w:eastAsia="Arial" w:hAnsi="Arial"/>
          <w:sz w:val="12"/>
          <w:szCs w:val="12"/>
          <w:color w:val="auto"/>
        </w:rPr>
      </w:pPr>
    </w:p>
    <w:p>
      <w:pPr>
        <w:ind w:left="720" w:hanging="240"/>
        <w:spacing w:after="0" w:line="268" w:lineRule="auto"/>
        <w:tabs>
          <w:tab w:leader="none" w:pos="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With the funding from the US Navy, we have been able to refine our PowerBuoy system while simultaneously preparing for commercial deployment to address a particular customer need. We believe that the successful deployment of our PowerBuoy system for the US Navy has enhanced our market visibility.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Our systems are environmentally benign and aesthetically non-intrusive.</w:t>
      </w:r>
    </w:p>
    <w:p>
      <w:pPr>
        <w:spacing w:after="0" w:line="171" w:lineRule="exact"/>
        <w:rPr>
          <w:sz w:val="20"/>
          <w:szCs w:val="20"/>
          <w:color w:val="auto"/>
        </w:rPr>
      </w:pPr>
    </w:p>
    <w:p>
      <w:pPr>
        <w:jc w:val="both"/>
        <w:ind w:left="720" w:hanging="240"/>
        <w:spacing w:after="0" w:line="276"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believe that our PowerBuoy system does not present significant risks to marine life and does not emit significant levels of pollutants. For example, in connection with our project at the US Marine Corps Base in Hawaii, the US Navy obtained an independent environmental assessment of our PowerBuoy system prior to installation, as required by the National Environmental Policy Act. This assessment resulted in a “Finding of No Significant Impact,” the highest rating. We believe that PowerBuoy systems deployed, including larger PowerBuoy systems under development and multiple-buoy wave power stations, would have minimal environmental impact due to the physical similarities with the tested system. In addition, we received a “Finding of No Significant Impact,” from the DOE after environmental assessment in connection with our Reedsport, Oregon project.</w:t>
      </w:r>
    </w:p>
    <w:p>
      <w:pPr>
        <w:spacing w:after="0" w:line="136" w:lineRule="exact"/>
        <w:rPr>
          <w:rFonts w:ascii="Arial" w:cs="Arial" w:eastAsia="Arial" w:hAnsi="Arial"/>
          <w:sz w:val="13"/>
          <w:szCs w:val="13"/>
          <w:color w:val="auto"/>
        </w:rPr>
      </w:pPr>
    </w:p>
    <w:p>
      <w:pPr>
        <w:jc w:val="both"/>
        <w:ind w:left="720" w:hanging="240"/>
        <w:spacing w:after="0" w:line="258" w:lineRule="auto"/>
        <w:tabs>
          <w:tab w:leader="none" w:pos="7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Since our PowerBuoy systems are typically located one to five miles offshore, PowerBuoy wave power stations are usually not visible from the shore. Visual impact is often cited as one of the reasons that many communities have opposed plans to develop power stations, in particular wind power stations. Our PowerBuoy system has the distinct advantage of having only a minimal visual profile. Only a small portion of the unit is visible at close range, with the bulk of the unit hidden below the water.</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9"/>
        </w:trPr>
        <w:tc>
          <w:tcPr>
            <w:tcW w:w="4560" w:type="dxa"/>
            <w:vAlign w:val="bottom"/>
            <w:gridSpan w:val="3"/>
          </w:tcPr>
          <w:p>
            <w:pPr>
              <w:jc w:val="right"/>
              <w:ind w:right="3331"/>
              <w:spacing w:after="0"/>
              <w:rPr>
                <w:sz w:val="20"/>
                <w:szCs w:val="20"/>
                <w:color w:val="auto"/>
              </w:rPr>
            </w:pPr>
            <w:r>
              <w:rPr>
                <w:rFonts w:ascii="Arial" w:cs="Arial" w:eastAsia="Arial" w:hAnsi="Arial"/>
                <w:sz w:val="14"/>
                <w:szCs w:val="14"/>
                <w:b w:val="1"/>
                <w:bCs w:val="1"/>
                <w:color w:val="auto"/>
                <w:w w:val="86"/>
              </w:rPr>
              <w:t>Customers/Projects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7140" w:type="dxa"/>
            <w:vAlign w:val="bottom"/>
            <w:gridSpan w:val="8"/>
          </w:tcPr>
          <w:p>
            <w:pPr>
              <w:ind w:left="380"/>
              <w:spacing w:after="0"/>
              <w:rPr>
                <w:sz w:val="20"/>
                <w:szCs w:val="20"/>
                <w:color w:val="auto"/>
              </w:rPr>
            </w:pPr>
            <w:r>
              <w:rPr>
                <w:rFonts w:ascii="Arial" w:cs="Arial" w:eastAsia="Arial" w:hAnsi="Arial"/>
                <w:sz w:val="14"/>
                <w:szCs w:val="14"/>
                <w:color w:val="auto"/>
                <w:w w:val="92"/>
              </w:rPr>
              <w:t>The table below shows the percentage of our revenue we derived from significant customers for the periods indicated:</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1"/>
              </w:rPr>
              <w:t>Years Ended April 30,</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760" w:type="dxa"/>
            <w:vAlign w:val="bottom"/>
            <w:gridSpan w:val="2"/>
          </w:tcPr>
          <w:p>
            <w:pPr>
              <w:spacing w:after="0"/>
              <w:rPr>
                <w:sz w:val="14"/>
                <w:szCs w:val="14"/>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0" w:type="dxa"/>
            <w:vAlign w:val="bottom"/>
            <w:vMerge w:val="continue"/>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Department of Energy</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w:t>
            </w:r>
          </w:p>
        </w:tc>
        <w:tc>
          <w:tcPr>
            <w:tcW w:w="72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w w:val="9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US Navy</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29</w:t>
            </w:r>
          </w:p>
        </w:tc>
        <w:tc>
          <w:tcPr>
            <w:tcW w:w="72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14"/>
                <w:szCs w:val="14"/>
                <w:color w:val="auto"/>
              </w:rPr>
            </w:pPr>
          </w:p>
        </w:tc>
        <w:tc>
          <w:tcPr>
            <w:tcW w:w="580" w:type="dxa"/>
            <w:vAlign w:val="bottom"/>
          </w:tcPr>
          <w:p>
            <w:pPr>
              <w:jc w:val="right"/>
              <w:ind w:right="371"/>
              <w:spacing w:after="0"/>
              <w:rPr>
                <w:sz w:val="20"/>
                <w:szCs w:val="20"/>
                <w:color w:val="auto"/>
              </w:rPr>
            </w:pPr>
            <w:r>
              <w:rPr>
                <w:rFonts w:ascii="Arial" w:cs="Arial" w:eastAsia="Arial" w:hAnsi="Arial"/>
                <w:sz w:val="14"/>
                <w:szCs w:val="14"/>
                <w:color w:val="auto"/>
                <w:w w:val="9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UK Government's Technology Strategy Board</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w:t>
            </w:r>
          </w:p>
        </w:tc>
        <w:tc>
          <w:tcPr>
            <w:tcW w:w="72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w w:val="9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European Union (WavePort project)</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72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These revenues were largely for the support of our product development efforts. Our goal, over time, is to generate revenues from utilities and other non-government commercial customers and to have such revenues represent a greater portion of our total revenues. In addition, our goal in the future is that an increased portion of our revenues will be from the sale of products and maintenance services, as compared to revenue to support our product development efforts.</w:t>
      </w:r>
    </w:p>
    <w:p>
      <w:pPr>
        <w:spacing w:after="0" w:line="14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Our potential customer base for our utility PowerBuoy systems consists of public utilities, independent power producers and other governmental entities and agencies. Our potential customer base for our autonomous PowerBuoy systems consists of different public and private entities that use electricity in and near the ocean. Our efforts to identify new customers are concentrated on four geographic markets: the west coast of North America, the west coast of Europe, the coasts of Australia and the east coast of Japan.</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US Navy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Hawaii</w:t>
      </w:r>
    </w:p>
    <w:p>
      <w:pPr>
        <w:spacing w:after="0" w:line="212"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Beginning in September 2001, we entered into a series of contracts with the United States Office of Naval Research for the development and construction of wave power systems at the Marine Corps base in Oahu, Hawaii. Under the contract for the final phase of the project, which was entered into in 2005 and expired in late 2011, we were reimbursed for costs and paid a fixed fee. From December 2009 to January 2012, we deployed our PB40-rated PowerBuoy. The PowerBuoy was connected to the grid in September 2010 in Hawaii. This project successfully met its objective by demonstrating the potential of wave power to reduce fossil fuel consumption at Navy and Marine bases around the world. We are currently exploring other potential wave power system projects in Hawaii with the US Navy.</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LEAP</w:t>
      </w:r>
    </w:p>
    <w:p>
      <w:pPr>
        <w:spacing w:after="0" w:line="212"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In September 2009, we received $2.4 million from the US Navy for the first stage of a contract to provide our PowerBuoy to the Navy's LEAP program. In September 2010, the US Navy awarded $2.75 million in additional funding to us for the second stage of this program. The LEAP program is being developed to enhance the US Navy's anti-terrorism and force protection capability by providing persistent power at sea for port maritime surveillance in the near coast, harbor, piers and offshore areas. During the first stage of the LEAP program, we successfully completed delivery of the design and on-land testing of a new power take-off system for the autonomous LEAP PowerBuoy. In the second stage of the program, we built and deployed a LEAP PowerBuoy structure, incorporating that new power take-off system. The LEAP system was deployed in 2011 by a US Coast Guard vessel and was ocean-tested approximately 20 miles off the coast of New Jersey. It was integrated with the Rutgers University-operated land-based radar network that provides ocean current mapping data for the National Oceanographic and Atmospheric Administration (NOAA) and US Coast Guard search and rescue operations. The ocean test of the LEAP vessel detection system demonstrated dual-use capability of the radar network and helped to verify our technology as a persistent power source for systems requiring remote power at sea. The LEAP PowerBuoy continued to operate during Hurricane Irene.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DWADS</w:t>
      </w:r>
    </w:p>
    <w:p>
      <w:pPr>
        <w:spacing w:after="0" w:line="21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In June 2007, we received a $1.7 million contract from the US Navy to provide our PowerBuoy technology to a unique program for data gathering in the ocean. Under this 18-month program, the US Navy conducted an ocean test in October 2008 of our autonomous PowerBuoy as the power source for the Navy's Deep Water Active Detection System. In October 2008, we received a $3.0 million contract from the US Navy to expand the program and ocean-test an advanced version of our autonomous PowerBuoy. We have substantially completed performance under this contract.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10" w:name="page11"/>
    <w:bookmarkEnd w:id="10"/>
    <w:p>
      <w:pPr>
        <w:ind w:left="260"/>
        <w:spacing w:after="0"/>
        <w:rPr>
          <w:sz w:val="20"/>
          <w:szCs w:val="20"/>
          <w:color w:val="auto"/>
        </w:rPr>
      </w:pPr>
      <w:r>
        <w:rPr>
          <w:rFonts w:ascii="Arial" w:cs="Arial" w:eastAsia="Arial" w:hAnsi="Arial"/>
          <w:sz w:val="14"/>
          <w:szCs w:val="14"/>
          <w:b w:val="1"/>
          <w:bCs w:val="1"/>
          <w:i w:val="1"/>
          <w:iCs w:val="1"/>
          <w:color w:val="auto"/>
        </w:rPr>
        <w:t>Reedsport, Oregon Project</w:t>
      </w:r>
    </w:p>
    <w:p>
      <w:pPr>
        <w:spacing w:after="0" w:line="212"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We are developing what we expect will be the first US commercial wave park off the coast of Reedsport, Oregon. The project will be built in phases: one PB150 (non-grid connected); up to ten PB150s for a total of 1.5MW, grid-connected, scaling up to 50MW, grid-connected. Phases subsequent to the deployment and commissioning of the initial PB150 are dependent upon us achieving additional project funding. In February 2007, we signed a cooperative agreement with PNGC Power, an Oregon-based electric power cooperative, as a utility partner for the development of the wave power station. In July 2007, we filed a Pre-Application Document and Notice of Intent with the US Federal Energy Regulatory Commission (FERC) for the Reedsport project, which provides notice of our intent to seek a license for the Reedsport power station and information regarding the project. In February 2010, we filed with FERC a full application to build, deploy and connect to the grid a 10-PowerBuoy array (1.5 MW). In March 2011, FERC granted us a second preliminary permit to continue to evaluate the feasibility of the 50MW Reedsport project. We believe these filings were the first Pre-Application Document, Notice of Intent, and full License Application filed by a wave power company, and is an important step in the full licensing process for the Reedsport project. We will need additional authorization from FERC to sell electric power generated from the Reedsport wave power station into the wholesale or retail markets.</w:t>
      </w:r>
    </w:p>
    <w:p>
      <w:pPr>
        <w:spacing w:after="0" w:line="180"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In August 2007, we announced the award of a $0.5 million contract from PNGC Power, providing funding toward the fabrication and installation of a 150kW PowerBuoy system for the Reedsport project. In October 2008, we received a $2.0 million award from the DOE in support of the project. This DOE grant is being used to help fund the fabrication and factory testing of the first PowerBuoy to be installed at the Reedsport site. This was the first award for the building of ocean wave energy systems by the DOE. In September 2010, we announced the award of another grant for the Reedsport project from the DOE of $2.4 million. This award will be used for final assembly, deployment and ocean trials of the first PowerBuoy.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This PowerBuoy is expected to be ready for deployment in 2012, with deployment timing principally dependent on weather conditions.</w:t>
      </w:r>
    </w:p>
    <w:p>
      <w:pPr>
        <w:spacing w:after="0" w:line="212" w:lineRule="exact"/>
        <w:rPr>
          <w:sz w:val="20"/>
          <w:szCs w:val="20"/>
          <w:color w:val="auto"/>
        </w:rPr>
      </w:pPr>
    </w:p>
    <w:p>
      <w:pPr>
        <w:jc w:val="both"/>
        <w:ind w:firstLine="373"/>
        <w:spacing w:after="0" w:line="304" w:lineRule="auto"/>
        <w:rPr>
          <w:sz w:val="20"/>
          <w:szCs w:val="20"/>
          <w:color w:val="auto"/>
        </w:rPr>
      </w:pPr>
      <w:r>
        <w:rPr>
          <w:rFonts w:ascii="Arial" w:cs="Arial" w:eastAsia="Arial" w:hAnsi="Arial"/>
          <w:sz w:val="12"/>
          <w:szCs w:val="12"/>
          <w:color w:val="auto"/>
        </w:rPr>
        <w:t>We continue to make progress on the overall permitting and licensing process while working extensively with interested stakeholder groups at local, county, state and federal agency levels. In August 2010, we announced a Settlement Agreement with 11 federal and state agencies and three non-governmental stakeholders. This first-ever wave energy settlement agreement was reached after extensive technical, policy, and legal discussions regarding appropriate prevention, mitigation and enhancement measures, and study requirements. It covers a broad array of resource areas including aquatic resources, water quality, recreation, public safety, crabbing and fishing, terrestrial resources and cultural resources. The Settlement Agreement includes an innovative Adaptive Management Plan that will be used to identify and implement environmental studies that may be required, and to provide a blueprint for the application of this new information as the wave power station develops.</w:t>
      </w:r>
    </w:p>
    <w:p>
      <w:pPr>
        <w:spacing w:after="0" w:line="163"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September 2011, we announced that we will collaborate with Lockheed Martin in connection with our proposed commercial-scale wave power generation project at Reedsport. Under this collaboration, Lockheed Martin is providing design, manufacturing, system integration and supply chain management expertise to enhance our PowerBuoy technology. This builds on previous work conducted by Lockheed Martin and us.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Next Generation PB500 PowerBuoy</w:t>
      </w:r>
    </w:p>
    <w:p>
      <w:pPr>
        <w:spacing w:after="0" w:line="212"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In April 2010, we received a $1.5 million award from the DOE for the development of our next generation 500kW PowerBuoy wave power system, the PB500. In the fiscal year ended April 30, 2011, we received awards of an additional $4.7 million for development of the PB500, $2.4 million from the DOE and $2.3 million from the UK Government’s Technology Strategy Board. We intend to use proceeds from these grants to help fund the scale-up of the power output per PowerBuoy from the current level of 150kW to 500kW. In addition, the technology development effort will focus on increasing the power extraction efficiency and reliability. Structural design of the PB500 major subsystems is in progress, and wave tank testing of the models has been completed.</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Scotland Project</w:t>
      </w:r>
    </w:p>
    <w:p>
      <w:pPr>
        <w:spacing w:after="0" w:line="212"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In 2007, we received a $1.8 million contract from the Scottish Executive toward the construction and testing of a 150kW grid-connected PowerBuoy system. Ocean trials of our first 150kW PowerBuoy were conducted in 2011. These ocean trials were conducted at a site approximately 33 nautical miles from Invergordon, off Scotland’s northeast coast. During the ocean trials, our 150kW rated PowerBuoy produced power in excess of our expectations of performance. Our utility scale PB150 structure and mooring system achieved independent certification from Lloyd’s Register. This certification from Lloyd’s Register confirms that the PB150 design complies with the requirements of Lloyd’s 1999 Rules and Regulations for the Classification of Floating Offshore Installations at Fixed Locations.</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are seeking a customer for the commercial utilization of the buoy, including its deployment at various potential sites.</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Spain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2006 Spain Project</w:t>
      </w:r>
    </w:p>
    <w:p>
      <w:pPr>
        <w:spacing w:after="0" w:line="212"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In July 2006, after exploratory studies were conducted, Iberdrola Energias Marinas de Cantabria, S.A., or Iberdrola Cantabria, was formed for the purpose of constructing and operating a wave power station off the coast of Santoña, Spain. Iberdrola Energias Renovables II, S.A. (Iberdrola Energias), an affiliate of Iberdrola, is the largest shareholder of Iberdrola Cantabria. Minority shareholders include us, Sociedad para el Desarrollo Regional de Cantabria, S.A., or SODERCAN, which is the industrial development agency of the Spanish region of Cantabria, Total Eolica, an affiliate of Total S.A., and Instituto para la Diversificacion y Ahorro de la Energia, S.A., (IDAE), a Spanish government agency dedicated to energy conservation and diversification efforts. Funding is shared among the shareholders based on agreed-upon percentages that reflect the parties' anticipated ownership interest in the wave power station. We own 10% of Iberdrola Cantabria.</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11" w:name="page12"/>
    <w:bookmarkEnd w:id="11"/>
    <w:p>
      <w:pPr>
        <w:jc w:val="both"/>
        <w:ind w:firstLine="373"/>
        <w:spacing w:after="0" w:line="280" w:lineRule="auto"/>
        <w:rPr>
          <w:sz w:val="20"/>
          <w:szCs w:val="20"/>
          <w:color w:val="auto"/>
        </w:rPr>
      </w:pPr>
      <w:r>
        <w:rPr>
          <w:rFonts w:ascii="Arial" w:cs="Arial" w:eastAsia="Arial" w:hAnsi="Arial"/>
          <w:sz w:val="13"/>
          <w:szCs w:val="13"/>
          <w:color w:val="auto"/>
        </w:rPr>
        <w:t>In July 2006, we entered into an agreement for the first phase of the construction of a wave power station with our customer, Iberdrola Cantabria (2006 Spain Construction Agreement). In January 2007, the parties entered into a corresponding operations and maintenance agreement. Under the construction agreement, we agreed to manufacture and deploy one 40kW PowerBuoy system and the ocean-based substation and infrastructure required to connect nine additional 150kW PowerBuoy systems by December 31, 2009. The terms of the construction of the nine additional PowerBuoy units and the installation of the underwater transmission cable and underwater substation pod were not covered by the construction agreement and were to be separately agreed upon.</w:t>
      </w:r>
    </w:p>
    <w:p>
      <w:pPr>
        <w:spacing w:after="0" w:line="174" w:lineRule="exact"/>
        <w:rPr>
          <w:sz w:val="20"/>
          <w:szCs w:val="20"/>
          <w:color w:val="auto"/>
        </w:rPr>
      </w:pPr>
    </w:p>
    <w:p>
      <w:pPr>
        <w:jc w:val="both"/>
        <w:ind w:firstLine="373"/>
        <w:spacing w:after="0" w:line="273" w:lineRule="auto"/>
        <w:rPr>
          <w:sz w:val="20"/>
          <w:szCs w:val="20"/>
          <w:color w:val="auto"/>
        </w:rPr>
      </w:pPr>
      <w:r>
        <w:rPr>
          <w:rFonts w:ascii="Arial" w:cs="Arial" w:eastAsia="Arial" w:hAnsi="Arial"/>
          <w:sz w:val="13"/>
          <w:szCs w:val="13"/>
          <w:color w:val="auto"/>
        </w:rPr>
        <w:t>The initial PB40 PowerBuoy system for this project was deployed in September 2008. After a short testing period, the buoy was removed from the water for work on improvements to the power take-off and control systems. In November 2010, we agreed to negotiate with Iberdrola Cantabria with the goal of cancelling the remaining obligations between the parties under the construction and operations and maintenance agreements, transferring ownership of the equipment manufactured or purchased by us under the construction agreement to Iberdrola Cantabria, and having Iberdrola Cantabria pay certain amounts due to us. Negotiations are underway for such efforts and are still ongoing. If no modification to the 2006 Spain Construction Agreement is agreed to by the parties, the customer may, subject to certain conditions in the agreement, terminate the agreement without the obligation to make further milestone payments and, potentially, collect reimbursement for direct damages, limited as specified in the construction agreement, for the failure of the PowerBuoy to meet certain performance thresholds. We do not expect the termination of the 2006 Spain Construction Agreement or potential liability for damages to materially adversely affect our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WavePort Project</w:t>
      </w:r>
    </w:p>
    <w:p>
      <w:pPr>
        <w:spacing w:after="0" w:line="21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In March 2010, we announced the award of €2.2 million under the European Commission's Seventh Framework Programme (FP7) by the European Commission's Directorate responsible for new and renewable sources of energy, energy efficiency and innovation. This grant is part of a total award of €4.5 million to a consortium of companies, including us, to deliver a PowerBuoy wave energy device under a project entitled WavePort, with an innovative wave prediction capability and a "wave-by-wave" tuning system. It is anticipated that the PowerBuoy will be deployed at the Santoña site in Spain. We commenced work under this grant in fiscal 2012.</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w:t>
      </w:r>
    </w:p>
    <w:p>
      <w:pPr>
        <w:spacing w:after="0" w:line="212"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In December 2008, we announced a Joint Development Agreement with Leighton Contractors Pty. Ltd. (Leighton) for the development of wave power projects off the east and south coasts of Australia. In 2009, Leighton formed Victorian Wave Partners Pty. Ltd. (VWP), a special purpose company for the development of a 19MW wave power project off the coast of Victoria, Australia. In November 2009, we announced that VWP was awarded an A$66.46 million grant from the Federal Government of Australia for the 19MW wave power project. The grant is subject to certain terms, including funding milestones, which require significant additional funding to enable the receipt of the grant funds and the completion of the project.</w:t>
      </w:r>
    </w:p>
    <w:p>
      <w:pPr>
        <w:spacing w:after="0" w:line="174"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 March 2012, our Australian subsidiary Ocean Power Technologies (Australasia) Pty Ltd acquired 100% ownership of Victorian Wave Partners from Leighton. Leighton may still participate as a service provider to the project.</w:t>
      </w:r>
    </w:p>
    <w:p>
      <w:pPr>
        <w:spacing w:after="0" w:line="180"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In July 2012, we entered into a teaming agreement with Lockheed Martin with the goal of developing a 19MW wave energy project in Victoria, Australia. In order to expedite development of this project, Lockheed Martin plans to assist us with PowerBuoy design, lead the production and system integration of the wave energy converters, and support overall program management. Working with Lockheed Martin, we are assessing various financing opportunities for the project as well as potential purchase power agreements with local industry and utilities.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Japan</w:t>
      </w:r>
    </w:p>
    <w:p>
      <w:pPr>
        <w:spacing w:after="0" w:line="212"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We are presently working with Mistui Engineering &amp; Shipbuilding Co. (MES) to identify prospective sites for a demonstration wave power station in Japan. In 2011, we signed a $220,000 contract with MES to develop a new mooring system for our PowerBuoy. We also worked with MES to conduct certain development engineering in connection with the project, and to perform tests at MES’s wave tank facilities. In 2012, we are currently working with MES in testing the feasibility of our technology to perform in Japanese sea conditions, with the near-term goal of deploying one of our PowerBuoys in Japan and a longer-term goal of a Japan-based scaleable power station of at least 10MW capacity. In 2012, we recorded $191,000 of revenue in connection with these efforts with MES.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Kingdom</w:t>
      </w:r>
    </w:p>
    <w:p>
      <w:pPr>
        <w:spacing w:after="0" w:line="212"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In February 2006, we received approval from the UK Government’s Technology Strategy Board to install a demonstration wave power station off the coast of Cornwall, England as part of TSB’s "Wave Hub" project, a planned offshore facility for demonstrating and testing wave energy generation devices. TSB has obtained the necessary permits for this Wave Hub project, and the project received over £40 million of funding for construction of the Wave Hub infrastructure, which was completed during 2010. We are seeking funding for the deployment of our PowerBuoy systems at this site.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Backlog</w:t>
      </w:r>
    </w:p>
    <w:p>
      <w:pPr>
        <w:spacing w:after="0" w:line="216"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At April 30, 2012, our total negotiated backlog was $6.8 million compared with $8.9 million at April 30, 2011. This backlog consists largely of orders to support our product development. We anticipate that a majority of our backlog will be recognized as revenue over the next 12 months. Our backlog includes both funded amounts, which are unfilled firm orders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Funded backlog was $4.8 million and $6.9 million at April 30, 2012 and 2011, respectively.</w:t>
      </w:r>
    </w:p>
    <w:p>
      <w:pPr>
        <w:spacing w:after="0" w:line="19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 amount of contract backlog is not necessarily indicative of future revenue because modifications to or terminations of present contracts and production delays can provide additional revenue or reduce anticipated revenue. A substantial majority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Strategy</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Our goal is to strengthen our leadership in developing wave energy technologies and commercializing wave power stations and related services. In order to achieve this goal, we are pursuing the following business strategies:</w:t>
      </w:r>
    </w:p>
    <w:p>
      <w:pPr>
        <w:spacing w:after="0" w:line="346" w:lineRule="exact"/>
        <w:rPr>
          <w:sz w:val="20"/>
          <w:szCs w:val="20"/>
          <w:color w:val="auto"/>
        </w:rPr>
      </w:pPr>
    </w:p>
    <w:p>
      <w:pPr>
        <w:jc w:val="both"/>
        <w:ind w:left="720" w:hanging="240"/>
        <w:spacing w:after="0" w:line="258"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Sell turn-key power stations and operating and maintenance contracts. </w:t>
      </w:r>
      <w:r>
        <w:rPr>
          <w:rFonts w:ascii="Arial" w:cs="Arial" w:eastAsia="Arial" w:hAnsi="Arial"/>
          <w:sz w:val="14"/>
          <w:szCs w:val="14"/>
          <w:color w:val="auto"/>
        </w:rPr>
        <w:t>Our fundamental business plan is to sell turn-key power stations, rather than to take on the capital requirements of</w:t>
      </w:r>
      <w:r>
        <w:rPr>
          <w:rFonts w:ascii="Arial" w:cs="Arial" w:eastAsia="Arial" w:hAnsi="Arial"/>
          <w:sz w:val="14"/>
          <w:szCs w:val="14"/>
          <w:i w:val="1"/>
          <w:iCs w:val="1"/>
          <w:color w:val="auto"/>
        </w:rPr>
        <w:t xml:space="preserve"> </w:t>
      </w:r>
      <w:r>
        <w:rPr>
          <w:rFonts w:ascii="Arial" w:cs="Arial" w:eastAsia="Arial" w:hAnsi="Arial"/>
          <w:sz w:val="14"/>
          <w:szCs w:val="14"/>
          <w:color w:val="auto"/>
        </w:rPr>
        <w:t>building and owning power stations and selling the energy generated. In addition, in order to create recurring revenue streams, we seek to sell operating and maintenance (O&amp;M) contracts over the life-cycle of the plants.</w:t>
      </w:r>
    </w:p>
    <w:p>
      <w:pPr>
        <w:spacing w:after="0" w:line="144" w:lineRule="exact"/>
        <w:rPr>
          <w:rFonts w:ascii="Arial" w:cs="Arial" w:eastAsia="Arial" w:hAnsi="Arial"/>
          <w:sz w:val="14"/>
          <w:szCs w:val="14"/>
          <w:color w:val="auto"/>
        </w:rPr>
      </w:pPr>
    </w:p>
    <w:p>
      <w:pPr>
        <w:ind w:left="720" w:hanging="240"/>
        <w:spacing w:after="0" w:line="353" w:lineRule="auto"/>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Outsource most of the plant construction and deployment. </w:t>
      </w:r>
      <w:r>
        <w:rPr>
          <w:rFonts w:ascii="Arial" w:cs="Arial" w:eastAsia="Arial" w:hAnsi="Arial"/>
          <w:sz w:val="12"/>
          <w:szCs w:val="12"/>
          <w:color w:val="auto"/>
        </w:rPr>
        <w:t>We outsource all metal fabrication, anchoring, mooring, cabling supply and deployment in order to minimize our capital requirements</w:t>
      </w:r>
      <w:r>
        <w:rPr>
          <w:rFonts w:ascii="Arial" w:cs="Arial" w:eastAsia="Arial" w:hAnsi="Arial"/>
          <w:sz w:val="12"/>
          <w:szCs w:val="12"/>
          <w:i w:val="1"/>
          <w:iCs w:val="1"/>
          <w:color w:val="auto"/>
        </w:rPr>
        <w:t xml:space="preserve"> </w:t>
      </w:r>
      <w:r>
        <w:rPr>
          <w:rFonts w:ascii="Arial" w:cs="Arial" w:eastAsia="Arial" w:hAnsi="Arial"/>
          <w:sz w:val="12"/>
          <w:szCs w:val="12"/>
          <w:color w:val="auto"/>
        </w:rPr>
        <w:t>as we scale up production volumes. The high value-added "smart part" of the system is assembled and tested at our facilities and shipped to project sites for integration into the PowerBuoys.</w:t>
      </w:r>
    </w:p>
    <w:p>
      <w:pPr>
        <w:spacing w:after="0" w:line="91" w:lineRule="exact"/>
        <w:rPr>
          <w:rFonts w:ascii="Arial" w:cs="Arial" w:eastAsia="Arial" w:hAnsi="Arial"/>
          <w:sz w:val="12"/>
          <w:szCs w:val="12"/>
          <w:color w:val="auto"/>
        </w:rPr>
      </w:pPr>
    </w:p>
    <w:p>
      <w:pPr>
        <w:jc w:val="both"/>
        <w:ind w:left="720" w:hanging="240"/>
        <w:spacing w:after="0" w:line="287"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Concentrate sales and marketing efforts on four geographic markets. </w:t>
      </w:r>
      <w:r>
        <w:rPr>
          <w:rFonts w:ascii="Arial" w:cs="Arial" w:eastAsia="Arial" w:hAnsi="Arial"/>
          <w:sz w:val="13"/>
          <w:szCs w:val="13"/>
          <w:color w:val="auto"/>
        </w:rPr>
        <w:t>We are currently focusing our sales and marketing efforts on the west coast of North America, the west coast of Europe, the</w:t>
      </w:r>
      <w:r>
        <w:rPr>
          <w:rFonts w:ascii="Arial" w:cs="Arial" w:eastAsia="Arial" w:hAnsi="Arial"/>
          <w:sz w:val="13"/>
          <w:szCs w:val="13"/>
          <w:i w:val="1"/>
          <w:iCs w:val="1"/>
          <w:color w:val="auto"/>
        </w:rPr>
        <w:t xml:space="preserve"> </w:t>
      </w:r>
      <w:r>
        <w:rPr>
          <w:rFonts w:ascii="Arial" w:cs="Arial" w:eastAsia="Arial" w:hAnsi="Arial"/>
          <w:sz w:val="13"/>
          <w:szCs w:val="13"/>
          <w:color w:val="auto"/>
        </w:rPr>
        <w:t>coasts of Australia and the east coast of Japan. We believe that each of these areas represents a strong potential market for our PowerBuoy wave power stations because they combine appropriate wave conditions, political and economic stability, large population centers, high levels of industrialization and significant and increasing electricity requirements.</w:t>
      </w:r>
    </w:p>
    <w:p>
      <w:pPr>
        <w:spacing w:after="0" w:line="127" w:lineRule="exact"/>
        <w:rPr>
          <w:rFonts w:ascii="Arial" w:cs="Arial" w:eastAsia="Arial" w:hAnsi="Arial"/>
          <w:sz w:val="13"/>
          <w:szCs w:val="13"/>
          <w:color w:val="auto"/>
        </w:rPr>
      </w:pPr>
    </w:p>
    <w:p>
      <w:pPr>
        <w:jc w:val="both"/>
        <w:ind w:left="720" w:hanging="240"/>
        <w:spacing w:after="0" w:line="280"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Continue to increase PowerBuoy system output. </w:t>
      </w:r>
      <w:r>
        <w:rPr>
          <w:rFonts w:ascii="Arial" w:cs="Arial" w:eastAsia="Arial" w:hAnsi="Arial"/>
          <w:sz w:val="13"/>
          <w:szCs w:val="13"/>
          <w:color w:val="auto"/>
        </w:rPr>
        <w:t>Our product development and engineering efforts are focused on increasing the energy output of the design of our PowerBuoy systems from up</w:t>
      </w:r>
      <w:r>
        <w:rPr>
          <w:rFonts w:ascii="Arial" w:cs="Arial" w:eastAsia="Arial" w:hAnsi="Arial"/>
          <w:sz w:val="13"/>
          <w:szCs w:val="13"/>
          <w:i w:val="1"/>
          <w:iCs w:val="1"/>
          <w:color w:val="auto"/>
        </w:rPr>
        <w:t xml:space="preserve"> </w:t>
      </w:r>
      <w:r>
        <w:rPr>
          <w:rFonts w:ascii="Arial" w:cs="Arial" w:eastAsia="Arial" w:hAnsi="Arial"/>
          <w:sz w:val="13"/>
          <w:szCs w:val="13"/>
          <w:color w:val="auto"/>
        </w:rPr>
        <w:t>to 40kW, and 150kW, and thereafter to 500kW. If we increase the size of a PowerBuoy system or increase its energy conversion efficiency, we will be able to increase the amount of wave energy the system can capture and increase the output of the system. We believe that by increasing system output of the individual PowerBuoy, and also by increasing volume production of the PowerBuoys, we will be able to decrease the cost per kilowatt of our PowerBuoy system and the cost per kilowatt hour of the energy generated.</w:t>
      </w:r>
    </w:p>
    <w:p>
      <w:pPr>
        <w:spacing w:after="0" w:line="318" w:lineRule="exact"/>
        <w:rPr>
          <w:rFonts w:ascii="Arial" w:cs="Arial" w:eastAsia="Arial" w:hAnsi="Arial"/>
          <w:sz w:val="13"/>
          <w:szCs w:val="13"/>
          <w:color w:val="auto"/>
        </w:rPr>
      </w:pPr>
    </w:p>
    <w:p>
      <w:pPr>
        <w:jc w:val="both"/>
        <w:ind w:left="720" w:hanging="240"/>
        <w:spacing w:after="0" w:line="280"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Leverage customer relationships to enhance the commercial acceptance of our utility PowerBuoy system. </w:t>
      </w:r>
      <w:r>
        <w:rPr>
          <w:rFonts w:ascii="Arial" w:cs="Arial" w:eastAsia="Arial" w:hAnsi="Arial"/>
          <w:sz w:val="13"/>
          <w:szCs w:val="13"/>
          <w:color w:val="auto"/>
        </w:rPr>
        <w:t>We believe that our project at the US Marine Corps base in Oahu, Hawaii may serve as</w:t>
      </w:r>
      <w:r>
        <w:rPr>
          <w:rFonts w:ascii="Arial" w:cs="Arial" w:eastAsia="Arial" w:hAnsi="Arial"/>
          <w:sz w:val="13"/>
          <w:szCs w:val="13"/>
          <w:i w:val="1"/>
          <w:iCs w:val="1"/>
          <w:color w:val="auto"/>
        </w:rPr>
        <w:t xml:space="preserve"> </w:t>
      </w:r>
      <w:r>
        <w:rPr>
          <w:rFonts w:ascii="Arial" w:cs="Arial" w:eastAsia="Arial" w:hAnsi="Arial"/>
          <w:sz w:val="13"/>
          <w:szCs w:val="13"/>
          <w:color w:val="auto"/>
        </w:rPr>
        <w:t>a prototype wave power station for the installation of wave power stations at other US Navy bases and at other international sites. Our relationship with PNGC Power regarding our Reedsport, Oregon project is the first such utility relationship on the west coast of the United States. We intend to build on these existing commercial relationships both by expanding the number and size of projects we have with our current customers and by entering into new alliances and commercial relationships with other utilities and independent power producers.</w:t>
      </w:r>
    </w:p>
    <w:p>
      <w:pPr>
        <w:spacing w:after="0" w:line="132" w:lineRule="exact"/>
        <w:rPr>
          <w:rFonts w:ascii="Arial" w:cs="Arial" w:eastAsia="Arial" w:hAnsi="Arial"/>
          <w:sz w:val="13"/>
          <w:szCs w:val="13"/>
          <w:color w:val="auto"/>
        </w:rPr>
      </w:pPr>
    </w:p>
    <w:p>
      <w:pPr>
        <w:jc w:val="both"/>
        <w:ind w:left="720" w:hanging="240"/>
        <w:spacing w:after="0" w:line="274"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i w:val="1"/>
          <w:iCs w:val="1"/>
          <w:color w:val="auto"/>
        </w:rPr>
        <w:t xml:space="preserve">Expand revenue streams from our autonomous PowerBuoy system. </w:t>
      </w:r>
      <w:r>
        <w:rPr>
          <w:rFonts w:ascii="Arial" w:cs="Arial" w:eastAsia="Arial" w:hAnsi="Arial"/>
          <w:sz w:val="13"/>
          <w:szCs w:val="13"/>
          <w:color w:val="auto"/>
        </w:rPr>
        <w:t>The autonomous PowerBuoy system addresses specific power generation needs of customers requiring off-grid electricity</w:t>
      </w:r>
      <w:r>
        <w:rPr>
          <w:rFonts w:ascii="Arial" w:cs="Arial" w:eastAsia="Arial" w:hAnsi="Arial"/>
          <w:sz w:val="13"/>
          <w:szCs w:val="13"/>
          <w:i w:val="1"/>
          <w:iCs w:val="1"/>
          <w:color w:val="auto"/>
        </w:rPr>
        <w:t xml:space="preserve"> </w:t>
      </w:r>
      <w:r>
        <w:rPr>
          <w:rFonts w:ascii="Arial" w:cs="Arial" w:eastAsia="Arial" w:hAnsi="Arial"/>
          <w:sz w:val="13"/>
          <w:szCs w:val="13"/>
          <w:color w:val="auto"/>
        </w:rPr>
        <w:t>generation in remote locations in the open ocean. Since our autonomous PowerBuoy systems are well suited for many of these uses, we do not expect that they will require subsidies or other price incentives for commercial acceptance. We believe there are a variety of potential applications for this system, including homeland security, offshore oil and gas platforms, aquaculture and ocean-based communication and data gathering such as for tsunami warnings and seismic surveys. We have entered into contracts with the US Navy for the testing of our autonomous PowerBuoy in connection with a unique program for ocean data gathering, as well as for the LEAP program for homeland security. We believe that successful testing of our autonomous PowerBuoy system under these contracts may result in additional revenues from the US Navy and other prospective customers.</w:t>
      </w:r>
    </w:p>
    <w:p>
      <w:pPr>
        <w:spacing w:after="0" w:line="137" w:lineRule="exact"/>
        <w:rPr>
          <w:rFonts w:ascii="Arial" w:cs="Arial" w:eastAsia="Arial" w:hAnsi="Arial"/>
          <w:sz w:val="13"/>
          <w:szCs w:val="13"/>
          <w:color w:val="auto"/>
        </w:rPr>
      </w:pPr>
    </w:p>
    <w:p>
      <w:pPr>
        <w:jc w:val="both"/>
        <w:ind w:left="720" w:hanging="240"/>
        <w:spacing w:after="0" w:line="258" w:lineRule="auto"/>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i w:val="1"/>
          <w:iCs w:val="1"/>
          <w:color w:val="auto"/>
        </w:rPr>
        <w:t xml:space="preserve">Maximize customer funding of technology development. </w:t>
      </w:r>
      <w:r>
        <w:rPr>
          <w:rFonts w:ascii="Arial" w:cs="Arial" w:eastAsia="Arial" w:hAnsi="Arial"/>
          <w:sz w:val="14"/>
          <w:szCs w:val="14"/>
          <w:color w:val="auto"/>
        </w:rPr>
        <w:t>We actively seek to obtain external funding for the development of our technology, including cost-sharing obligations under some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 contracts. In April 2010, we were awarded $1.5 million from the US Department of Energy for the development of our PB500 product. In fiscal year 2011, we were awarded an additional $2.4 million from the DOE and $2.3 million from the UK Government’s Technology Strategy Board for PB500 development.</w:t>
      </w:r>
    </w:p>
    <w:p>
      <w:pPr>
        <w:spacing w:after="0" w:line="144" w:lineRule="exact"/>
        <w:rPr>
          <w:rFonts w:ascii="Arial" w:cs="Arial" w:eastAsia="Arial" w:hAnsi="Arial"/>
          <w:sz w:val="14"/>
          <w:szCs w:val="14"/>
          <w:color w:val="auto"/>
        </w:rPr>
      </w:pPr>
    </w:p>
    <w:p>
      <w:pPr>
        <w:ind w:left="720" w:hanging="240"/>
        <w:spacing w:after="0" w:line="353" w:lineRule="auto"/>
        <w:tabs>
          <w:tab w:leader="none" w:pos="720"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 xml:space="preserve">Expand our partnerships in key market areas. </w:t>
      </w:r>
      <w:r>
        <w:rPr>
          <w:rFonts w:ascii="Arial" w:cs="Arial" w:eastAsia="Arial" w:hAnsi="Arial"/>
          <w:sz w:val="12"/>
          <w:szCs w:val="12"/>
          <w:color w:val="auto"/>
        </w:rPr>
        <w:t>We believe that an important element of our business strategy is to collaborate with other organizations to leverage our combined expertise, market</w:t>
      </w:r>
      <w:r>
        <w:rPr>
          <w:rFonts w:ascii="Arial" w:cs="Arial" w:eastAsia="Arial" w:hAnsi="Arial"/>
          <w:sz w:val="12"/>
          <w:szCs w:val="12"/>
          <w:i w:val="1"/>
          <w:iCs w:val="1"/>
          <w:color w:val="auto"/>
        </w:rPr>
        <w:t xml:space="preserve"> </w:t>
      </w:r>
      <w:r>
        <w:rPr>
          <w:rFonts w:ascii="Arial" w:cs="Arial" w:eastAsia="Arial" w:hAnsi="Arial"/>
          <w:sz w:val="12"/>
          <w:szCs w:val="12"/>
          <w:color w:val="auto"/>
        </w:rPr>
        <w:t>presence and core competences. We have formed such partnerships more recently with Lockheed Martin in the US and Australia, and with Mitsui Engineering and Shipbuilding in Japan.</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Marketing and Sales</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are developing our sales capabilities and have begun commercial marketing and selling of our PowerBuoy systems. Because our products use a new commercial technology, the decision process of a customer requires substantial educational efforts.</w:t>
      </w:r>
    </w:p>
    <w:p>
      <w:pPr>
        <w:spacing w:after="0" w:line="138"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In addition to our own direct sales, we will continue to enter into development agreements and strategic alliances with regional utility and energy companies committed to providing electricity from renewable energy sources. We plan to leverage these relationships to sell and market our PowerBuoy wave power stations to these companies and their affiliates and to other customers in the region. We plan to expand our relationships by entering into long-term operations and maintenance contracts to support completed wave power stations. In order to penetrate certain international markets, we plan to implement marketing strategies that respond to local market demands. In particular markets, we may grant licenses to local businesses to sell, manufacture or operate PowerBuoy wave power stations.</w:t>
      </w:r>
    </w:p>
    <w:p>
      <w:pPr>
        <w:spacing w:after="0" w:line="36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Utility PowerBuoy System Marketing</w:t>
      </w:r>
    </w:p>
    <w:p>
      <w:pPr>
        <w:spacing w:after="0" w:line="21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We plan to market our utility PowerBuoy systems to utilities and independent power producers interested in adding electricity generated from renewable sources to their existing electricity supply. In addition, we are exploring the use of our utility PowerBuoy systems for applications that include desalination of water, hydrogen production, water treatment and natural resource processing. In these instances, the power generated by the utility PowerBuoy system would bypass the grid and be delivered directly to the point of electricity consumption for these special applications.</w:t>
      </w:r>
    </w:p>
    <w:p>
      <w:pPr>
        <w:spacing w:after="0" w:line="169"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expect to be able to use the availability of subsidies and other incentives to market the electricity generated by wave power stations as an alternative to fossil fuel generated electricity. We plan to educate potential customers on the availability of these incentives and, where appropriate, work with them to prepare and file the necessary applications, select sites to meet program requirements and take advantage of these incentives.</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Autonomous PowerBuoy System Marketing</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There are a variety of potential customers, such as companies within the offshore oil and gas industry, the US Department of Homeland Security and US Department of Defense, that have specific needs for off-grid power generation that can be supplied by our autonomous PowerBuoy system. Potential applications for off-grid power supply include homeland security, offshore oil and gas platforms, aquaculture and ocean-based communication and data gathering such as for tsunami warnings.</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 and Deployment</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Manufacturing and Raw Materials</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engage in two types of manufacturing activities: the manufacturing of the high value-added components, or "smart part" modules, for systems control, power generation and power conversion for each PowerBuoy system, and the contracting to outside companies for the fabrication of the buoy-like structure, anchoring and mooring, and cabling.</w:t>
      </w:r>
    </w:p>
    <w:p>
      <w:pPr>
        <w:spacing w:after="0" w:line="180"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Our core in-house manufacturing activity is the assembly and testing of the power generation and control modules at our Pennington, New Jersey facility. The power generation and control modules include the critical electrical and electronic systems that convert the mechanical energy into usable electrical energy. The sensors and control systems use sophisticated technology to monitor ocean conditions and automatically optimize the performance of the PowerBuoy system in response to those changing conditions. We have a portfolio of patents, including those that cover our power generation, power conversion and control technologies. Due to the critical and proprietary nature of these systems, we do not outsource their assembly and testing. After a generator and control module passes our rigorous quality control procedures, it is transported as a ready-to-install subsystem to the project site.</w:t>
      </w:r>
    </w:p>
    <w:p>
      <w:pPr>
        <w:spacing w:after="0" w:line="178"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We purchase the remaining components of, and raw materials for, each PowerBuoy system from various vendors. Currently, we contract for these components on a project-by-project basis. We conduct a bidding process to select a supplier with the optimal combination of price, delivery terms and quality. Our goal is to develop ongoing relationships with select vendors centrally located in different regions, which will allow us to reduce unit costs as our volume increases. We provide specifications to each vendor, and they are responsible for performing quality analysis and quality control over the course of construction, subject to our review of the quality test procedures and results. After each vendor completes testing of the component, it is transported ready-to-install to the project site.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14" w:name="page15"/>
    <w:bookmarkEnd w:id="14"/>
    <w:p>
      <w:pPr>
        <w:jc w:val="both"/>
        <w:ind w:firstLine="373"/>
        <w:spacing w:after="0" w:line="280" w:lineRule="auto"/>
        <w:rPr>
          <w:sz w:val="20"/>
          <w:szCs w:val="20"/>
          <w:color w:val="auto"/>
        </w:rPr>
      </w:pPr>
      <w:r>
        <w:rPr>
          <w:rFonts w:ascii="Arial" w:cs="Arial" w:eastAsia="Arial" w:hAnsi="Arial"/>
          <w:sz w:val="13"/>
          <w:szCs w:val="13"/>
          <w:color w:val="auto"/>
        </w:rPr>
        <w:t>Upon arrival at the project site, the generator and control modules are integrated with the balance of the components of the PowerBuoy system. We are highly dependent on our third-party suppliers; however, we actively manage key steps in the supply chain. We act as the general contractor, and retain the ultimate responsibility for building the PowerBuoy wave power station, and installing, testing and deploying the complete wave power station at the project site. This process requires significant project and contract management by us. We currently employ individuals who have experience with all aspects of both the manufacturing and engineering contracting processes, and demonstrated organizational capabilities in these critical areas.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Deployment</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For our existing and currently planned deployments, we purchase from subcontractors the mooring system and cables needed to install the PowerBuoy system and connect it to either the power grid or a remote power site. The vendor usually transports these components to the project site.</w:t>
      </w:r>
    </w:p>
    <w:p>
      <w:pPr>
        <w:spacing w:after="0" w:line="180"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Each step in the deployment process for our existing and currently planned deployments is outsourced to subcontractors located near the project site. First the mooring system, consisting of floats, anchors and chains, is brought to the wave power station's ultimate ocean location by workboats or barges. At the same time, the cable to transmit the generated electricity is laid by a subcontractor. Next, the PowerBuoy system is towed to the ocean location and fixed to the mooring system. The PowerBuoy system would then be connected to the USP, which would then be connected to the grid or the distributed power site. At this point, we would have a fully assembled PowerBuoy, which subject to final testing, would be ready for operation. An array of PowerBuoys would be installed using a similar approach, but would add the deployment of the USP to serve as an aggregator for the energy output of multiple PowerBuoys.</w:t>
      </w:r>
    </w:p>
    <w:p>
      <w:pPr>
        <w:spacing w:after="0" w:line="178"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expect that the subcontractor services required for deployment of a wave power station will be readily available in the locations where we currently plan to deploy our systems, although we are dependent on third parties for the entire process. We actively manage each step with personnel who have significant project management and deployment experience.</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1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Our research and development team consists of employees with a broad range of experience in mechanical engineering, electrical engineering, hydrodynamics and systems engineering. We engage in extensive research and development efforts to improve PowerBuoy efficiency, reliability and power output and to reduce manufacturing cost and complexity. Our research and development efforts are currently focused on increasing the output and reliability of our utility PowerBuoy system including the 150kW PowerBuoy system and to our research and development of new products, product applications and complementary technologies. We are also conducting research on improvements to our current technology.</w:t>
      </w:r>
    </w:p>
    <w:p>
      <w:pPr>
        <w:spacing w:after="0" w:line="19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Research and development expenses are reflected on our consolidated statements of operations as product development costs. Research and development expenses were $8.3 million for fiscal 2012, $13.3 million for fiscal 2011 and $13.0 million for fiscal 2010.</w:t>
      </w:r>
    </w:p>
    <w:p>
      <w:pPr>
        <w:spacing w:after="0" w:line="180" w:lineRule="exact"/>
        <w:rPr>
          <w:sz w:val="20"/>
          <w:szCs w:val="20"/>
          <w:color w:val="auto"/>
        </w:rPr>
      </w:pPr>
    </w:p>
    <w:p>
      <w:pPr>
        <w:jc w:val="both"/>
        <w:ind w:firstLine="373"/>
        <w:spacing w:after="0" w:line="273" w:lineRule="auto"/>
        <w:rPr>
          <w:sz w:val="20"/>
          <w:szCs w:val="20"/>
          <w:color w:val="auto"/>
        </w:rPr>
      </w:pPr>
      <w:r>
        <w:rPr>
          <w:rFonts w:ascii="Arial" w:cs="Arial" w:eastAsia="Arial" w:hAnsi="Arial"/>
          <w:sz w:val="13"/>
          <w:szCs w:val="13"/>
          <w:color w:val="auto"/>
        </w:rPr>
        <w:t>We are currently working on the design for our 500kW PowerBuoy. The key to increasing the energy output of the PowerBuoy system is to increase the system's efficiency as well as its diameter. If we increase the size and efficiency of the wave capture portion of the PowerBuoy system, we will be able to increase the amount of wave energy the system can capture and, in turn, increase the output of the system. For example, if we double the float's diameter, we will approximately quadruple its power capacity. We believe that we will be able to further increase the output capacity of the PowerBuoy system using technology that we are developing, as well as our work on design, manufacture, testing and deployment of the higher capacity systems. We are exploring design and construction techniques that will enable the larger PowerBuoy systems to be deployed cost effectively and safely without damage. For example, our complete 40kW PowerBuoy systems are transported to the onshore deployment sites using standard flatbed trucks; however, the fully-assembled 150kW PowerBuoy systems are too large for these trucks and need to be transported in modules and assembled on-site. In addition, we will need to adjust the mooring system to account for the larger-sized PowerBuoy systems.</w:t>
      </w:r>
    </w:p>
    <w:p>
      <w:pPr>
        <w:spacing w:after="0" w:line="179"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also plan to continue our technology development of specific applications for our PowerBuoy systems to expand our growth opportunities. For example, we are exploring applications that would allow our PowerBuoys to provide power for desalination of water, hydrogen production, water treatment and natural resource processing.</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 or we may decide to self-fund significant research and development expenses, in which case our product development costs may increase.</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16" w:lineRule="exact"/>
        <w:rPr>
          <w:sz w:val="20"/>
          <w:szCs w:val="20"/>
          <w:color w:val="auto"/>
        </w:rPr>
      </w:pPr>
    </w:p>
    <w:p>
      <w:pPr>
        <w:jc w:val="both"/>
        <w:ind w:firstLine="373"/>
        <w:spacing w:after="0" w:line="310" w:lineRule="auto"/>
        <w:rPr>
          <w:sz w:val="20"/>
          <w:szCs w:val="20"/>
          <w:color w:val="auto"/>
        </w:rPr>
      </w:pPr>
      <w:r>
        <w:rPr>
          <w:rFonts w:ascii="Arial" w:cs="Arial" w:eastAsia="Arial" w:hAnsi="Arial"/>
          <w:sz w:val="12"/>
          <w:szCs w:val="12"/>
          <w:color w:val="auto"/>
        </w:rPr>
        <w:t>We believe that our technology differentiates us from other providers of wave and other renewable energy technologies. As a result, our success depends in part on our ability to obtain and maintain proprietary protection for our products, technology and know-how, to operate without infringing the proprietary rights of others and to prevent others from infringing our proprietary rights. Our policy is to seek to protect our proprietary position by, among other methods, filing United States and foreign patent applications related to our proprietary technology, inventions and improvements that are important to the development of our business. We also rely on trade secrets, know-how, and continuing technological innovation and may rely on licensing opportunities to develop and maintain our proprietary position.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5" w:name="page16"/>
    <w:bookmarkEnd w:id="15"/>
    <w:p>
      <w:pPr>
        <w:ind w:firstLine="373"/>
        <w:spacing w:after="0" w:line="268" w:lineRule="auto"/>
        <w:rPr>
          <w:sz w:val="20"/>
          <w:szCs w:val="20"/>
          <w:color w:val="auto"/>
        </w:rPr>
      </w:pPr>
      <w:r>
        <w:rPr>
          <w:rFonts w:ascii="Arial" w:cs="Arial" w:eastAsia="Arial" w:hAnsi="Arial"/>
          <w:sz w:val="14"/>
          <w:szCs w:val="14"/>
          <w:color w:val="auto"/>
        </w:rPr>
        <w:t>As of April 30, 2012, we owned a total of 51 issued United States patents and 15 United States patent applications. We have pending foreign counterparts to 21 of our issued patents and 12 of our pending non-provisional patent applications.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patent portfolio includes patents and patent applications with claims directed to:</w:t>
      </w:r>
    </w:p>
    <w:p>
      <w:pPr>
        <w:spacing w:after="0" w:line="171" w:lineRule="exact"/>
        <w:rPr>
          <w:sz w:val="20"/>
          <w:szCs w:val="20"/>
          <w:color w:val="auto"/>
        </w:rPr>
      </w:pPr>
    </w:p>
    <w:p>
      <w:pPr>
        <w:ind w:left="720" w:hanging="240"/>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system design;</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control systems;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power conversion;</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anchoring and mooring; and</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wave farm architecture.</w:t>
      </w:r>
    </w:p>
    <w:p>
      <w:pPr>
        <w:spacing w:after="0" w:line="171"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expiration dates for our issued United States patents range from 2015 to 2028.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9" w:lineRule="exact"/>
        <w:rPr>
          <w:sz w:val="20"/>
          <w:szCs w:val="20"/>
          <w:color w:val="auto"/>
        </w:rPr>
      </w:pPr>
    </w:p>
    <w:p>
      <w:pPr>
        <w:jc w:val="both"/>
        <w:ind w:firstLine="373"/>
        <w:spacing w:after="0" w:line="203" w:lineRule="auto"/>
        <w:rPr>
          <w:sz w:val="20"/>
          <w:szCs w:val="20"/>
          <w:color w:val="auto"/>
        </w:rPr>
      </w:pPr>
      <w:r>
        <w:rPr>
          <w:rFonts w:ascii="Arial" w:cs="Arial" w:eastAsia="Arial" w:hAnsi="Arial"/>
          <w:sz w:val="14"/>
          <w:szCs w:val="14"/>
          <w:color w:val="auto"/>
        </w:rPr>
        <w:t>We use trademarks on nearly all of our products and believe that having distinctive marks is an important factor in marketing our products. We have registered our PowerBuoy</w:t>
      </w:r>
      <w:r>
        <w:rPr>
          <w:rFonts w:ascii="Arial" w:cs="Arial" w:eastAsia="Arial" w:hAnsi="Arial"/>
          <w:sz w:val="19"/>
          <w:szCs w:val="19"/>
          <w:color w:val="auto"/>
          <w:vertAlign w:val="superscript"/>
        </w:rPr>
        <w:t>®</w:t>
      </w:r>
      <w:r>
        <w:rPr>
          <w:rFonts w:ascii="Arial" w:cs="Arial" w:eastAsia="Arial" w:hAnsi="Arial"/>
          <w:sz w:val="14"/>
          <w:szCs w:val="14"/>
          <w:color w:val="auto"/>
        </w:rPr>
        <w:t>, Talk on Water</w:t>
      </w:r>
      <w:r>
        <w:rPr>
          <w:rFonts w:ascii="Arial" w:cs="Arial" w:eastAsia="Arial" w:hAnsi="Arial"/>
          <w:sz w:val="19"/>
          <w:szCs w:val="19"/>
          <w:color w:val="auto"/>
          <w:vertAlign w:val="superscript"/>
        </w:rPr>
        <w:t>®</w:t>
      </w:r>
      <w:r>
        <w:rPr>
          <w:rFonts w:ascii="Arial" w:cs="Arial" w:eastAsia="Arial" w:hAnsi="Arial"/>
          <w:sz w:val="14"/>
          <w:szCs w:val="14"/>
          <w:color w:val="auto"/>
        </w:rPr>
        <w:t>, CellBuoy</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and PowerTower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marks and our Making Waves in Power</w:t>
      </w:r>
      <w:r>
        <w:rPr>
          <w:rFonts w:ascii="Arial" w:cs="Arial" w:eastAsia="Arial" w:hAnsi="Arial"/>
          <w:sz w:val="19"/>
          <w:szCs w:val="19"/>
          <w:color w:val="auto"/>
          <w:vertAlign w:val="superscript"/>
        </w:rPr>
        <w:t>®</w:t>
      </w:r>
      <w:r>
        <w:rPr>
          <w:rFonts w:ascii="Arial" w:cs="Arial" w:eastAsia="Arial" w:hAnsi="Arial"/>
          <w:sz w:val="14"/>
          <w:szCs w:val="14"/>
          <w:color w:val="auto"/>
        </w:rPr>
        <w:t xml:space="preserve"> service mark in the United States. Trademark ownership is generally of indefinite duration when marks are properly maintained in commercial use.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16" w:lineRule="exact"/>
        <w:rPr>
          <w:sz w:val="20"/>
          <w:szCs w:val="20"/>
          <w:color w:val="auto"/>
        </w:rPr>
      </w:pPr>
    </w:p>
    <w:p>
      <w:pPr>
        <w:jc w:val="both"/>
        <w:ind w:firstLine="373"/>
        <w:spacing w:after="0" w:line="304" w:lineRule="auto"/>
        <w:rPr>
          <w:sz w:val="20"/>
          <w:szCs w:val="20"/>
          <w:color w:val="auto"/>
        </w:rPr>
      </w:pPr>
      <w:r>
        <w:rPr>
          <w:rFonts w:ascii="Arial" w:cs="Arial" w:eastAsia="Arial" w:hAnsi="Arial"/>
          <w:sz w:val="12"/>
          <w:szCs w:val="12"/>
          <w:color w:val="auto"/>
        </w:rPr>
        <w:t>We compete and will compete with power generation equipment suppliers in all segments of the electric power industry, including wave energy, other forms of renewable energy and traditional fossil fuel. The renewable energy industry is both highly competitive and continually evolving as participants strive to differentiate themselves within their markets and compete within the larger electric power industry. Many of our competitors in certain of these segments have established a stronger market position than ours and have greater resources and name recognition than we have. In addition, there are many companies, including some of the largest multinational energy companies, that are developing or sponsoring innovative technologies for renewable energy production. Accordingly, our success depends in part on developing and demonstrating the commercial viability of wave energy solutions and identifying markets for and applications of our PowerBuoy systems and technology.</w:t>
      </w:r>
    </w:p>
    <w:p>
      <w:pPr>
        <w:spacing w:after="0" w:line="163"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Although the market for equipment that generates electricity from wave energy is in its early stage of commercial development, there are a number of private companies, some with institutional funding, developing technologies to generate electricity from wave energy, and we compete or will compete with them. We believe there are over 75 companies worldwide developing wave energy technologies. Most of these companies are located in the United Kingdom, continental Europe, the United States and Australia, and most are focused on offshore systems. Only a few of these companies, like ourselves, have conducted long-term ocean testing of their systems, which is the critical factor in proving the survivability and performance of any wave energy system.</w:t>
      </w:r>
    </w:p>
    <w:p>
      <w:pPr>
        <w:spacing w:after="0" w:line="174"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To compete effectively, we have to demonstrate that our PowerBuoy systems are attractive, compared to other wave energy systems and other renewable energy systems, by differentiating our systems on the basis of performance, survivability in operation and storm wave conditions, cost effectiveness and the operations and maintenance services that we provide. We believe that we compare favorably to our competition with respect to each of these factors.</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21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electric power industry is subject to extensive regulation, which varies by jurisdiction. For example, the electricity industry in the United States is governed by both federal and state laws and regulations, with the federal government having jurisdiction over the sale and transmission of electricity at the wholesale level in interstate commerce, and the states having jurisdiction over the sale and distribution of electricity at the retail level. The electricity industry in the European Union, or the EU, is primarily governed by national law, but a number of EU-level regulations impose obligations on member states, notably with respect to the liberalization of the electricity markets.</w:t>
      </w:r>
    </w:p>
    <w:p>
      <w:pPr>
        <w:spacing w:after="0" w:line="19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renewable energy industry has also been subject to increasing regulation, however none of the countries in which we are currently marketing our PowerBuoy systems have comprehensive regulatory schemes tailored to wave energy. As the renewable energy industry continues to evolve and as the wave energy industry in particular develops, we anticipate that wave energy technology and our PowerBuoy systems and their deployment will be subject to increased oversight and regulation in accordance with international, national and local regulations relating to safety, sites, environmental protection, utility interconnection and metering and related matters.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6" w:name="page17"/>
    <w:bookmarkEnd w:id="16"/>
    <w:p>
      <w:pPr>
        <w:jc w:val="both"/>
        <w:ind w:firstLine="373"/>
        <w:spacing w:after="0" w:line="287" w:lineRule="auto"/>
        <w:rPr>
          <w:sz w:val="20"/>
          <w:szCs w:val="20"/>
          <w:color w:val="auto"/>
        </w:rPr>
      </w:pPr>
      <w:r>
        <w:rPr>
          <w:rFonts w:ascii="Arial" w:cs="Arial" w:eastAsia="Arial" w:hAnsi="Arial"/>
          <w:sz w:val="13"/>
          <w:szCs w:val="13"/>
          <w:color w:val="auto"/>
        </w:rPr>
        <w:t>Our PowerBuoy wave power stations currently face regulation in the US and in foreign jurisdictions concerning, among other areas, the sale and transmission of electricity, site approval and environmental approval and compliance. In order to encourage the adoption of renewable energy systems, many governments offer subsidies and other financial incentives and have mandated renewable energy targets. These subsidies, incentives and targets may not be applicable to our wave energy technology and therefore may not be available to us or our customers.</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Sale and Transmission of Electricity</w:t>
      </w:r>
    </w:p>
    <w:p>
      <w:pPr>
        <w:spacing w:after="0" w:line="212" w:lineRule="exact"/>
        <w:rPr>
          <w:sz w:val="20"/>
          <w:szCs w:val="20"/>
          <w:color w:val="auto"/>
        </w:rPr>
      </w:pPr>
    </w:p>
    <w:p>
      <w:pPr>
        <w:jc w:val="both"/>
        <w:ind w:firstLine="373"/>
        <w:spacing w:after="0" w:line="271" w:lineRule="auto"/>
        <w:rPr>
          <w:sz w:val="20"/>
          <w:szCs w:val="20"/>
          <w:color w:val="auto"/>
        </w:rPr>
      </w:pPr>
      <w:r>
        <w:rPr>
          <w:rFonts w:ascii="Arial" w:cs="Arial" w:eastAsia="Arial" w:hAnsi="Arial"/>
          <w:sz w:val="13"/>
          <w:szCs w:val="13"/>
          <w:color w:val="auto"/>
        </w:rPr>
        <w:t>The US government regulates the electricity wholesale and transmission business through FERC. FERC regulates the rates and terms for sales of electricity at the wholesale level, and the organization, governance and financing of the companies engaged in electricity sales. As a result, FERC regulates the rates charged for sales of electric power from a wave power station into the wholesale market, although it is possible to obtain an exemption from FERC that would allow those sales to occur at market-based rates. FERC also regulates the construction, operation and maintenance of any dam, water conduit, reservoir or powerhouse along or in any of the navigable waters of the United States for the purpose of generating electric power. As a result, the construction and operation of a wave power station in the United States requires the issuance of a license by FERC. In July 2007, we filed a Pre-Application Document and Notice of Intent with FERC for the Reedsport project, which provides notice of our intent to seek a license for the Reedsport power station and information regarding the project. In February 2010, we filed with FERC a full application to build, deploy and connect to the grid a 10-PowerBuoy array (1.5MW). In March 2011, FERC granted us a second preliminary permit to continue to evaluate the feasibility of the Reedsport project. We believe these filings were the first Pre-Application Document, Notice of Intent, and full License Application filed by a wave power company, and is an important step in the full licensing process for the Reedsport project. We will need additional authorization from FERC to sell electric power generated from the Reedsport wave power station into the wholesale or retail markets.</w:t>
      </w:r>
    </w:p>
    <w:p>
      <w:pPr>
        <w:spacing w:after="0" w:line="18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Under Spanish law, each of the Spanish Autonomous Regions, including the Cantabria region, has the power to issue administrative authorizations for the construction and exploitation of installations for the production of renewable energy, including installations that use the energy of waves. Iberdrola Energias has applied for and received the necessary authorizations for installation of the first PowerBuoy at our Santoña, Spain wave power project.</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Site Approval</w:t>
      </w:r>
    </w:p>
    <w:p>
      <w:pPr>
        <w:spacing w:after="0" w:line="212" w:lineRule="exact"/>
        <w:rPr>
          <w:sz w:val="20"/>
          <w:szCs w:val="20"/>
          <w:color w:val="auto"/>
        </w:rPr>
      </w:pPr>
    </w:p>
    <w:p>
      <w:pPr>
        <w:jc w:val="both"/>
        <w:ind w:firstLine="373"/>
        <w:spacing w:after="0" w:line="353" w:lineRule="auto"/>
        <w:rPr>
          <w:sz w:val="20"/>
          <w:szCs w:val="20"/>
          <w:color w:val="auto"/>
        </w:rPr>
      </w:pPr>
      <w:r>
        <w:rPr>
          <w:rFonts w:ascii="Arial" w:cs="Arial" w:eastAsia="Arial" w:hAnsi="Arial"/>
          <w:sz w:val="12"/>
          <w:szCs w:val="12"/>
          <w:color w:val="auto"/>
        </w:rPr>
        <w:t>Generally, we expect that we will deploy our PowerBuoy systems in the range of one to five miles from the shore, subject to water depth and overall wave heights. Although regulations regarding the use of ocean space vary around the world, we generally do not expect significant delay in obtaining site approvals, as governments have to date encouraged the use of renewable energy sources.</w:t>
      </w:r>
    </w:p>
    <w:p>
      <w:pPr>
        <w:spacing w:after="0" w:line="133"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the United States, federal agencies regulate the siting of renewable energy and related-uses located on the outer continental shelf, which is generally more than three miles offshore. For projects located within three miles of the US shore, the adjacent state would be responsible for issuing a lease and other required authorizations for the location of the project. In either case, an assessment of the potential environmental impact of the project would be conducted in addition to other requirements.</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Environmental Approval and Compliance</w:t>
      </w:r>
    </w:p>
    <w:p>
      <w:pPr>
        <w:spacing w:after="0" w:line="212"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We are subject to various foreign, federal, state and local environmental protection and health and safety laws and regulations governing, among other things: the generation, storage, handling, use and transportation of hazardous materials; the emission and discharge of hazardous materials into the ground, air or water; and the health and safety of our employees. In addition, in the United States, the construction and operation of a power system offshore would require permits and approvals from FERC, the Coast Guard, the Army Corps of Engineers and other governmental authorities. These required permits and approvals evaluate, among other things, whether the proposed project is in the public interest and ensure that the project would not create a hazard to navigation. Other foreign and international laws may require similar approvals.</w:t>
      </w:r>
    </w:p>
    <w:p>
      <w:pPr>
        <w:spacing w:after="0" w:line="19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We believe that a significant advantage of our PowerBuoy systems is that they do not present significant environmental risks when compared to traditional power generation technologies, as there is no significant visual or audible impact and such systems have not been shown to have a significant negative effect on fish or sea mammals. We are not aware of any liabilities in connection with compliance with such laws, regulations, permits and approvals that would have a material adverse effect on our financial position, results of operations or cash flows.</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Subsidies and Incentives</w:t>
      </w:r>
    </w:p>
    <w:p>
      <w:pPr>
        <w:spacing w:after="0" w:line="212"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Several governments have enacted subsidies and incentives designed to encourage the development of renewable energy resources. Because of the relative novelty of wave energy generation, these government programs often do not apply specifically to wave energy generation, and so these programs may not be available to our customers or us in all cases.</w:t>
      </w:r>
    </w:p>
    <w:p>
      <w:pPr>
        <w:spacing w:after="0" w:line="157"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Under a tariff subsidy, the government sets price subsidies to be paid to electricity producers for renewable electricity generated by them. The prices are set above market rates and may be differentiated based on system size or application. Under a renewable portfolio standard, the government requires regulated utilities to supply a portion of their total electricity in the form of renewable electricity. Some programs further specify that a portion of the renewable energy quota must be from a particular renewable energy source, although none have specific quotas for wave energy. Several governments also facilitate low interest loans for renewable energy systems, either through direct lending, credit enhancement or other programs.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17" w:name="page18"/>
    <w:bookmarkEnd w:id="17"/>
    <w:p>
      <w:pPr>
        <w:jc w:val="both"/>
        <w:ind w:firstLine="373"/>
        <w:spacing w:after="0" w:line="254" w:lineRule="auto"/>
        <w:rPr>
          <w:sz w:val="20"/>
          <w:szCs w:val="20"/>
          <w:color w:val="auto"/>
        </w:rPr>
      </w:pPr>
      <w:r>
        <w:rPr>
          <w:rFonts w:ascii="Arial" w:cs="Arial" w:eastAsia="Arial" w:hAnsi="Arial"/>
          <w:sz w:val="14"/>
          <w:szCs w:val="14"/>
          <w:color w:val="auto"/>
        </w:rPr>
        <w:t>Countries in Europe and Asia and several states in the United States have adopted a variety of government subsidies to allow renewable sources of electricity to compete with conventional sources of electricity, such as fossil fuels. Government subsidies and incentives generally focus on grid-connected systems and take several forms, including tariff subsidies, renewable portfolio standards, rebates, tax incentives and low interest loans. In addition, the adoption by governments of limits on carbon dioxide emissions and targets for renewable energy production has spurred a market for trading of surplus carbon credits and renewable energy certificates.</w:t>
      </w:r>
    </w:p>
    <w:p>
      <w:pPr>
        <w:spacing w:after="0" w:line="190"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In 2008, the US enacted the Energy Improvement and Extension Act of 2008, which enables owners of wave power projects in the US to receive federal tax credits, thereby improving the long-term economics of wave power as a renewable energy source. The Act expands the definition of qualifying facilities for the Production Tax Credit (PTC) to include those that generate power from marine renewables (including wave and tidal sources). As a result, the PTC is now available for electricity produced and generated after October 3, 2008 from marine renewable energy facilities with a "nameplate capacity" of at least 150kW, and that are placed in service anytime between October 3, 2008 and December 31, 2013. The credit rate for marine renewables is $0.01 per kilowatt hour, and the duration of the credit will be ten years after the facility is placed in service. The PTC legislation may expire in 2013.</w:t>
      </w:r>
    </w:p>
    <w:p>
      <w:pPr>
        <w:spacing w:after="0" w:line="19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The State of Oregon has enacted the Business Energy Tax Credit program that allows companies that invest in renewable energy capital projects an Oregon State income tax credit of up to 50% of the first $20.0 million of capital costs. This program is scheduled to expire on July 1, 2014.</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Each of the member states of the EU has a country-specific target for the level of consumption of electricity from renewable sources that it should attain by 2020. The United Kingdom Renewables Obligation of April 2002 included a target of 15% of electricity generation to come from renewable sources by 2015, which will continue until 2027. Electricity suppliers that are unable to otherwise meet their renewables obligation have to pay a buy-out price (currently £0.033 per kilowatt hour) or purchase Renewables Obligation Certificates (ROC) from companies that generate electricity from renewable resources.</w:t>
      </w:r>
    </w:p>
    <w:p>
      <w:pPr>
        <w:spacing w:after="0" w:line="190"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The UK Department of Energy and Climate Change and Department of Business Innovation and Skills are examining measures for the support of the renewable energy market. In 2011, the UK Government announced new policies on Electricity Market Reform (EMR) which included, among other measures, a floor price for carbon for electricity generators. Additionally, it is anticipated that specific funding will be made available for both capital and revenue support for marine energy (wave and tidal stream) projects. In 2017, the existing ROC regime for revenue support will be replaced by a feed-in-tariff system based on a Contract for Difference mechanism, which will ensure a fixed revenue for renewable generators, regardless of the market price for “brown” power. Consultation on the exact structure of the mechanism is ongoing at this time.</w:t>
      </w:r>
    </w:p>
    <w:p>
      <w:pPr>
        <w:spacing w:after="0" w:line="19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2011, the Australian Government passed a Carbon Tax Law, which set the initial carbon price at A$23 per ton. Revenue from this tax will fund A$10 billion to invest in renewable energy, low pollution and energy efficiency technologies, A$3.2 billion to support R&amp;D, demonstration and commercialization of renewable energy and A$200 million to support business development of clean technologies.</w:t>
      </w:r>
    </w:p>
    <w:p>
      <w:pPr>
        <w:spacing w:after="0" w:line="186"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Many countries and other local jurisdictions have established limits on carbon dioxide emissions. In particular, a key component of the Kyoto Protocol is the commitments made by certain countries to reduce carbon dioxide emissions. The country, locality or companies within the jurisdiction are given carbon emission allowances, or carbon credits, which represent the right to emit a specific amount of carbon dioxide. A country, locality or company having emissions that exceed its allocated carbon credits may purchase unused carbon credits from a country, locality or company that has reduced its emissions beyond its requirements to do so. The carbon dioxide emissions from a PowerBuoy wave power station are zero, and, therefore, a PowerBuoy wave power station may generate carbon credits that could be used and sold.</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9"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As of April 30, 2012, we had 47 employees, consisting of 17 employees in manufacturing, 14 in research, development and engineering functions and 16 in selling, general and administrative functions. Of these employees, 41 are located in Pennington, New Jersey and 6 are located in Warwick, UK. We believe that our future success will depend in part on our continued ability to attract, hire and retain qualified personnel. None of our employees is represented by a labor union, and we believe our employee relations are good.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Insurance</w:t>
      </w:r>
    </w:p>
    <w:p>
      <w:pPr>
        <w:spacing w:after="0" w:line="216" w:lineRule="exact"/>
        <w:rPr>
          <w:sz w:val="20"/>
          <w:szCs w:val="20"/>
          <w:color w:val="auto"/>
        </w:rPr>
      </w:pPr>
    </w:p>
    <w:p>
      <w:pPr>
        <w:ind w:right="460" w:firstLine="373"/>
        <w:spacing w:after="0" w:line="268" w:lineRule="auto"/>
        <w:rPr>
          <w:sz w:val="20"/>
          <w:szCs w:val="20"/>
          <w:color w:val="auto"/>
        </w:rPr>
      </w:pPr>
      <w:r>
        <w:rPr>
          <w:rFonts w:ascii="Arial" w:cs="Arial" w:eastAsia="Arial" w:hAnsi="Arial"/>
          <w:sz w:val="14"/>
          <w:szCs w:val="14"/>
          <w:color w:val="auto"/>
        </w:rPr>
        <w:t>We currently have a property and liability insurance policy underwritten by Lloyd's Underwriters that covers our PowerBuoy systems currently deployed, and that can be expanded to cover our PowerBuoy systems to be deployed in the future. We have not claimed any losses under this policy.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18" w:name="page19"/>
    <w:bookmarkEnd w:id="18"/>
    <w:p>
      <w:pPr>
        <w:spacing w:after="0"/>
        <w:tabs>
          <w:tab w:leader="none" w:pos="120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7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You should carefully consider the following risk factors together with the other information contained in this Annual Report on Form 10-K, and in prior reports pursuant to the Securities Exchange Act of 1934, as amended and the Securities Act of 1933, as amended. If any of the following risks actually occur, they may materially harm our business and our financial condition and results of operations. In this event, the market price of our common stock could decline and your investment could be lost.</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a history of operating losses and may never achieve or maintain profitability and positive cash flow.</w:t>
      </w:r>
    </w:p>
    <w:p>
      <w:pPr>
        <w:spacing w:after="0" w:line="212"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We have incurred net losses since we began operations in 1994, including net losses attributable to Ocean Power Technologies, Inc. of $15.1 million in fiscal 2012 and $20.4 million in fiscal 2011. As of April 30, 2012, we had an accumulated deficit of $126.0 million. These losses have resulted primarily from costs incurred in our research and development programs and from our selling, general and administrative costs. We expect to increase certain of our operating expenses significantly as we continue to expand our infrastructure and commercialization activities. As a result, we will need to generate significant revenues to cover these costs and achieve profitability. As we continue to develop our proprietary technologies, we expect to have a net decrease in cash from operating activities unless or until we achieve positive cash flow from the planned commercialization of our products and services.</w:t>
      </w:r>
    </w:p>
    <w:p>
      <w:pPr>
        <w:spacing w:after="0" w:line="178"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 If we are unable to achieve and then maintain profitability, the market value of our common stock may decline.</w:t>
      </w:r>
    </w:p>
    <w:p>
      <w:pPr>
        <w:spacing w:after="0" w:line="186"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If existing resources are insufficient to satisfy our liquidity requirements or if we acquire or license rights to additional products or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commercialization efforts, which could adversely affect our financial condition, operating results and the market value of our common stock.</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Wave energy technology may not gain broad commercial acceptance, and therefore our revenues may not increase, and we may be unable to achieve and then sustain profitability.</w:t>
      </w:r>
    </w:p>
    <w:p>
      <w:pPr>
        <w:spacing w:after="0" w:line="224"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Wave energy technology is at an early stage of development, and the extent to which wave energy power generation will be commercially viable is uncertain. Many factors may affect the commercial acceptance of wave energy technology, including the following:</w:t>
      </w:r>
    </w:p>
    <w:p>
      <w:pPr>
        <w:spacing w:after="0" w:line="138" w:lineRule="exact"/>
        <w:rPr>
          <w:sz w:val="20"/>
          <w:szCs w:val="20"/>
          <w:color w:val="auto"/>
        </w:rPr>
      </w:pPr>
    </w:p>
    <w:p>
      <w:pPr>
        <w:ind w:left="720" w:hanging="240"/>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performance, reliability and cost-effectiveness of wave energy technology compared to conventional and other renewable energy sources and products;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developments relating to other renewable energy generation technologies;</w:t>
      </w:r>
    </w:p>
    <w:p>
      <w:pPr>
        <w:spacing w:after="0" w:line="170"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fluctuations in economic and market conditions that affect the cost or viability of conventional and renewable energy sources, such as increases or decreases in the prices of oil and other fossil fuels;</w:t>
      </w:r>
    </w:p>
    <w:p>
      <w:pPr>
        <w:spacing w:after="0" w:line="138" w:lineRule="exact"/>
        <w:rPr>
          <w:rFonts w:ascii="Arial" w:cs="Arial" w:eastAsia="Arial" w:hAnsi="Arial"/>
          <w:sz w:val="14"/>
          <w:szCs w:val="14"/>
          <w:color w:val="auto"/>
        </w:rPr>
      </w:pPr>
    </w:p>
    <w:p>
      <w:pPr>
        <w:ind w:left="720" w:hanging="240"/>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overall growth in the renewable energy equipment market;</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availability and terms of government subsidies and incentives to support the development of renewable energy sources, including wave energy;</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fluctuations in capital expenditures by utilities and independent power producers, which tend to decrease when the economy slows and interest rates increase; and</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development of new and profitable applications requiring the type of remote electric power provided by our autonomous wave energy systems.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wave energy technology does not gain broad commercial acceptance, our business will be materially harmed and we may need to curtail or cease operations.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19" w:name="page20"/>
    <w:bookmarkEnd w:id="19"/>
    <w:p>
      <w:pPr>
        <w:ind w:left="260"/>
        <w:spacing w:after="0" w:line="268" w:lineRule="auto"/>
        <w:rPr>
          <w:sz w:val="20"/>
          <w:szCs w:val="20"/>
          <w:color w:val="auto"/>
        </w:rPr>
      </w:pPr>
      <w:r>
        <w:rPr>
          <w:rFonts w:ascii="Arial" w:cs="Arial" w:eastAsia="Arial" w:hAnsi="Arial"/>
          <w:sz w:val="14"/>
          <w:szCs w:val="14"/>
          <w:b w:val="1"/>
          <w:bCs w:val="1"/>
          <w:i w:val="1"/>
          <w:iCs w:val="1"/>
          <w:color w:val="auto"/>
        </w:rPr>
        <w:t>If sufficient demand for our PowerBuoy systems does not develop or takes longer to develop than we anticipate, our revenues may decline, and we may be unable to achieve and then sustain profitability.</w:t>
      </w:r>
    </w:p>
    <w:p>
      <w:pPr>
        <w:spacing w:after="0" w:line="180"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Even if wave energy technology achieves broad commercial acceptance, our PowerBuoy systems may not prove to be a commercially viable technology for generating electricity from ocean waves. We have invested a significant portion of our time and financial resources since our inception in the development of our PowerBuoy systems but have not yet achieved successful commercialization of our PowerBuoy systems. As we begin to manufacture, market, sell and deploy our PowerBuoy systems in greater quantities, we may encounter unforeseen hurdles that would limit the commercial viability of our PowerBuoy systems, including unanticipated manufacturing, deployment, operating, maintenance and other costs. Our target customers and we may also encounter technical obstacles to deploying, operating and maintaining PowerBuoy systems in quantities necessary to generate competitively-priced electricity.</w:t>
      </w:r>
    </w:p>
    <w:p>
      <w:pPr>
        <w:spacing w:after="0" w:line="178"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If demand for our PowerBuoy systems fails to develop sufficiently, we may be unable to grow our business or generate sufficient revenues to achieve and then sustain profitability. In addition, demand for PowerBuoy systems in our presently targeted markets, including coastal North America, the west coast of Europe, the coasts of Australia and the east coast of Japan, may not develop or may develop to a lesser extent than we anticipate.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If we are not successful in commercializing our PowerBuoy system, or are significantly delayed in doing so, our business, financial condition and results of operations could be adversely affected.</w:t>
      </w:r>
    </w:p>
    <w:p>
      <w:pPr>
        <w:spacing w:after="0" w:line="200" w:lineRule="exact"/>
        <w:rPr>
          <w:sz w:val="20"/>
          <w:szCs w:val="20"/>
          <w:color w:val="auto"/>
        </w:rPr>
      </w:pPr>
    </w:p>
    <w:p>
      <w:pPr>
        <w:spacing w:after="0" w:line="243"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The reduction or elimination of government subsidies and economic incentives for renewable energy sources could prevent demand for our PowerBuoy systems from developing, which in turn would adversely affect our business, financial condition and results of operations.</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Federal, state and local governmental bodies in many countries, most notably Spain, the United Kingdom, Australia, Japan and the United States,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Moreover, because the market for electricity generated from wave energy is at an early stage of development, some of the programs may not include wave energy as a renewable energy source eligible for the incentives and subsidies.</w:t>
      </w:r>
    </w:p>
    <w:p>
      <w:pPr>
        <w:spacing w:after="0" w:line="190" w:lineRule="exact"/>
        <w:rPr>
          <w:sz w:val="20"/>
          <w:szCs w:val="20"/>
          <w:color w:val="auto"/>
        </w:rPr>
      </w:pPr>
    </w:p>
    <w:p>
      <w:pPr>
        <w:jc w:val="both"/>
        <w:ind w:firstLine="373"/>
        <w:spacing w:after="0" w:line="299" w:lineRule="auto"/>
        <w:rPr>
          <w:sz w:val="20"/>
          <w:szCs w:val="20"/>
          <w:color w:val="auto"/>
        </w:rPr>
      </w:pPr>
      <w:r>
        <w:rPr>
          <w:rFonts w:ascii="Arial" w:cs="Arial" w:eastAsia="Arial" w:hAnsi="Arial"/>
          <w:sz w:val="12"/>
          <w:szCs w:val="12"/>
          <w:color w:val="auto"/>
        </w:rPr>
        <w:t>Currently, the cost of electricity generated from wave energy, without the benefit of subsidies or other economic incentives, substantially exceeds the price of electricity in most significant markets in the world. As a result, the near-term growth of the market opportunity for our utility PowerBuoy systems, which are designed to feed electricity into a local or regional power grid, depends significantly on the availability and size of government incentives and subsidies for wave energy. As renewable energy becomes more of a competitive threat to conventional energy providers, companies active in the conventional energy business may increase their lobbying efforts in order to encourage governments to stop providing subsidies for renewable energy, including wave energy. We cannot predict the level of any such efforts, or how governments may react to such efforts. The reduction, elimination or expiration of government incentives and subsidies, or the exclusion of wave energy technology from those incentives and subsidies, may result in the diminished competitiveness of wave energy relative to conventional and non-wave energy renewable sources of energy. Such diminished competitiveness could materially and adversely affect the growth of the wave energy industry, which could in turn adversely affect our business, financial condition and results of operations.</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product development costs are substantial and may increase in the future.</w:t>
      </w:r>
    </w:p>
    <w:p>
      <w:pPr>
        <w:spacing w:after="0" w:line="21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Our product development costs primarily relate to our efforts to increase the output, durability and commercial scalability of our utility PowerBuoy system. Our product development costs were $8.3 million in fiscal 2012 and $13.3 million in fiscal 2011. It is our intent to fund the majority of our research and development expenses, including cost sharing obligations under some of our customer contracts, over the next several years with sources of external funding. If we are unable to obtain external funding, we may curtail our research and development expenses or we may decide to self-fund research and development expenses, in which case our product development costs may increase.</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invested, and will continue to invest, funds to construct demonstration wave power stations that may generate little or no direct revenue.</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have constructed, and may construct in the future, demonstration wave power stations to establish the feasibility of wave energy technology and to encourage the market adoption of our wave power stations. Demonstration wave power stations allow potential customers to see first-hand the viability of wave energy technology as a source of electricity. We incur significant costs in constructing and maintaining these demonstration wave power stations, and we may generate little or no direct revenue from them.</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PowerBuoy systems do not have a sufficient operating history to confirm how they will perform over their estimated 25-year useful life.</w:t>
      </w:r>
    </w:p>
    <w:p>
      <w:pPr>
        <w:spacing w:after="0" w:line="212"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We began developing and testing wave energy technology nearly 15 years ago. However, to date we have only manufactured 15 PowerBuoy systems for use in ocean testing and development. The longest continuous in-ocean deployment of our PowerBuoy system had been from December 2009 to January 2012. As a result, our PowerBuoy systems do not have a sufficient operating history to confirm how they will perform over their estimated 25-year useful life. Our technology has not yet demonstrated that our engineering and test results can be duplicated in volume commercial production. We have conducted and plan to continue to conduct practical testing of our PowerBuoy system. If our PowerBuoy system ultimately proves ineffective or unfeasible, we may not be able to engage in commercial production of our products or we may become liable to our customers for quantities we are obligated but are unable to produce. If our PowerBuoy systems perform below expectations, we could lose customers and face substantial repair and replacement expense which could in turn adversely affect our business, financial condition and results of operations.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20" w:name="page21"/>
    <w:bookmarkEnd w:id="20"/>
    <w:p>
      <w:pPr>
        <w:ind w:left="260"/>
        <w:spacing w:after="0" w:line="268" w:lineRule="auto"/>
        <w:rPr>
          <w:sz w:val="20"/>
          <w:szCs w:val="20"/>
          <w:color w:val="auto"/>
        </w:rPr>
      </w:pPr>
      <w:r>
        <w:rPr>
          <w:rFonts w:ascii="Arial" w:cs="Arial" w:eastAsia="Arial" w:hAnsi="Arial"/>
          <w:sz w:val="14"/>
          <w:szCs w:val="14"/>
          <w:b w:val="1"/>
          <w:bCs w:val="1"/>
          <w:i w:val="1"/>
          <w:iCs w:val="1"/>
          <w:color w:val="auto"/>
        </w:rPr>
        <w:t>Our future success in the utility power markets depends on our ability to increase the power, or energy, output of our utility PowerBuoy system. If we are unable to increase the power output of our utility PowerBuoy system, the commercial prospects for our utility PowerBuoy system would be adversely affected.</w:t>
      </w:r>
    </w:p>
    <w:p>
      <w:pPr>
        <w:spacing w:after="0" w:line="180" w:lineRule="exact"/>
        <w:rPr>
          <w:sz w:val="20"/>
          <w:szCs w:val="20"/>
          <w:color w:val="auto"/>
        </w:rPr>
      </w:pPr>
    </w:p>
    <w:p>
      <w:pPr>
        <w:jc w:val="both"/>
        <w:ind w:firstLine="373"/>
        <w:spacing w:after="0" w:line="301" w:lineRule="auto"/>
        <w:rPr>
          <w:sz w:val="20"/>
          <w:szCs w:val="20"/>
          <w:color w:val="auto"/>
        </w:rPr>
      </w:pPr>
      <w:r>
        <w:rPr>
          <w:rFonts w:ascii="Arial" w:cs="Arial" w:eastAsia="Arial" w:hAnsi="Arial"/>
          <w:sz w:val="12"/>
          <w:szCs w:val="12"/>
          <w:color w:val="auto"/>
        </w:rPr>
        <w:t>One of our goals is to increase the power output of our utility PowerBuoy system, which is currently 150kW to 500kW. Our success in meeting this objective depends on our ability to significantly increase the power output of our PowerBuoy system in a cost-effective and timely manner and our ability to overcome the engineering and deployment hurdles that we face, including developing design and construction techniques that will enable the larger PowerBuoy systems to be deployed cost effectively and without damage, and developing adjustments to the mooring system to account for the larger-sized PowerBuoy systems. We have experienced problems and delays in the development and deployment of our PowerBuoy system in the past, and could experience similar delays or other difficulties in the future. If we cannot increase the power output of the utility PowerBuoy system, or if it takes us longer to do so than we anticipate, we may be unable to expand our utility business, maintain our competitive position, satisfy our contractual obligations or become profitable. In addition, if the cost associated with these development efforts exceeds our projections, our results of operations will be adversely affected.</w:t>
      </w: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i w:val="1"/>
          <w:iCs w:val="1"/>
          <w:color w:val="auto"/>
        </w:rPr>
        <w:t>If we do not reach full commercial scale, we may not be able to offer a cost competitive power station and the commercial prospects of our utility PowerBuoy system would be adversely affected.</w:t>
      </w:r>
    </w:p>
    <w:p>
      <w:pPr>
        <w:spacing w:after="0" w:line="235"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Unless we reach full commercial scale, we may not be able to offer an electricity solution that competes on a non-subsidized basis with today's price of wholesale electricity in key markets in certain parts in the world. If we do not reach full commercial scale, the commercial prospects for our utility PowerBuoy system would be adversely affected.</w:t>
      </w:r>
    </w:p>
    <w:p>
      <w:pPr>
        <w:spacing w:after="0" w:line="38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We have not yet deployed a wave power station consisting of an array of two or more PowerBuoy systems. If we are unable to deploy a multiple-system wave power station, our revenues may not increase, and we may be unable to achieve and then maintain profitability.</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have not yet deployed a wave power station consisting of an array of two or more PowerBuoy systems. Our success in developing and deploying a wave power station consisting of an array of two or more PowerBuoy systems is contingent upon, among other things, receipt of required governmental permits, obtaining adequate financing, successful array design implementation and, finally, successful deployment and connection of the PowerBuoy systems.</w:t>
      </w:r>
    </w:p>
    <w:p>
      <w:pPr>
        <w:spacing w:after="0" w:line="186"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We have not conducted ocean testing or otherwise installed in the ocean a multiple-system wave power station. In particular, unlike single-system wave power stations, multiple-system wave power stations require use of an underwater substation to connect the power transmission cables from, and collect the electricity generated by, each PowerBuoy system in the array. If our underwater substation does not work as we anticipate, we will need to design an alternative system, which could delay our business plans. In addition, unanticipated issues may arise with the logistics and mechanics of deploying and maintaining multiple PowerBuoy systems at a single site and the additional equipment associated with these multiple-system wave power stations.</w:t>
      </w:r>
    </w:p>
    <w:p>
      <w:pPr>
        <w:spacing w:after="0" w:line="174"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We may be unsuccessful in accomplishing any of these tasks or doing so on a timely basis. The development and deployment of an array of PowerBuoy systems may require us to incur significant expenses for preliminary engineering, permitting and legal and other expenses before we can determine whether a project is feasible, economically attractive or capable of being financed.</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If we are unable to deploy larger PowerBuoy systems cost effectively and without damage to the systems, we may be unable to compete effectively.</w:t>
      </w:r>
    </w:p>
    <w:p>
      <w:pPr>
        <w:spacing w:after="0" w:line="212"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We will need to build larger buoys in order to increase the output of our current PowerBuoy systems. The larger buoys will be more difficult than our current buoys to deploy cost effectively and without damage. Our current deployment methodologies, including transportation to the installation site and the mooring of the PowerBuoy systems, will need to be revised as PowerBuoy systems achieve greater output. If we cannot develop cost effective methodologies for deployment of the larger PowerBuoy systems, or if it takes us longer to do so than we anticipate, we may not be able to deploy such systems in the time we anticipate or at all. Therefore, even if we succeed in increasing the power output of our PowerBuoy systems, if we are unable to deploy these larger PowerBuoy systems or encounter problems in doing so, we may be unable to expand our business, maintain our competitive position, satisfy our contractual obligations or become profitable.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21" w:name="page22"/>
    <w:bookmarkEnd w:id="21"/>
    <w:p>
      <w:pPr>
        <w:ind w:left="260"/>
        <w:spacing w:after="0"/>
        <w:rPr>
          <w:sz w:val="20"/>
          <w:szCs w:val="20"/>
          <w:color w:val="auto"/>
        </w:rPr>
      </w:pPr>
      <w:r>
        <w:rPr>
          <w:rFonts w:ascii="Arial" w:cs="Arial" w:eastAsia="Arial" w:hAnsi="Arial"/>
          <w:sz w:val="12"/>
          <w:szCs w:val="12"/>
          <w:b w:val="1"/>
          <w:bCs w:val="1"/>
          <w:i w:val="1"/>
          <w:iCs w:val="1"/>
          <w:color w:val="auto"/>
        </w:rPr>
        <w:t>If we are not successful in negotiating a suitable settlement related to the 2006 Spain Construction Agreement, it could adversely affect our business, financial condition and results of operations.</w:t>
      </w:r>
    </w:p>
    <w:p>
      <w:pPr>
        <w:spacing w:after="0" w:line="235"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The initial PB40 PowerBuoy system for our 2006 Spain project was deployed in September 2008. After a short testing period, the buoy was removed from the water for work on improvements to the power take-off and control systems. In November 2010, we agreed to negotiate with Iberdrola Cantabria with the goal of cancelling the remaining obligations between the parties under the construction and operations and maintenance agreements, transferring ownership of the equipment manufactured or purchased by us under the construction agreement to Iberdrola Cantabria, and having Iberdrola Cantabria pay certain amounts due to us. We further agreed to work toward a new project with Iberdrola Cantabria. If negotiations are unsuccessful and no modification to the existing 2006 Spain Construction Agreement is agreed to by the parties, the customer may, subject to certain conditions in the agreement, terminate the agreement without the obligation to make further milestone payments and, potentially, collect reimbursement for direct damages, limited as specified in the construction agreement, for failure of the PowerBuoy to meet certain performance thresholds.</w:t>
      </w:r>
    </w:p>
    <w:p>
      <w:pPr>
        <w:spacing w:after="0" w:line="38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If we are unable to successfully negotiate and enter into operations and maintenance contracts with our customers on terms that are acceptable to us, our ability to diversify our revenue stream will be impaired.</w:t>
      </w:r>
    </w:p>
    <w:p>
      <w:pPr>
        <w:spacing w:after="0" w:line="180"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An important element of our business strategy is to maximize our revenue opportunities with our existing and future customers by seeking to enter into operations and maintenance contracts with them under which we would be paid fees for operating and maintaining wave power stations that they have purchased from us. Even if customers purchase our PowerBuoy systems, they may not enter into operations and maintenance contracts with us. We may not be able to negotiate operations and maintenance contracts that provide us with any profit opportunities. Even if we successfully negotiate and enter into such operations and maintenance contracts, our customers may terminate them prematurely or they may not be profitable for a variety of reasons, including the presence of unforeseen hurdles or costs. In addition, our inability to perform adequately under such operations and maintenance contracts could impair our efforts to successfully market the PowerBuoy systems. Any one of these outcomes could have a material adverse effect on our business, financial condition and results of operations.</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inability to effectively manage our growth could adversely affect our business and operations.</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 scope of our operations to date has been limited, and we do not have experience operating on the scale that we believe will be necessary to achieve profitable operations. Our current personnel, facilities, systems and internal procedures and controls are not adequate to support our projected future growth. We plan to add sales, marketing and engineering offices in additional locations, including Australia, Japan, continental Europe and the west coast of the United States.</w:t>
      </w:r>
    </w:p>
    <w:p>
      <w:pPr>
        <w:spacing w:after="0" w:line="18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To manage the expansion of our operations, we will be required to improve our operational and financial systems, procedures and controls, increase our manufacturing capacity and throughput and expand, train and manage our employee base, which must increase significantly if we are to be able to fulfill our current manufacturing and growth plans. Our management will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Problems with the quality or performance of our PowerBuoy systems could adversely affect our business, financial condition and results of operations.</w:t>
      </w:r>
    </w:p>
    <w:p>
      <w:pPr>
        <w:spacing w:after="0" w:line="212"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agreements with customers will generally include guarantees with respect to the quality and performance of our PowerBuoy systems. Because of the limited operating history of our PowerBuoy systems, we have been required to make assumptions regarding the durability, reliability and performance of the systems, and we cannot predict whether and to what extent we may be required to perform under the guarantees that we expect to give our customers. Our assumptions could prove to be materially different from the actual performance of our PowerBuoy systems, causing us to incur substantial expense to repair or replace defective systems in the future. We will bear the risk of claims long after we have sold our PowerBuoy systems and recognized revenue. Moreover, any widespread product failures could adversely affect our business, financial condition and results of operations.</w:t>
      </w:r>
    </w:p>
    <w:p>
      <w:pPr>
        <w:spacing w:after="0" w:line="400"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We currently depend on a limited number of customers for substantially all of our revenues. The loss of, or a significant reduction in revenues from, any of these customers could significantly reduce our revenues and harm our operating results.</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DOE accounted for 32% of our revenues and the US Navy accounted for 29% of our revenues during fiscal 2012. In fiscal 2011, revenues from the DOE accounted for 28% of our total revenues and the US Navy accounted for 52% of our revenues. In order to receive future funding from the DOE or US Navy, we would be required to enter into additional contracts with the DOE or US Navy, which would require appropriation by the US Congress and other government agencies. Additional funding for projects may not be approved or we may not be able to negotiate future agreements on acceptable terms, if at all.</w:t>
      </w:r>
    </w:p>
    <w:p>
      <w:pPr>
        <w:spacing w:after="0" w:line="190"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currently have a small number of customers and contracts, problems with a single contract can adversely affect our business, financial condition and results of operations.</w:t>
      </w:r>
    </w:p>
    <w:p>
      <w:pPr>
        <w:spacing w:after="0" w:line="174"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Historically, we have relied on a small group of customers for substantially all of our revenue, and such concentration will continue for the foreseeable future. The loss of any of our customers or their default in payment could adversely affect our business, financial condition and results of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22" w:name="page23"/>
    <w:bookmarkEnd w:id="22"/>
    <w:p>
      <w:pPr>
        <w:ind w:left="260"/>
        <w:spacing w:after="0" w:line="268" w:lineRule="auto"/>
        <w:rPr>
          <w:sz w:val="20"/>
          <w:szCs w:val="20"/>
          <w:color w:val="auto"/>
        </w:rPr>
      </w:pPr>
      <w:r>
        <w:rPr>
          <w:rFonts w:ascii="Arial" w:cs="Arial" w:eastAsia="Arial" w:hAnsi="Arial"/>
          <w:sz w:val="14"/>
          <w:szCs w:val="14"/>
          <w:b w:val="1"/>
          <w:bCs w:val="1"/>
          <w:i w:val="1"/>
          <w:iCs w:val="1"/>
          <w:color w:val="auto"/>
        </w:rPr>
        <w:t>Our relationships with our alliance partners may not be successful, and we may not be successful in establishing additional relationships, either of which could adversely affect our ability to commercialize our products and services.</w:t>
      </w:r>
    </w:p>
    <w:p>
      <w:pPr>
        <w:spacing w:after="0" w:line="180"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An important element of our business strategy is to enter into development agreements and strategic alliances with regional utilities and energy and other companies committed to providing electricity from renewable energy sources. If we are unable to reach agreements with suitable alliance partners, we may fail to meet our business objectives for the commercialization of our PowerBuoy system.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into these relationships, such arrangements may be conditional upon our receipt of additional funding. For example, our project with the Commonwealth of Australia is conditional upon our receipt of significant additional funds. There can be no assurance that we will receive such additional funding. In addition, these relationships may not be successful, and we may be unable to sell and market our PowerBuoy systems to these companies and their affiliates and customers in the future, or growth opportunities may not materialize, any of which could adversely affect our business, financial condition and results of operations.</w:t>
      </w:r>
    </w:p>
    <w:p>
      <w:pPr>
        <w:spacing w:after="0" w:line="38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Our investments in joint ventures could be adversely affected by our lack of sole decision-making authority, our reliance on a co-venturer's financial condition and disputes between us and our co-venturers.</w:t>
      </w:r>
    </w:p>
    <w:p>
      <w:pPr>
        <w:spacing w:after="0" w:line="180"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It is part of our strategy to co-invest in some of our wave power projects with third parties through joint ventures by acquiring non-controlling interests in special purpose entities. In these situations, we will not be in a position to exercise sole decision-making authority regarding the joint venture. Investments in joint ventures involve risks that would not be present were a third party not involved, including the possibility that our co-venturers might become bankrupt or fail to fund their share of required capital contributions. Our co-venturers may have economic or other business interests or goals that are inconsistent with our business interests or goals and may be in a position to take actions that are contrary to our policies or objectives. Disputes between us and our co-venturers may result in litigation or arbitration that would increase our expenses and prevent our officers and/or directors from focusing their time and effort on our business. Consequently, actions by, or disputes with, partners or co-venturers might result in additional risk to wave power projects undertaken by the joint venture.</w:t>
      </w:r>
    </w:p>
    <w:p>
      <w:pPr>
        <w:spacing w:after="0" w:line="38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Our targeted markets are highly competitive. We compete with other renewable energy companies and may have to compete with larger companies that enter into the renewable energy business. If we are unable to compete effectively, we may be unable to increase our revenues and achieve or maintain profitability.</w:t>
      </w:r>
    </w:p>
    <w:p>
      <w:pPr>
        <w:spacing w:after="0" w:line="180" w:lineRule="exact"/>
        <w:rPr>
          <w:sz w:val="20"/>
          <w:szCs w:val="20"/>
          <w:color w:val="auto"/>
        </w:rPr>
      </w:pPr>
    </w:p>
    <w:p>
      <w:pPr>
        <w:jc w:val="both"/>
        <w:ind w:firstLine="373"/>
        <w:spacing w:after="0" w:line="251" w:lineRule="auto"/>
        <w:rPr>
          <w:sz w:val="20"/>
          <w:szCs w:val="20"/>
          <w:color w:val="auto"/>
        </w:rPr>
      </w:pPr>
      <w:r>
        <w:rPr>
          <w:rFonts w:ascii="Arial" w:cs="Arial" w:eastAsia="Arial" w:hAnsi="Arial"/>
          <w:sz w:val="14"/>
          <w:szCs w:val="14"/>
          <w:color w:val="auto"/>
        </w:rPr>
        <w:t>The renewable energy industry, particularly in our targeted markets of the west coast of North America, the west coast of Europe, the coasts of Australia and the east coast of Japan, is highly competitive and continually evolving as participants strive to distinguish themselves and compete with the larger electric power industry. Competition in the renewable energy industry is likely to continue to increase with the advent of several renewable energy technologies, including tidal and ocean current technologies. Competition may arise from other companies manufacturing similar products, developing different products that produce energy more efficiently than our products, or making improvements to traditional energy-producing methods or technologies, any of which could make our products less attractive or render them obsolete. If we are not successful in manufacturing systems that generate competitively priced electricity, we will not be able to respond effectively to competitive pressures from other renewable energy technologies or improvements to existing technologies.</w:t>
      </w:r>
    </w:p>
    <w:p>
      <w:pPr>
        <w:spacing w:after="0" w:line="193"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Moreover, the success of renewable energy generation technologies may cause larger electric utility and other energy companies with substantial financial resources to enter into the renewable energy industry. These companies, due to their greater capital resources and substantial technical expertise, may be better positioned than we are to develop new or improve existing technologies.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Our inability to respond effectively to such competition could adversely affect our business, financial condition and results of operations.</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limited manufacturing experience. If we are unable to increase our manufacturing capacity in a cost-effective manner, our business will be materially harmed.</w:t>
      </w:r>
    </w:p>
    <w:p>
      <w:pPr>
        <w:spacing w:after="0" w:line="212"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We plan to manufacture key components of our PowerBuoy systems, including the advanced control and generation systems. However, we have only manufactured our PowerBuoy systems in limited quantities for use in development and testing and have limited commercial manufacturing experience. Our future success depends on our ability to significantly increase both our manufacturing capacity and production throughput in a cost-effective and efficient manner. In order to meet our growth objectives, we will need to increase our engineering and manufacturing staff. There is intense competition for hiring qualified technical and engineering personnel, and we may not be able to hire a sufficient number of qualified personnel to allow us to meet our growth objectives.</w:t>
      </w:r>
    </w:p>
    <w:p>
      <w:pPr>
        <w:spacing w:after="0" w:line="174"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We may be unable to develop efficient, low-cost manufacturing capabilities and processes that will enable us to meet the quality, price, engineering, design and production standards or production volumes necessary to successfully commercialize our PowerBuoy systems.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23" w:name="page24"/>
    <w:bookmarkEnd w:id="23"/>
    <w:p>
      <w:pPr>
        <w:ind w:left="260"/>
        <w:spacing w:after="0" w:line="268" w:lineRule="auto"/>
        <w:rPr>
          <w:sz w:val="20"/>
          <w:szCs w:val="20"/>
          <w:color w:val="auto"/>
        </w:rPr>
      </w:pPr>
      <w:r>
        <w:rPr>
          <w:rFonts w:ascii="Arial" w:cs="Arial" w:eastAsia="Arial" w:hAnsi="Arial"/>
          <w:sz w:val="14"/>
          <w:szCs w:val="14"/>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8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are highly dependent on third parties to supply or manufacture components of our PowerBuoy systems. If, for any reason, our third-party manufacturers or vendors are not willing or able to provide us with components or supplies in a timely fashion, or at all, our ability to manufacture and sell many of our products could be impaired.</w:t>
      </w:r>
    </w:p>
    <w:p>
      <w:pPr>
        <w:spacing w:after="0" w:line="18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do not have long-term contracts with our third-party manufacturers or vendors. If we do not develop ongoing relationships with vendors located in different regions, we may not be successful at controlling unit costs as our manufacturing volume increases. We may not be able to negotiate new arrangements with these third parties on acceptable terms, or at all.</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In addition, we rely on third parties, under our oversight, for the deployment and mooring of our PowerBuoy systems. We have utilized several different deployment methods, including towing the PowerBuoy system to the deployment location, and transporting the PowerBuoy system to the deployment location by barge or ocean workboat. If these third parties do not properly deploy our systems, cannot effectively deploy the PowerBuoy system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397" w:lineRule="exact"/>
        <w:rPr>
          <w:sz w:val="20"/>
          <w:szCs w:val="20"/>
          <w:color w:val="auto"/>
        </w:rPr>
      </w:pPr>
    </w:p>
    <w:p>
      <w:pPr>
        <w:ind w:left="260"/>
        <w:spacing w:after="0" w:line="307" w:lineRule="auto"/>
        <w:rPr>
          <w:sz w:val="20"/>
          <w:szCs w:val="20"/>
          <w:color w:val="auto"/>
        </w:rPr>
      </w:pPr>
      <w:r>
        <w:rPr>
          <w:rFonts w:ascii="Arial" w:cs="Arial" w:eastAsia="Arial" w:hAnsi="Arial"/>
          <w:sz w:val="13"/>
          <w:szCs w:val="13"/>
          <w:b w:val="1"/>
          <w:bCs w:val="1"/>
          <w:i w:val="1"/>
          <w:iCs w:val="1"/>
          <w:color w:val="auto"/>
        </w:rPr>
        <w:t>Business activities conducted by our third-party contractors and us involve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57"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manufacturing operations, in particular some of the activities undertaken by our third-party suppliers and manufacturers, involve the controlled use of hazardous materials.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19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Environmental laws and regulations are complex, change frequently and have tended to become more stringent over time. While we have budgeted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39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If we become ineligible for or are otherwise unable to replace any contract with the US federal government that is not extended or is terminated, our business, financial condition and results of operations will be adversely affected.</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derive a significant portion of our revenue from US federal government contracts, which are subject to special funding restrictions, regulatory requirements and eligibility standards and which the government may terminate at any time or determine not to extend after their scheduled expiration. During fiscal 2012 and fiscal 2011, we derived 61% and 80%, respectively, of our total revenue from contracts with the DOE and US Navy.</w:t>
      </w:r>
    </w:p>
    <w:p>
      <w:pPr>
        <w:spacing w:after="0" w:line="186"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US federal government contracts are also subject to contractual and regulatory requirements that may increase our costs of doing business and could expose us to substantial contractual damages, civil fines and criminal penalties for noncompliance. These requirements include business ethics, equal employment opportunity, environmental, foreign purchasing, most-favored pricing and accounting provisions, among others. Payments that we receive under US federal government contracts are subject to audit and potential refunds for at least three years after the final contract payment is received.</w:t>
      </w:r>
    </w:p>
    <w:p>
      <w:pPr>
        <w:spacing w:after="0" w:line="359"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We market and plan to market our products in numerous international markets. If we are unable to manage our international operations effectively, our business, financial condition and results of operations could be adversely affected.</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market and plan to market our products in a number of foreign countries, including the United Kingdom, Spain, Australia and Japan, and we are therefore subject to risks associated with having international operations. International customers accounted for 36% of our revenues in fiscal 2012 and 16% of our revenues in fiscal 2011. Risks inherent in international operations include, but are not limited to, the following:</w:t>
      </w:r>
    </w:p>
    <w:p>
      <w:pPr>
        <w:spacing w:after="0" w:line="352" w:lineRule="exact"/>
        <w:rPr>
          <w:sz w:val="20"/>
          <w:szCs w:val="20"/>
          <w:color w:val="auto"/>
        </w:rPr>
      </w:pPr>
    </w:p>
    <w:p>
      <w:pPr>
        <w:ind w:left="720" w:hanging="240"/>
        <w:spacing w:after="0"/>
        <w:tabs>
          <w:tab w:leader="none" w:pos="7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general economic and political conditions in the countries in which we operate;</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unexpected adverse changes in foreign laws or regulatory requirements, including those with respect to renewable energy, environmental protection, permitting, export duties and quotas;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24" w:name="page25"/>
    <w:bookmarkEnd w:id="24"/>
    <w:p>
      <w:pPr>
        <w:ind w:left="720" w:hanging="240"/>
        <w:spacing w:after="0" w:line="268" w:lineRule="auto"/>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trade barriers such as export requirements, tariffs, taxes and other restrictions and expenses, which could increase the prices of our PowerBuoy systems and make us less competitive in some countries;</w:t>
      </w:r>
    </w:p>
    <w:p>
      <w:pPr>
        <w:spacing w:after="0" w:line="138"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fluctuations in exchange rates may affect demand for our PowerBuoy systems and may adversely affect our profitability in US dollars to the extent the price of our PowerBuoy systems and cost of raw materials and labor are denominated in a foreign currency;</w:t>
      </w:r>
    </w:p>
    <w:p>
      <w:pPr>
        <w:spacing w:after="0" w:line="138" w:lineRule="exact"/>
        <w:rPr>
          <w:rFonts w:ascii="Arial" w:cs="Arial" w:eastAsia="Arial" w:hAnsi="Arial"/>
          <w:sz w:val="14"/>
          <w:szCs w:val="14"/>
          <w:color w:val="auto"/>
        </w:rPr>
      </w:pPr>
    </w:p>
    <w:p>
      <w:pPr>
        <w:ind w:left="720" w:hanging="240"/>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difficulty with staffing and managing widespread operations;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complexity of, and costs relating to compliance with, the different commercial and legal requirements of the overseas markets in which we offer and sell our PowerBuoy systems;</w:t>
      </w:r>
    </w:p>
    <w:p>
      <w:pPr>
        <w:spacing w:after="0" w:line="182" w:lineRule="exact"/>
        <w:rPr>
          <w:rFonts w:ascii="Arial" w:cs="Arial" w:eastAsia="Arial" w:hAnsi="Arial"/>
          <w:sz w:val="13"/>
          <w:szCs w:val="13"/>
          <w:color w:val="auto"/>
        </w:rPr>
      </w:pPr>
    </w:p>
    <w:p>
      <w:pPr>
        <w:ind w:left="720" w:hanging="240"/>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inability to obtain, maintain or enforce intellectual property rights; and</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difficulty in enforcing agreements in foreign legal systems.</w:t>
      </w:r>
    </w:p>
    <w:p>
      <w:pPr>
        <w:spacing w:after="0" w:line="21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may not be able to raise sufficient capital to grow our business.</w:t>
      </w:r>
    </w:p>
    <w:p>
      <w:pPr>
        <w:spacing w:after="0" w:line="212"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We have in the past needed to raise funds to operate our business, and we may need to raise additional funds to support development of our products or to manufacture our PowerBuoy systems in commercial quantities. If we are unable to raise additional funds when needed, our ability to operate and grow our business could be impaired. We do not know whether we will be able to secure additional funding or funding on terms favorable to us. Our ability to obtain additional funding will be subject to a number of factors, including market conditions, our operating performance and investor sentiment. These factors may make the timing, amount, terms and conditions of additional funding unattractive. If we issue additional equity securities, our existing stockholders would experience dilution or may be subordinated to any rights, preferences or privileges granted to the new equity holders.</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financial results may fluctuate from quarter to quarter, which may make it difficult to predict our future performance.</w:t>
      </w:r>
    </w:p>
    <w:p>
      <w:pPr>
        <w:spacing w:after="0" w:line="212"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Our financial results may fluctuate as a result of a number of factors, many of which are outside of our control. For these reasons, comparing our financial results on a period-to-period basis may not be meaningful, and our past results should not be relied on as an indication of our future performance. Our future quarterly and annual expenses as a percentage of our revenues may be significantly different from those we have recorded in the past or which we expect for the future. Our financial results in some quarters may fall below expectations. Any of these events could cause our stock price to fall. Each of the risk factors listed in this "Risk Factors" section, including the following factors, may adversely affect our business, financial condition and results of operations:</w:t>
      </w:r>
    </w:p>
    <w:p>
      <w:pPr>
        <w:spacing w:after="0" w:line="340" w:lineRule="exact"/>
        <w:rPr>
          <w:sz w:val="20"/>
          <w:szCs w:val="20"/>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permitting or acquiring necessary regulatory consents;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the timing of contract awards and determinations of work scope;</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funding for or deployment of wave energy projects;</w:t>
      </w:r>
    </w:p>
    <w:p>
      <w:pPr>
        <w:spacing w:after="0" w:line="170"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cost estimates relating to wave energy project completion, which under percentage-of-completion accounting principles could lead to significant fluctuations in revenue or to changes in the timing of our recognition of revenue from those projects;</w:t>
      </w:r>
    </w:p>
    <w:p>
      <w:pPr>
        <w:spacing w:after="0" w:line="138"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meeting specified contractual milestones or other performance criteria under project contracts or in completing project contracts that could delay the recognition of revenue that would otherwise be earned;</w:t>
      </w:r>
    </w:p>
    <w:p>
      <w:pPr>
        <w:spacing w:after="0" w:line="138" w:lineRule="exact"/>
        <w:rPr>
          <w:rFonts w:ascii="Arial" w:cs="Arial" w:eastAsia="Arial" w:hAnsi="Arial"/>
          <w:sz w:val="14"/>
          <w:szCs w:val="14"/>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reductions in the availability or level of subsidies and incentives for renewable energy sources;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decisions made by parties with whom we have commercial relationships not to proceed with anticipated projects;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increases in the length of our sales cycle; and</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reductions in the efficiency of our manufacturing processes.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09" w:right="219" w:bottom="1440" w:gutter="0" w:footer="0" w:header="0"/>
        </w:sectPr>
      </w:pPr>
    </w:p>
    <w:bookmarkStart w:id="25" w:name="page26"/>
    <w:bookmarkEnd w:id="25"/>
    <w:p>
      <w:pPr>
        <w:ind w:left="260"/>
        <w:spacing w:after="0"/>
        <w:rPr>
          <w:sz w:val="20"/>
          <w:szCs w:val="20"/>
          <w:color w:val="auto"/>
        </w:rPr>
      </w:pPr>
      <w:r>
        <w:rPr>
          <w:rFonts w:ascii="Arial" w:cs="Arial" w:eastAsia="Arial" w:hAnsi="Arial"/>
          <w:sz w:val="14"/>
          <w:szCs w:val="14"/>
          <w:b w:val="1"/>
          <w:bCs w:val="1"/>
          <w:i w:val="1"/>
          <w:iCs w:val="1"/>
          <w:color w:val="auto"/>
        </w:rPr>
        <w:t>Currency translation and transaction risk may adversely affect our business, financial condition and results of operations.</w:t>
      </w:r>
    </w:p>
    <w:p>
      <w:pPr>
        <w:spacing w:after="0" w:line="212" w:lineRule="exact"/>
        <w:rPr>
          <w:sz w:val="20"/>
          <w:szCs w:val="20"/>
          <w:color w:val="auto"/>
        </w:rPr>
      </w:pPr>
    </w:p>
    <w:p>
      <w:pPr>
        <w:jc w:val="both"/>
        <w:ind w:firstLine="373"/>
        <w:spacing w:after="0" w:line="304" w:lineRule="auto"/>
        <w:rPr>
          <w:sz w:val="20"/>
          <w:szCs w:val="20"/>
          <w:color w:val="auto"/>
        </w:rPr>
      </w:pPr>
      <w:r>
        <w:rPr>
          <w:rFonts w:ascii="Arial" w:cs="Arial" w:eastAsia="Arial" w:hAnsi="Arial"/>
          <w:sz w:val="12"/>
          <w:szCs w:val="12"/>
          <w:color w:val="auto"/>
        </w:rPr>
        <w:t>Our reporting currency is the US dollar, and we conduct our business and incur costs in the local currency of most countries in which we operate. As a result, we are subject to currency translation risk. A large percentage of our revenues may be generated outside the United States and denominated in foreign currencies in the future. Changes in exchange rates between foreign currencies and the US dollar could affect our revenues and cost of revenues, and could result in exchange losses. In addition, we incur currency transaction risk whenever one of our operating subsidiaries enters into either a purchase or a sales transaction using a different currency from our reporting currency.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results of operations and financial condition.</w:t>
      </w:r>
    </w:p>
    <w:p>
      <w:pPr>
        <w:spacing w:after="0" w:line="371"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Existing regulations and policies and changes to these or new regulations and policies may present technical, regulatory and economic barriers to the use of wave energy technology, which may significantly reduce demand for our PowerBuoy systems.</w:t>
      </w:r>
    </w:p>
    <w:p>
      <w:pPr>
        <w:spacing w:after="0" w:line="180"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The market for electricity generation equipment is heavily influenced by foreign, federal, state and local government regulations and policies concerning the electric utility industry, as well as policies promulgated by electric utilities. These regulations and policies often relate to electricity pricing and connection to the power grid. In the United States and in a number of other countries, these regulations and policies currently are being modified and may be modified again in the future. Utility company and independent power producer purchases of, or further investment in the research and development of, alternative energy sources, including wave energy technology, could be deterred by these regulations and policies, which could result in a significant reduction in the potential demand for our PowerBuoy systems.</w:t>
      </w:r>
    </w:p>
    <w:p>
      <w:pPr>
        <w:spacing w:after="0" w:line="19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If the renewable energy industry continues to develop and if the generation of power from wave energy in particular achieves commercial acceptance, we anticipate that wave energy technology and our PowerBuoy systems and their deployment will be subject to increased oversight and regulation. We are unable to predict the nature or extent of regulations that may be imposed or adopted. Any new government regulations or utility policies pertaining to wave energy or our PowerBuoy systems may result in significant additional expenses to us and our customers and, as a result, could adversely affect our business, financial condition and results of operations.</w:t>
      </w:r>
    </w:p>
    <w:p>
      <w:pPr>
        <w:spacing w:after="0" w:line="3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If we are unable to obtain all necessary regulatory permits and approvals, we will not be able to implement our planned projects.</w:t>
      </w:r>
    </w:p>
    <w:p>
      <w:pPr>
        <w:spacing w:after="0" w:line="21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Offshore development of electric power generating facilities is heavily regulated. Each of our planned projects is subject to multiple permitting and approval requirements. We are dependent on state, federal and regional government agencies for such permits and approvals. Due to the unique nature of large scale commercial wave power stations, we would expect our projects to receive close scrutiny by permitting agencies, approval authorities and the public, which could result in substantial delay in the permitting process. Successful challenges by any parties opposed to our planned projects could result in conditions limiting the project size or in the denial of necessary permits and approvals.</w:t>
      </w:r>
    </w:p>
    <w:p>
      <w:pPr>
        <w:spacing w:after="0" w:line="19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If we are unable to obtain necessary permits and approvals in connection with any or all of our projects, those projects would not be implemented and our business, financial condition and results of operations would be adversely affected. Further, we cannot assure you that we have been or will be at all times in complete compliance with all such permits and approvals. If we violate or fail to comply with these permits and approvals, we could be fined or otherwise sanctioned by regulators.</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We face hurricane- and storm-related risks and other risks typical of a marine environment which could adversely affect our business, financial condition and results of operations.</w:t>
      </w:r>
    </w:p>
    <w:p>
      <w:pPr>
        <w:spacing w:after="0" w:line="224"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PowerBuoy systems are deployed in the ocean where they are subject to many hazards including severe storms and hurricanes, which could damage them and result in service interruptions. Our systems are also subject to more frequent lock-downs caused by higher waves during winter storm and hurricane seasons, which will reduce annual energy output. We cannot predict whether we will be able to recover from our insurance providers the additional costs that we may incur due to damage caused to our PowerBuoy systems, or whether we will continue to be able to obtain insurance for hurricane- and storm-related damages or, if obtainable and carried, whether this insurance will be adequate to cover our liabilities. Any future hurricane-or storm-related costs could adversely affect our business, financial condition and results of operations.</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Since our PowerBuoy systems can only be deployed in certain geographic locations, our ability to grow our business could be adversely affected.</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Our systems are designed to work in sites with average annual wave energy of at least 20kW per meter of wave front. Not all coastal areas worldwide have appropriate natural resources for our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PowerBuoy systems to harness wave energy. Seasonal and local variations, water depth and the effect of particular locations of islands and other geographical features may limit our ability to deploy our</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PowerBuoy systems in coastal areas. If we are unable to identify and deploy PowerBuoy systems at sufficient sites near major population centers, our ability to grow our business could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30" w:right="219" w:bottom="1440" w:gutter="0" w:footer="0" w:header="0"/>
        </w:sectPr>
      </w:pPr>
    </w:p>
    <w:bookmarkStart w:id="26" w:name="page27"/>
    <w:bookmarkEnd w:id="26"/>
    <w:p>
      <w:pPr>
        <w:ind w:left="260"/>
        <w:spacing w:after="0"/>
        <w:rPr>
          <w:sz w:val="20"/>
          <w:szCs w:val="20"/>
          <w:color w:val="auto"/>
        </w:rPr>
      </w:pPr>
      <w:r>
        <w:rPr>
          <w:rFonts w:ascii="Arial" w:cs="Arial" w:eastAsia="Arial" w:hAnsi="Arial"/>
          <w:sz w:val="14"/>
          <w:szCs w:val="14"/>
          <w:b w:val="1"/>
          <w:bCs w:val="1"/>
          <w:i w:val="1"/>
          <w:iCs w:val="1"/>
          <w:color w:val="auto"/>
        </w:rPr>
        <w:t>We face numerous accident and safety risks and hazards that are inherent in offshore energy operations.</w:t>
      </w:r>
    </w:p>
    <w:p>
      <w:pPr>
        <w:spacing w:after="0" w:line="212" w:lineRule="exact"/>
        <w:rPr>
          <w:sz w:val="20"/>
          <w:szCs w:val="20"/>
          <w:color w:val="auto"/>
        </w:rPr>
      </w:pPr>
    </w:p>
    <w:p>
      <w:pPr>
        <w:jc w:val="both"/>
        <w:ind w:firstLine="373"/>
        <w:spacing w:after="0" w:line="251" w:lineRule="auto"/>
        <w:rPr>
          <w:sz w:val="20"/>
          <w:szCs w:val="20"/>
          <w:color w:val="auto"/>
        </w:rPr>
      </w:pPr>
      <w:r>
        <w:rPr>
          <w:rFonts w:ascii="Arial" w:cs="Arial" w:eastAsia="Arial" w:hAnsi="Arial"/>
          <w:sz w:val="14"/>
          <w:szCs w:val="14"/>
          <w:color w:val="auto"/>
        </w:rPr>
        <w:t>Portions of our operations are subject to hazards and risks inherent in the building, testing, deploying and maintenance of our PowerBuoy systems. These hazards and risks could result in personal injuries, loss of life, and other damages, which may include damage to our properties and the properties of others and other consequential damages, and could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 In addition, the risks inherent in our business are such that we cannot assure you that we will be able to maintain adequate insurance in the future at reasonable rates.</w:t>
      </w:r>
    </w:p>
    <w:p>
      <w:pPr>
        <w:spacing w:after="0" w:line="40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If we are unable to attract and retain management and other qualified personnel, we may not be able to achieve our business objectives.</w:t>
      </w:r>
    </w:p>
    <w:p>
      <w:pPr>
        <w:spacing w:after="0" w:line="212"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success depends on the skills, experience and efforts of our senior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We have entered into employment agreements with Dr. George Taylor, our executive vice-chairman, and Charles Dunleavy, our chairman and chief executive officer; however, the agreements permit the employees to terminate their employment with little notice. Implementation of our expansion plans will be highly dependent upon our ability to hire and retain senior executives as well as talented staff in various fields of expertise.</w:t>
      </w:r>
    </w:p>
    <w:p>
      <w:pPr>
        <w:spacing w:after="0" w:line="19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In addition, our anticipated growth will require us to hire a significant number of qualified technical, commercial and administrative personnel. The majority of our new hires will be engineers with varying levels and areas of expertise, project managers and manufacturing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 at a competitive pace.</w:t>
      </w:r>
    </w:p>
    <w:p>
      <w:pPr>
        <w:spacing w:after="0" w:line="39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Any acquisitions that we make or joint venture agreements that we enter into, or any failure to identify appropriate acquisition or joint venture candidates, could adversely affect our business, financial condition and results of operations.</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From time to time, we evaluate potential strategic acquisitions of complementary businesses, products or technologies, as well as consider joint ventures and other collaborative projects. We may not be able to identify appropriate acquisition candidates or strategic partners, or successfully negotiate, finance or integrate any businesses, products or technologies that we acquire. We do not have any experience with acquiring companies or products. Any acquisition we pursue could diminish the capital resources otherwise available to us for other uses or be dilutive to our stockholders and could divert management's time and resources from our core operations.</w:t>
      </w:r>
    </w:p>
    <w:p>
      <w:pPr>
        <w:spacing w:after="0" w:line="190"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Strategic acquisitions, investments and alliances with third parties could subject us to a number of risks, including risks associated with sharing proprietary information and loss of control of operations that are material to our business. In addition, strategic acquisitions, investments and alliances may be expensive to implement. Moreover, strategic acquisitions, investments and alliances subject us to the risk of non-performance by a counterparty, which may in turn lead to monetary losses that materially and adversely affect our business, financial condition and results of operations.</w:t>
      </w:r>
    </w:p>
    <w:p>
      <w:pPr>
        <w:spacing w:after="0" w:line="377"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80"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Effective internal controls are necessary for us to provide reasonable assurance with respect to our financial reports and to effectively prevent fraud. If we cannot provide reasonable assurance with respect to our financial reports and effectively prevent fraud, our business and operating results could be harmed.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216"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80" w:lineRule="exact"/>
        <w:rPr>
          <w:sz w:val="20"/>
          <w:szCs w:val="20"/>
          <w:color w:val="auto"/>
        </w:rPr>
      </w:pPr>
    </w:p>
    <w:p>
      <w:pPr>
        <w:jc w:val="both"/>
        <w:ind w:firstLine="373"/>
        <w:spacing w:after="0" w:line="273" w:lineRule="auto"/>
        <w:rPr>
          <w:sz w:val="20"/>
          <w:szCs w:val="20"/>
          <w:color w:val="auto"/>
        </w:rPr>
      </w:pPr>
      <w:r>
        <w:rPr>
          <w:rFonts w:ascii="Arial" w:cs="Arial" w:eastAsia="Arial" w:hAnsi="Arial"/>
          <w:sz w:val="13"/>
          <w:szCs w:val="13"/>
          <w:color w:val="auto"/>
        </w:rPr>
        <w:t>Our success and ability to compete depends in part upon our ability to obtain protection in the United States and other countries for our products by establishing and maintaining intellectual property rights relating to or incorporated into our technology and products. We own a variety of patents and patent applications in the United States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infringers. Our pending and future patent applications may not issue as patents or, if issued, may not issue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United States and other countries may diminish the value of our intellectual property or narrow the scope of our patent protection, which could in turn adversely affect our business, financial condition and results of operations.</w:t>
      </w:r>
    </w:p>
    <w:p>
      <w:pPr>
        <w:spacing w:after="0" w:line="3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contracts with the government could negatively affect our intellectual property rights, and our ability to commercialize our products could be impaired.</w:t>
      </w:r>
    </w:p>
    <w:p>
      <w:pPr>
        <w:spacing w:after="0" w:line="212"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Our agreements with the US Navy and DOE help fund research and development of our PowerBuoy system. When new technologies are developed with US federal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US government funding must be disclosed in any resulting patent applications, and our rights in such inventions will normally be subject to government license rights, periodic post-contract utilization reporting, foreign manufacturing restrictions and march-in rights.</w:t>
      </w:r>
    </w:p>
    <w:p>
      <w:pPr>
        <w:spacing w:after="0" w:line="179" w:lineRule="exact"/>
        <w:rPr>
          <w:sz w:val="20"/>
          <w:szCs w:val="20"/>
          <w:color w:val="auto"/>
        </w:rPr>
      </w:pPr>
    </w:p>
    <w:p>
      <w:pPr>
        <w:jc w:val="both"/>
        <w:ind w:firstLine="373"/>
        <w:spacing w:after="0" w:line="251" w:lineRule="auto"/>
        <w:rPr>
          <w:sz w:val="20"/>
          <w:szCs w:val="20"/>
          <w:color w:val="auto"/>
        </w:rPr>
      </w:pPr>
      <w:r>
        <w:rPr>
          <w:rFonts w:ascii="Arial" w:cs="Arial" w:eastAsia="Arial" w:hAnsi="Arial"/>
          <w:sz w:val="14"/>
          <w:szCs w:val="14"/>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also may limit when and how we can deploy our technology developed under those contracts.</w:t>
      </w:r>
    </w:p>
    <w:p>
      <w:pPr>
        <w:spacing w:after="0" w:line="400"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addition to patented technology, we rely upon unpatented proprietary technology, processes and know-how, particularly with respect to our PowerBuoy control and electricity generating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If we infringe or are alleged to infringe intellectual property rights of third parties, our business, financial condition and results of operations could be adversely affected.</w:t>
      </w:r>
    </w:p>
    <w:p>
      <w:pPr>
        <w:spacing w:after="0" w:line="224"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Our products may infringe, or be claimed to infringe, patents or patent applications under which we do not hold licenses or other rights. Third parties may own or control these patents and patent applications in the United States and abroad. From time to time, we receive correspondence from third parties offering to license patents to us. Correspondence of this nature might be used to establish that we received notice of certain patents in the event of subsequent patent infringement litigation. Third parties could bring claims against us that would cause us to incur substantial expenses and, if successfully asserted against us, could cause us to pay substantial damages. Further, if a patent infringement suit were brought against us, we could be forced to stop or delay manufacturing or sales of the product or component that is the subject of the suit.</w:t>
      </w:r>
    </w:p>
    <w:p>
      <w:pPr>
        <w:spacing w:after="0" w:line="192"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As a result of patent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infringement claims, we are unable to enter into licenses on acceptable terms. This could significantly and adversely affect our business, financial condition and results of operations.</w:t>
      </w:r>
    </w:p>
    <w:p>
      <w:pPr>
        <w:spacing w:after="0" w:line="174"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In addition to infringement claims against us, we may become a party to other types of patent litigation and other proceedings, including interference proceedings declared by the United States Patent and Trademark Office and opposition proceedings in the European Patent Office, regarding intellectual property rights with respect to our products and technology. The cost to us of any patent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216" w:lineRule="exact"/>
        <w:rPr>
          <w:sz w:val="20"/>
          <w:szCs w:val="20"/>
          <w:color w:val="auto"/>
        </w:rPr>
      </w:pPr>
    </w:p>
    <w:p>
      <w:pPr>
        <w:ind w:left="260"/>
        <w:spacing w:after="0" w:line="268"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may delay or prevent attempts by our stockholders to change our management and hinder efforts to acquire a controlling interest in us.</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As a result of our reincorporation in Delaware in April 2007, provisions of our certificate of incorporation and bylaws may discourage, delay or prevent a merger, acquisition or other change in control that stockholders may consider favorable, including transactions in which our stockholders might otherwise receive a premium for their shares. These provisions may also prevent or frustrate attempts by our stockholders to replace or remove our management. These provisions include:</w:t>
      </w:r>
    </w:p>
    <w:p>
      <w:pPr>
        <w:spacing w:after="0" w:line="145" w:lineRule="exact"/>
        <w:rPr>
          <w:sz w:val="20"/>
          <w:szCs w:val="20"/>
          <w:color w:val="auto"/>
        </w:rPr>
      </w:pPr>
    </w:p>
    <w:p>
      <w:pPr>
        <w:ind w:left="720" w:hanging="24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advance notice requirements for stockholder proposals and nominations;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inability of stockholders to act by written consent or to call special meetings; and</w:t>
      </w:r>
    </w:p>
    <w:p>
      <w:pPr>
        <w:spacing w:after="0" w:line="170"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of our board of directors to designate the terms of and issue new series of preferred stock without stockholder approval, which could be used to institute a "poison pill" that would work to dilute the stock ownership of a potential hostile acquirer, effectively preventing acquisitions that have not been approved by our board of directors.</w:t>
      </w:r>
    </w:p>
    <w:p>
      <w:pPr>
        <w:spacing w:after="0" w:line="138"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The affirmative vote of the holders of at least 75% of our shares of capital stock entitled to vote is necessary to amend or repeal the above provisions of our certificate of incorporation. In addition, absent approval of our board of directors, our bylaws may only be amended or repealed by the affirmative vote of the holders of at least 75% of our shares of capital stock entitled to vote.</w:t>
      </w:r>
    </w:p>
    <w:p>
      <w:pPr>
        <w:spacing w:after="0" w:line="157"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In addition, Section 203 of the Delaware General Corporation Law prohibits a publicly held Delaware corporation from engaging in a business combination with an interested stockholder, which is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our company.</w:t>
      </w:r>
    </w:p>
    <w:p>
      <w:pPr>
        <w:spacing w:after="0" w:line="35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have never paid cash dividends on our common stock, and we do not anticipate paying any cash dividends in the foreseeable future.</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Our stock price is likely to be volatile, and purchasers of our common stock could incur substantial losses.</w:t>
      </w:r>
    </w:p>
    <w:p>
      <w:pPr>
        <w:spacing w:after="0" w:line="21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market price of our common stock may fluctuate significantly in response to factors that are beyond our control. For the period ended April 30, 2012, the 52-week high and low prices for our common stock were $5.60 and $2.33, respectively. The stock market in general has recently experienced extreme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w:t>
      </w:r>
    </w:p>
    <w:p>
      <w:pPr>
        <w:spacing w:after="0" w:line="148" w:lineRule="exact"/>
        <w:rPr>
          <w:sz w:val="20"/>
          <w:szCs w:val="20"/>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success of competitive products or technologies;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regulatory developments in the United States and foreign countries;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developments or disputes concerning patents or other proprietary rights;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quarterly or annual variations in our financial results or those of companies that are perceived to be similar to us;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market conditions in the conventional and renewable energy industries and issuance of new or changed securities analysts' reports or recommendations;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failure of securities analysts to cover our common stock or changes in financial estimates by analysts;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inability to meet the financial estimates of analysts who follow our common stock;</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investor perception of our company and of the renewable energy industry; and</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general economic, political and market conditions.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270" w:right="21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3"/>
          <w:szCs w:val="13"/>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8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3"/>
          <w:szCs w:val="13"/>
          <w:b w:val="1"/>
          <w:bCs w:val="1"/>
          <w:i w:val="1"/>
          <w:iCs w:val="1"/>
          <w:color w:val="auto"/>
        </w:rPr>
        <w:t>PROPERTIES</w:t>
      </w:r>
    </w:p>
    <w:p>
      <w:pPr>
        <w:spacing w:after="0" w:line="175"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Our corporate headquarters are located in Pennington, New Jersey, where we occupy approximately 22,000 square feet under a lease expiring on April 30, 2013. We use these facilities for administration, research and development, as well as assembly and testing of the generators and control models for our PowerBuoy systems.</w:t>
      </w:r>
    </w:p>
    <w:p>
      <w:pPr>
        <w:spacing w:after="0" w:line="180"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We also have an office in Warwick, United Kingdom, where we occupy 1,390 square feet under a lease expiring on January 1, 2013. Six employees, all members of the executive, engineering, administration and business development teams, operate out of this office, which serves as a hub for our European presence.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the future, we may add sales, marketing and engineering offices in additional locations, including Australia, Japan, continental Europe and the west coast of the United States.</w:t>
      </w:r>
    </w:p>
    <w:p>
      <w:pPr>
        <w:spacing w:after="0" w:line="200" w:lineRule="exact"/>
        <w:rPr>
          <w:sz w:val="20"/>
          <w:szCs w:val="20"/>
          <w:color w:val="auto"/>
        </w:rPr>
      </w:pPr>
    </w:p>
    <w:p>
      <w:pPr>
        <w:spacing w:after="0" w:line="38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i w:val="1"/>
          <w:iCs w:val="1"/>
          <w:color w:val="auto"/>
        </w:rPr>
        <w:t>LEGAL PROCEEDINGS</w:t>
      </w:r>
    </w:p>
    <w:p>
      <w:pPr>
        <w:spacing w:after="0" w:line="175"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00" w:lineRule="exact"/>
        <w:rPr>
          <w:sz w:val="20"/>
          <w:szCs w:val="20"/>
          <w:color w:val="auto"/>
        </w:rPr>
      </w:pPr>
    </w:p>
    <w:p>
      <w:pPr>
        <w:spacing w:after="0" w:line="349"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3"/>
          <w:szCs w:val="13"/>
          <w:b w:val="1"/>
          <w:bCs w:val="1"/>
          <w:i w:val="1"/>
          <w:iCs w:val="1"/>
          <w:color w:val="auto"/>
        </w:rPr>
        <w:t>(REMOVED AND RESERVED)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30" w:name="page31"/>
    <w:bookmarkEnd w:id="30"/>
    <w:p>
      <w:pPr>
        <w:jc w:val="center"/>
        <w:spacing w:after="0"/>
        <w:rPr>
          <w:sz w:val="20"/>
          <w:szCs w:val="20"/>
          <w:color w:val="auto"/>
        </w:rPr>
      </w:pPr>
      <w:r>
        <w:rPr>
          <w:rFonts w:ascii="Arial" w:cs="Arial" w:eastAsia="Arial" w:hAnsi="Arial"/>
          <w:sz w:val="14"/>
          <w:szCs w:val="14"/>
          <w:b w:val="1"/>
          <w:bCs w:val="1"/>
          <w:color w:val="auto"/>
        </w:rPr>
        <w:t>PART II</w:t>
      </w:r>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Price Information and Stockholders</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Our common stock has been listed on the Nasdaq Global Market since April 24, 2007 under the symbol "OPTT." As of June 30, 2012, there were 315 holders of record for shares of our common stock. Since a portion of our common stock is held in "street" or nominee name, we are unable to determine the exact number of beneficial holders.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sets forth the high and the low sale prices of our common stock as quoted by the Nasdaq Global Market for the period indicated.</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2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4"/>
                <w:szCs w:val="14"/>
                <w:b w:val="1"/>
                <w:bCs w:val="1"/>
                <w:color w:val="auto"/>
              </w:rPr>
              <w:t>Nasdaq Global Market</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7"/>
        </w:trPr>
        <w:tc>
          <w:tcPr>
            <w:tcW w:w="4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Low</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4580" w:type="dxa"/>
            <w:vAlign w:val="bottom"/>
          </w:tcPr>
          <w:p>
            <w:pPr>
              <w:spacing w:after="0"/>
              <w:rPr>
                <w:sz w:val="20"/>
                <w:szCs w:val="20"/>
                <w:color w:val="auto"/>
              </w:rPr>
            </w:pPr>
            <w:r>
              <w:rPr>
                <w:rFonts w:ascii="Arial" w:cs="Arial" w:eastAsia="Arial" w:hAnsi="Arial"/>
                <w:sz w:val="14"/>
                <w:szCs w:val="14"/>
                <w:b w:val="1"/>
                <w:bCs w:val="1"/>
                <w:color w:val="auto"/>
              </w:rPr>
              <w:t>Year Ended April 30, 2012</w:t>
            </w: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First quarter</w:t>
            </w:r>
          </w:p>
        </w:tc>
        <w:tc>
          <w:tcPr>
            <w:tcW w:w="4020" w:type="dxa"/>
            <w:vAlign w:val="bottom"/>
            <w:gridSpan w:val="2"/>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5.15</w:t>
            </w:r>
          </w:p>
        </w:tc>
        <w:tc>
          <w:tcPr>
            <w:tcW w:w="1060" w:type="dxa"/>
            <w:vAlign w:val="bottom"/>
            <w:gridSpan w:val="2"/>
            <w:shd w:val="clear" w:color="auto" w:fill="CCEEFF"/>
          </w:tcPr>
          <w:p>
            <w:pPr>
              <w:jc w:val="right"/>
              <w:ind w:right="871"/>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3.25</w:t>
            </w:r>
          </w:p>
        </w:tc>
      </w:tr>
      <w:tr>
        <w:trPr>
          <w:trHeight w:val="166"/>
        </w:trPr>
        <w:tc>
          <w:tcPr>
            <w:tcW w:w="4580" w:type="dxa"/>
            <w:vAlign w:val="bottom"/>
          </w:tcPr>
          <w:p>
            <w:pPr>
              <w:spacing w:after="0"/>
              <w:rPr>
                <w:sz w:val="20"/>
                <w:szCs w:val="20"/>
                <w:color w:val="auto"/>
              </w:rPr>
            </w:pPr>
            <w:r>
              <w:rPr>
                <w:rFonts w:ascii="Arial" w:cs="Arial" w:eastAsia="Arial" w:hAnsi="Arial"/>
                <w:sz w:val="14"/>
                <w:szCs w:val="14"/>
                <w:color w:val="auto"/>
              </w:rPr>
              <w:t>Second quarter</w:t>
            </w: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5.60</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2.33</w:t>
            </w:r>
          </w:p>
        </w:tc>
      </w:tr>
      <w:tr>
        <w:trPr>
          <w:trHeight w:val="16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Third quarter</w:t>
            </w:r>
          </w:p>
        </w:tc>
        <w:tc>
          <w:tcPr>
            <w:tcW w:w="3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3.92</w:t>
            </w: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2.52</w:t>
            </w:r>
          </w:p>
        </w:tc>
      </w:tr>
      <w:tr>
        <w:trPr>
          <w:trHeight w:val="166"/>
        </w:trPr>
        <w:tc>
          <w:tcPr>
            <w:tcW w:w="4580" w:type="dxa"/>
            <w:vAlign w:val="bottom"/>
          </w:tcPr>
          <w:p>
            <w:pPr>
              <w:spacing w:after="0"/>
              <w:rPr>
                <w:sz w:val="20"/>
                <w:szCs w:val="20"/>
                <w:color w:val="auto"/>
              </w:rPr>
            </w:pPr>
            <w:r>
              <w:rPr>
                <w:rFonts w:ascii="Arial" w:cs="Arial" w:eastAsia="Arial" w:hAnsi="Arial"/>
                <w:sz w:val="14"/>
                <w:szCs w:val="14"/>
                <w:color w:val="auto"/>
              </w:rPr>
              <w:t>Fourth quarter</w:t>
            </w: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3.90</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2.60</w:t>
            </w:r>
          </w:p>
        </w:tc>
      </w:tr>
      <w:tr>
        <w:trPr>
          <w:trHeight w:val="166"/>
        </w:trPr>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Year Ended April 30, 2011</w:t>
            </w:r>
          </w:p>
        </w:tc>
        <w:tc>
          <w:tcPr>
            <w:tcW w:w="3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6"/>
        </w:trPr>
        <w:tc>
          <w:tcPr>
            <w:tcW w:w="4580" w:type="dxa"/>
            <w:vAlign w:val="bottom"/>
          </w:tcPr>
          <w:p>
            <w:pPr>
              <w:spacing w:after="0"/>
              <w:rPr>
                <w:sz w:val="20"/>
                <w:szCs w:val="20"/>
                <w:color w:val="auto"/>
              </w:rPr>
            </w:pPr>
            <w:r>
              <w:rPr>
                <w:rFonts w:ascii="Arial" w:cs="Arial" w:eastAsia="Arial" w:hAnsi="Arial"/>
                <w:sz w:val="14"/>
                <w:szCs w:val="14"/>
                <w:color w:val="auto"/>
              </w:rPr>
              <w:t>First quarter</w:t>
            </w:r>
          </w:p>
        </w:tc>
        <w:tc>
          <w:tcPr>
            <w:tcW w:w="4020" w:type="dxa"/>
            <w:vAlign w:val="bottom"/>
            <w:gridSpan w:val="2"/>
          </w:tcPr>
          <w:p>
            <w:pPr>
              <w:jc w:val="right"/>
              <w:ind w:right="871"/>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7.20</w:t>
            </w:r>
          </w:p>
        </w:tc>
        <w:tc>
          <w:tcPr>
            <w:tcW w:w="1060" w:type="dxa"/>
            <w:vAlign w:val="bottom"/>
            <w:gridSpan w:val="2"/>
          </w:tcPr>
          <w:p>
            <w:pPr>
              <w:jc w:val="right"/>
              <w:ind w:right="871"/>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4.82</w:t>
            </w:r>
          </w:p>
        </w:tc>
      </w:tr>
      <w:tr>
        <w:trPr>
          <w:trHeight w:val="16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Second quarter</w:t>
            </w:r>
          </w:p>
        </w:tc>
        <w:tc>
          <w:tcPr>
            <w:tcW w:w="3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6.85</w:t>
            </w: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4.55</w:t>
            </w:r>
          </w:p>
        </w:tc>
      </w:tr>
      <w:tr>
        <w:trPr>
          <w:trHeight w:val="166"/>
        </w:trPr>
        <w:tc>
          <w:tcPr>
            <w:tcW w:w="4580" w:type="dxa"/>
            <w:vAlign w:val="bottom"/>
          </w:tcPr>
          <w:p>
            <w:pPr>
              <w:spacing w:after="0"/>
              <w:rPr>
                <w:sz w:val="20"/>
                <w:szCs w:val="20"/>
                <w:color w:val="auto"/>
              </w:rPr>
            </w:pPr>
            <w:r>
              <w:rPr>
                <w:rFonts w:ascii="Arial" w:cs="Arial" w:eastAsia="Arial" w:hAnsi="Arial"/>
                <w:sz w:val="14"/>
                <w:szCs w:val="14"/>
                <w:color w:val="auto"/>
              </w:rPr>
              <w:t>Third quarter</w:t>
            </w:r>
          </w:p>
        </w:tc>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6.80</w:t>
            </w: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5.12</w:t>
            </w:r>
          </w:p>
        </w:tc>
      </w:tr>
      <w:tr>
        <w:trPr>
          <w:trHeight w:val="166"/>
        </w:trPr>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Fourth quarter</w:t>
            </w:r>
          </w:p>
        </w:tc>
        <w:tc>
          <w:tcPr>
            <w:tcW w:w="3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5.73</w:t>
            </w: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4.70</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1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We have never declared or paid any cash dividends on our common stock, and we do not currently anticipate declaring or paying cash dividends on our common stock in the foreseeable future. We currently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 AND USE OF PROCEEDS</w:t>
      </w: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contains information about our purchases of our equity securities during February, March and April 2012.</w:t>
      </w:r>
    </w:p>
    <w:p>
      <w:pPr>
        <w:spacing w:after="0" w:line="200" w:lineRule="exact"/>
        <w:rPr>
          <w:sz w:val="20"/>
          <w:szCs w:val="20"/>
          <w:color w:val="auto"/>
        </w:rPr>
      </w:pP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Approximate</w:t>
            </w:r>
          </w:p>
        </w:tc>
      </w:t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Dollar Value that</w:t>
            </w:r>
          </w:p>
        </w:tc>
      </w:t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w w:val="96"/>
              </w:rPr>
              <w:t>Shares Purchased</w:t>
            </w:r>
          </w:p>
        </w:tc>
        <w:tc>
          <w:tcPr>
            <w:tcW w:w="16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May Yet Be</w:t>
            </w:r>
          </w:p>
        </w:tc>
      </w:tr>
      <w:tr>
        <w:trPr>
          <w:trHeight w:val="166"/>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96"/>
              </w:rPr>
              <w:t>Shares Purchased</w:t>
            </w:r>
          </w:p>
        </w:tc>
        <w:tc>
          <w:tcPr>
            <w:tcW w:w="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92"/>
              </w:rPr>
              <w:t>Average Price Paid</w:t>
            </w: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Part of A</w:t>
            </w:r>
          </w:p>
        </w:tc>
        <w:tc>
          <w:tcPr>
            <w:tcW w:w="16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4"/>
                <w:szCs w:val="14"/>
                <w:b w:val="1"/>
                <w:bCs w:val="1"/>
                <w:color w:val="auto"/>
              </w:rPr>
              <w:t>Purchased Under</w:t>
            </w:r>
          </w:p>
        </w:tc>
      </w:tr>
      <w:tr>
        <w:trPr>
          <w:trHeight w:val="181"/>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5"/>
                <w:szCs w:val="15"/>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Announced Plan</w:t>
            </w:r>
          </w:p>
        </w:tc>
        <w:tc>
          <w:tcPr>
            <w:tcW w:w="160" w:type="dxa"/>
            <w:vAlign w:val="bottom"/>
          </w:tcPr>
          <w:p>
            <w:pPr>
              <w:spacing w:after="0"/>
              <w:rPr>
                <w:sz w:val="15"/>
                <w:szCs w:val="15"/>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Plan</w:t>
            </w:r>
          </w:p>
        </w:tc>
      </w:tr>
    </w:tbl>
    <w:p>
      <w:pPr>
        <w:spacing w:after="0" w:line="166" w:lineRule="exact"/>
        <w:rPr>
          <w:sz w:val="20"/>
          <w:szCs w:val="20"/>
          <w:color w:val="auto"/>
        </w:rPr>
      </w:pPr>
    </w:p>
    <w:tbl>
      <w:tblPr>
        <w:tblLayout w:type="fixed"/>
        <w:tblInd w:w="2300" w:type="dxa"/>
        <w:tblCellMar>
          <w:top w:w="0" w:type="dxa"/>
          <w:left w:w="0" w:type="dxa"/>
          <w:bottom w:w="0" w:type="dxa"/>
          <w:right w:w="0" w:type="dxa"/>
        </w:tblCellMar>
      </w:tblPr>
      <w:tr>
        <w:trPr>
          <w:trHeight w:val="166"/>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February 1-29, 2012</w:t>
            </w:r>
          </w:p>
        </w:tc>
        <w:tc>
          <w:tcPr>
            <w:tcW w:w="21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1,349</w:t>
            </w:r>
          </w:p>
        </w:tc>
        <w:tc>
          <w:tcPr>
            <w:tcW w:w="60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551"/>
              <w:spacing w:after="0"/>
              <w:rPr>
                <w:sz w:val="20"/>
                <w:szCs w:val="20"/>
                <w:color w:val="auto"/>
              </w:rPr>
            </w:pPr>
            <w:r>
              <w:rPr>
                <w:rFonts w:ascii="Arial" w:cs="Arial" w:eastAsia="Arial" w:hAnsi="Arial"/>
                <w:sz w:val="14"/>
                <w:szCs w:val="14"/>
                <w:color w:val="auto"/>
              </w:rPr>
              <w:t>2.87</w:t>
            </w: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r>
      <w:tr>
        <w:trPr>
          <w:trHeight w:val="166"/>
        </w:trPr>
        <w:tc>
          <w:tcPr>
            <w:tcW w:w="2900" w:type="dxa"/>
            <w:vAlign w:val="bottom"/>
          </w:tcPr>
          <w:p>
            <w:pPr>
              <w:spacing w:after="0"/>
              <w:rPr>
                <w:sz w:val="20"/>
                <w:szCs w:val="20"/>
                <w:color w:val="auto"/>
              </w:rPr>
            </w:pPr>
            <w:r>
              <w:rPr>
                <w:rFonts w:ascii="Arial" w:cs="Arial" w:eastAsia="Arial" w:hAnsi="Arial"/>
                <w:sz w:val="14"/>
                <w:szCs w:val="14"/>
                <w:color w:val="auto"/>
              </w:rPr>
              <w:t>March 1-31, 2012</w:t>
            </w:r>
          </w:p>
        </w:tc>
        <w:tc>
          <w:tcPr>
            <w:tcW w:w="21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1320" w:type="dxa"/>
            <w:vAlign w:val="bottom"/>
          </w:tcPr>
          <w:p>
            <w:pPr>
              <w:jc w:val="right"/>
              <w:ind w:right="551"/>
              <w:spacing w:after="0"/>
              <w:rPr>
                <w:sz w:val="20"/>
                <w:szCs w:val="20"/>
                <w:color w:val="auto"/>
              </w:rPr>
            </w:pPr>
            <w:r>
              <w:rPr>
                <w:rFonts w:ascii="Arial" w:cs="Arial" w:eastAsia="Arial" w:hAnsi="Arial"/>
                <w:sz w:val="14"/>
                <w:szCs w:val="14"/>
                <w:color w:val="auto"/>
              </w:rPr>
              <w:t>―</w:t>
            </w:r>
          </w:p>
        </w:tc>
        <w:tc>
          <w:tcPr>
            <w:tcW w:w="1360" w:type="dxa"/>
            <w:vAlign w:val="bottom"/>
          </w:tcPr>
          <w:p>
            <w:pPr>
              <w:ind w:left="620"/>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r>
      <w:tr>
        <w:trPr>
          <w:trHeight w:val="166"/>
        </w:trPr>
        <w:tc>
          <w:tcPr>
            <w:tcW w:w="2900" w:type="dxa"/>
            <w:vAlign w:val="bottom"/>
            <w:shd w:val="clear" w:color="auto" w:fill="CCEEFF"/>
          </w:tcPr>
          <w:p>
            <w:pPr>
              <w:spacing w:after="0"/>
              <w:rPr>
                <w:sz w:val="20"/>
                <w:szCs w:val="20"/>
                <w:color w:val="auto"/>
              </w:rPr>
            </w:pPr>
            <w:r>
              <w:rPr>
                <w:rFonts w:ascii="Arial" w:cs="Arial" w:eastAsia="Arial" w:hAnsi="Arial"/>
                <w:sz w:val="14"/>
                <w:szCs w:val="14"/>
                <w:color w:val="auto"/>
              </w:rPr>
              <w:t>April 1-30, 2012</w:t>
            </w:r>
          </w:p>
        </w:tc>
        <w:tc>
          <w:tcPr>
            <w:tcW w:w="21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551"/>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 Represents shares delivered back to the Company by employees to pay taxes related to the vesting of restricted shares.</w:t>
      </w:r>
    </w:p>
    <w:p>
      <w:pPr>
        <w:spacing w:after="0" w:line="200" w:lineRule="exact"/>
        <w:rPr>
          <w:sz w:val="20"/>
          <w:szCs w:val="20"/>
          <w:color w:val="auto"/>
        </w:rPr>
      </w:pPr>
    </w:p>
    <w:p>
      <w:pPr>
        <w:spacing w:after="0" w:line="38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i w:val="1"/>
          <w:iCs w:val="1"/>
          <w:color w:val="auto"/>
        </w:rPr>
        <w:t>SELECTED FINANCIAL DATA</w:t>
      </w:r>
    </w:p>
    <w:p>
      <w:pPr>
        <w:spacing w:after="0" w:line="38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260" w:right="219" w:bottom="1440" w:gutter="0" w:footer="0" w:header="0"/>
        </w:sectPr>
      </w:pPr>
    </w:p>
    <w:bookmarkStart w:id="31" w:name="page32"/>
    <w:bookmarkEnd w:id="31"/>
    <w:p>
      <w:pPr>
        <w:spacing w:after="0"/>
        <w:tabs>
          <w:tab w:leader="none" w:pos="106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3"/>
          <w:szCs w:val="13"/>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for a discussion of important factors that could cause actual results to differ materially from the results described in or implied by the forward-looking statements contained in the following discussion and analysis.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16"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In addition, we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such revenues represent a greater portion of our total revenues. In addition, our goal in the future is that an increased portion of our revenues will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180"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190" w:lineRule="exact"/>
        <w:rPr>
          <w:sz w:val="20"/>
          <w:szCs w:val="20"/>
          <w:color w:val="auto"/>
        </w:rPr>
      </w:pPr>
    </w:p>
    <w:p>
      <w:pPr>
        <w:jc w:val="both"/>
        <w:ind w:firstLine="195"/>
        <w:spacing w:after="0" w:line="258" w:lineRule="auto"/>
        <w:rPr>
          <w:sz w:val="20"/>
          <w:szCs w:val="20"/>
          <w:color w:val="auto"/>
        </w:rPr>
      </w:pPr>
      <w:r>
        <w:rPr>
          <w:rFonts w:ascii="Arial" w:cs="Arial" w:eastAsia="Arial" w:hAnsi="Arial"/>
          <w:sz w:val="14"/>
          <w:szCs w:val="14"/>
          <w:color w:val="auto"/>
        </w:rPr>
        <w:t>We were incorporated in New Jersey in April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 (OPTA). In March 2012, OPTA acquired 100% of Victorian Wave Partners Pty Ltd.</w:t>
      </w:r>
    </w:p>
    <w:p>
      <w:pPr>
        <w:spacing w:after="0" w:line="186"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2"/>
          <w:szCs w:val="12"/>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150kW PowerBuoy were conducted. These ocean trials were conducted at a site approximately 33 nautical miles from Invergordon, off Scotland’s northeast coast. During the ocean trials, our 150kW- rated PowerBuoy produced power in excess of our expectations of performance. Our utility scale PB150 structure and mooring system achieved independent certification from Lloyd’s Register. This certification from Lloyd’s Register confirms that the PB150 design complies with the requirements of Lloyd’s 1999 Rules and Regulations for the Classification of Floating Offshore Installations at Fixed Locations.</w:t>
      </w:r>
    </w:p>
    <w:p>
      <w:pPr>
        <w:spacing w:after="0" w:line="171" w:lineRule="exact"/>
        <w:rPr>
          <w:sz w:val="20"/>
          <w:szCs w:val="20"/>
          <w:color w:val="auto"/>
        </w:rPr>
      </w:pPr>
    </w:p>
    <w:p>
      <w:pPr>
        <w:jc w:val="both"/>
        <w:ind w:firstLine="373"/>
        <w:spacing w:after="0" w:line="273" w:lineRule="auto"/>
        <w:rPr>
          <w:sz w:val="20"/>
          <w:szCs w:val="20"/>
          <w:color w:val="auto"/>
        </w:rPr>
      </w:pPr>
      <w:r>
        <w:rPr>
          <w:rFonts w:ascii="Arial" w:cs="Arial" w:eastAsia="Arial" w:hAnsi="Arial"/>
          <w:sz w:val="13"/>
          <w:szCs w:val="13"/>
          <w:color w:val="auto"/>
        </w:rPr>
        <w:t>At April 30, 2012, our total negotiated backlog was $6.8 million compared with $8.9 million at April 30, 2011. The decrease in backlog is a result of revenue recognized during the period offset by new orders during fiscal 2012, of $3.9 million and changes in foreign currency of $0.3 million. New orders during 2012 included a $3.2 million grant from the European Union related to our WavePort project to enhance the efficiency of our PowerBuoy. We anticipate that a majority of our backlog will be recognized as revenue over the next 12 months. Most of our backlog at April 30, 2012 and 2011 consisted of cost-sharing contracts as described in the Financial Operations Overview section of this Management’s Discussion and Analysis. Our backlog includes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$4.8 million and $6.9 million at April 30, 2012 and 2011, respectively.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32" w:name="page33"/>
    <w:bookmarkEnd w:id="32"/>
    <w:p>
      <w:pPr>
        <w:jc w:val="both"/>
        <w:ind w:firstLine="445"/>
        <w:spacing w:after="0" w:line="254" w:lineRule="auto"/>
        <w:rPr>
          <w:sz w:val="20"/>
          <w:szCs w:val="20"/>
          <w:color w:val="auto"/>
        </w:rPr>
      </w:pPr>
      <w:r>
        <w:rPr>
          <w:rFonts w:ascii="Arial" w:cs="Arial" w:eastAsia="Arial" w:hAnsi="Arial"/>
          <w:sz w:val="14"/>
          <w:szCs w:val="14"/>
          <w:color w:val="auto"/>
        </w:rPr>
        <w:t>Our fiscal year ends on April 30. For fiscal 2012, we generated revenues of $5.7 million and incurred a net loss attributable to Ocean Power Technologies, Inc. of $15.1 million, and for fiscal 2011, we generated revenues of $6.7 million and incurred a net loss attributable to Ocean Power Technologies, Inc. of $20.4 million. As of April 30, 2012, our accumulated deficit was $126.0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90"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The marine energy industry, including wave, tidal and ocean current energy technologies, is expected to benefit from various legislative initiatives that have been undertaken or are planned by state and federal agencies. For example, in 2008, the US enacted the Energy Improvement and Extension Act of 2008, which enables owners of wave power projects in the US to receive federal tax credits, thereby improving the long-term economics of wave power as a renewable energy source. The Act expands the definition of qualifying facilities for the Production Tax Credit (PTC) to include those that generate power from marine renewables (including wave and tidal sources). As a result, the PTC is now available for electricity produced and generated after October 3, 2008 from marine renewable energy facilities with a "nameplate capacity" of at least 150kW that are placed in service anytime between October 3, 2008 and December 31, 2013. The credit rate for marine renewables is $0.01 per kilowatt hour, and the duration of the credit will be ten years after the facility is placed in service. The PTC legislation may expire in 2013.</w:t>
      </w:r>
    </w:p>
    <w:p>
      <w:pPr>
        <w:spacing w:after="0" w:line="179"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Further, the US federal and state governments may increase their investments in the renewable energy sector under various economic stimulus measures. The American Recovery and Reinvestment Act of 2009 provided significant grants, tax incentives and policy initiatives to stimulate investment and innovation in the "cleantech" sector. At times, the DOE has also issued requests for proposal to be funded under programs it has established to further investment in marine energy technologies. We have devoted additional resources to develop proposals seeking government funding to support existing projects and technology enhancements. Consequently, while our selling, general and administrative costs related to such efforts may continue to increase over the next year, we believe that these governmental initiatives may result in additional revenues for us over the next several years. Given the uncertainties surrounding the scope and size of the government programs, there can be no assurances as to whether we will be successful in obtaining significant additional government funding or as to the terms and conditions of any such funding.</w:t>
      </w:r>
    </w:p>
    <w:p>
      <w:pPr>
        <w:spacing w:after="0" w:line="179"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3"/>
          <w:szCs w:val="13"/>
          <w:color w:val="auto"/>
        </w:rPr>
        <w:t>The recent global economic uncertainty, particularly the macroeconomic pressures in certain European countries, may have a negative effect on our business, financial condition and results of operations because the utility companies with which we contract or propose to contract may decrease their investment in new power generation equipment in response to the uncertainty.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uncertainty will have a material negative impact on our sources of supply, as our products incorporate what are substantially non-custom, standard parts found in many regions of the world.</w:t>
      </w:r>
    </w:p>
    <w:p>
      <w:pPr>
        <w:spacing w:after="0" w:line="179"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Financial Operations Overview</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describes certain line items in our statement of operations and some of the factors that affect our operating results.</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Revenues</w:t>
      </w:r>
    </w:p>
    <w:p>
      <w:pPr>
        <w:spacing w:after="0" w:line="212"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78"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projects in fiscal year 2012 were under cost-sharing contracts.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provides information regarding the breakdown of our revenues by customer for fiscal years 2012 and 2011:</w:t>
      </w: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14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4"/>
                <w:szCs w:val="14"/>
                <w:b w:val="1"/>
                <w:bCs w:val="1"/>
                <w:color w:val="auto"/>
              </w:rPr>
              <w:t>Years Ended April 30,</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gridSpan w:val="3"/>
          </w:tcPr>
          <w:p>
            <w:pPr>
              <w:jc w:val="right"/>
              <w:ind w:right="542"/>
              <w:spacing w:after="0" w:line="151" w:lineRule="exact"/>
              <w:rPr>
                <w:sz w:val="20"/>
                <w:szCs w:val="20"/>
                <w:color w:val="auto"/>
              </w:rPr>
            </w:pPr>
            <w:r>
              <w:rPr>
                <w:rFonts w:ascii="Arial" w:cs="Arial" w:eastAsia="Arial" w:hAnsi="Arial"/>
                <w:sz w:val="14"/>
                <w:szCs w:val="14"/>
                <w:color w:val="auto"/>
              </w:rPr>
              <w:t>($ millions)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US Department of Energy</w:t>
            </w:r>
          </w:p>
        </w:tc>
        <w:tc>
          <w:tcPr>
            <w:tcW w:w="800" w:type="dxa"/>
            <w:vAlign w:val="bottom"/>
            <w:shd w:val="clear" w:color="auto" w:fill="CCEEFF"/>
          </w:tcPr>
          <w:p>
            <w:pPr>
              <w:jc w:val="right"/>
              <w:ind w:right="68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w:t>
            </w:r>
          </w:p>
        </w:tc>
        <w:tc>
          <w:tcPr>
            <w:tcW w:w="820" w:type="dxa"/>
            <w:vAlign w:val="bottom"/>
            <w:shd w:val="clear" w:color="auto" w:fill="CCEEFF"/>
          </w:tcPr>
          <w:p>
            <w:pPr>
              <w:jc w:val="right"/>
              <w:ind w:right="70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spacing w:after="0"/>
              <w:rPr>
                <w:sz w:val="20"/>
                <w:szCs w:val="20"/>
                <w:color w:val="auto"/>
              </w:rPr>
            </w:pPr>
            <w:r>
              <w:rPr>
                <w:rFonts w:ascii="Arial" w:cs="Arial" w:eastAsia="Arial" w:hAnsi="Arial"/>
                <w:sz w:val="14"/>
                <w:szCs w:val="14"/>
                <w:color w:val="auto"/>
              </w:rPr>
              <w:t>US Navy</w:t>
            </w:r>
          </w:p>
        </w:tc>
        <w:tc>
          <w:tcPr>
            <w:tcW w:w="8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1.6</w:t>
            </w:r>
          </w:p>
        </w:tc>
        <w:tc>
          <w:tcPr>
            <w:tcW w:w="8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UK Government's Technology Strategy Board</w:t>
            </w:r>
          </w:p>
        </w:tc>
        <w:tc>
          <w:tcPr>
            <w:tcW w:w="8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w:t>
            </w:r>
          </w:p>
        </w:tc>
        <w:tc>
          <w:tcPr>
            <w:tcW w:w="8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Pr>
          <w:p>
            <w:pPr>
              <w:spacing w:after="0"/>
              <w:rPr>
                <w:sz w:val="20"/>
                <w:szCs w:val="20"/>
                <w:color w:val="auto"/>
              </w:rPr>
            </w:pPr>
            <w:r>
              <w:rPr>
                <w:rFonts w:ascii="Arial" w:cs="Arial" w:eastAsia="Arial" w:hAnsi="Arial"/>
                <w:sz w:val="14"/>
                <w:szCs w:val="14"/>
                <w:color w:val="auto"/>
              </w:rPr>
              <w:t>European Union (WavePort project)</w:t>
            </w:r>
          </w:p>
        </w:tc>
        <w:tc>
          <w:tcPr>
            <w:tcW w:w="800" w:type="dxa"/>
            <w:vAlign w:val="bottom"/>
          </w:tcPr>
          <w:p>
            <w:pPr>
              <w:spacing w:after="0"/>
              <w:rPr>
                <w:sz w:val="14"/>
                <w:szCs w:val="1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0.8</w:t>
            </w:r>
          </w:p>
        </w:tc>
        <w:tc>
          <w:tcPr>
            <w:tcW w:w="82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8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0.4</w:t>
            </w:r>
          </w:p>
        </w:tc>
        <w:tc>
          <w:tcPr>
            <w:tcW w:w="8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w:t>
            </w:r>
          </w:p>
        </w:tc>
        <w:tc>
          <w:tcPr>
            <w:tcW w:w="820" w:type="dxa"/>
            <w:vAlign w:val="bottom"/>
            <w:shd w:val="clear" w:color="auto" w:fill="CCEEFF"/>
          </w:tcPr>
          <w:p>
            <w:pPr>
              <w:jc w:val="right"/>
              <w:ind w:right="70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revenue decrease for fiscal 2012 reflected significant decreases in revenue from the US Navy attributable to the LEAP program and the DWADS project in addition to revenues related to our 150kW PowerBuoy project off the cost of Oregon. The revenue decrease was partially offset by an increase in revenue from the European Union related to our WavePort project off the coast of Spain and revenues related to our PB500 PowerBuoy development project. During fiscal 2011, we reduced revenue by approximately $0.2 million due to a change in estimated revenue to be recognized in connection with the 2006 Spain Construction Agreement, and there was no corresponding reduction in cost of revenues.</w:t>
      </w:r>
    </w:p>
    <w:p>
      <w:pPr>
        <w:spacing w:after="0" w:line="19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Overall, the US Navy has been our largest customer since fiscal 2002. The DOE was our largest customer in fiscal 2012 and also a significant customer in fiscal 2011. Combined, these two customers accounted for 61% of our revenues in fiscal 2012 and 80% of our revenues in fiscal 2011. We anticipate that, if our commercialization efforts are successful, the relative contribution of these customers to our revenue may decline in the future.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46" w:right="219" w:bottom="1440" w:gutter="0" w:footer="0" w:header="0"/>
        </w:sectPr>
      </w:pPr>
    </w:p>
    <w:bookmarkStart w:id="34" w:name="page35"/>
    <w:bookmarkEnd w:id="34"/>
    <w:p>
      <w:pPr>
        <w:jc w:val="both"/>
        <w:ind w:firstLine="373"/>
        <w:spacing w:after="0" w:line="268" w:lineRule="auto"/>
        <w:rPr>
          <w:sz w:val="20"/>
          <w:szCs w:val="20"/>
          <w:color w:val="auto"/>
        </w:rPr>
      </w:pPr>
      <w:r>
        <w:rPr>
          <w:rFonts w:ascii="Arial" w:cs="Arial" w:eastAsia="Arial" w:hAnsi="Arial"/>
          <w:sz w:val="14"/>
          <w:szCs w:val="14"/>
          <w:color w:val="auto"/>
        </w:rPr>
        <w:t>We currently focus our sales and marketing efforts on North America, the west coast of Europe, Australia and the east coast of Japan. The following table shows the percentage of our revenues by geographical location of our customers for fiscal years 2012 and 2011:</w:t>
      </w:r>
    </w:p>
    <w:p>
      <w:pPr>
        <w:spacing w:after="0" w:line="383" w:lineRule="exact"/>
        <w:rPr>
          <w:sz w:val="20"/>
          <w:szCs w:val="20"/>
          <w:color w:val="auto"/>
        </w:rPr>
      </w:pPr>
    </w:p>
    <w:tbl>
      <w:tblPr>
        <w:tblLayout w:type="fixed"/>
        <w:tblInd w:w="5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5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Years Ended April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Asia and Australia</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revenues</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some contracts.</w:t>
      </w:r>
    </w:p>
    <w:p>
      <w:pPr>
        <w:spacing w:after="0" w:line="18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We operated at a gross profit of $0.1 million and $0.4 million in fiscal 2012 and 2011, respectively. Most of our revenue recorded in fiscal 2012 was generated from cost-sharing contracts, which result in zero gross profit. Our ability to generate a gross profit will depend on the nature of future contracts, our success at increasing sales of our PowerBuoy systems and on our ability to manage costs incurred on fixed price commercial contracts. During fiscal 2011, we reduced revenue by approximately $0.2 million due to a change in estimated revenue to be recognized in connection with the 2006 Spain Construction Agreement, and there was no corresponding reduction in cost of revenues.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Product development costs</w:t>
      </w:r>
    </w:p>
    <w:p>
      <w:pPr>
        <w:spacing w:after="0" w:line="21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and reliability of our utility PowerBuoy system, including the 150kW PowerBuoy system, and to our research and development of new products, product applications and complementary technologies. We expense all of our product development costs as incurred.</w:t>
      </w:r>
    </w:p>
    <w:p>
      <w:pPr>
        <w:spacing w:after="0" w:line="37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Selling, general and administrative costs</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Interest income, net</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Interest income consists of interest received on cash and cash equivalents, investments in commercial bank-issued certificates of deposit and US Treasury bills and notes. Total cash, cash equivalents, restricted cash, and marketable securities were $33.2 million as of April 30, 2012 and $48.3 million as of April 30, 2011. Interest income decreased due to a decline in interest rates and a decline in cash, cash equivalents and marketable securities.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reported in future years may decrease from fiscal 2012 as a result of a decrease in invested cash.</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Foreign exchange loss</w:t>
      </w:r>
    </w:p>
    <w:p>
      <w:pPr>
        <w:spacing w:after="0" w:line="212"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pounds sterling, the Euro and the Australian dollar.</w:t>
      </w:r>
    </w:p>
    <w:p>
      <w:pPr>
        <w:spacing w:after="0" w:line="15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invest in certificates of deposit and maintain cash accounts that are denominated in British pounds sterling, Euros and Australian dollars. These foreign denominated certificates of deposit and cash accounts had a balance of $2.8 million as of April 30, 2012 and $4.8 million as of April 30, 2011, compared to our total cash, cash equivalents, restricted cash, and marketable securities balances of $33.2 million as of April 30, 2012 and $48.3 million as of April 30, 2011.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35" w:name="page36"/>
    <w:bookmarkEnd w:id="35"/>
    <w:p>
      <w:pPr>
        <w:jc w:val="both"/>
        <w:ind w:firstLine="373"/>
        <w:spacing w:after="0" w:line="280" w:lineRule="auto"/>
        <w:rPr>
          <w:sz w:val="20"/>
          <w:szCs w:val="20"/>
          <w:color w:val="auto"/>
        </w:rPr>
      </w:pPr>
      <w:r>
        <w:rPr>
          <w:rFonts w:ascii="Arial" w:cs="Arial" w:eastAsia="Arial" w:hAnsi="Arial"/>
          <w:sz w:val="13"/>
          <w:szCs w:val="13"/>
          <w:color w:val="auto"/>
        </w:rPr>
        <w:t>In addition, a portion of our operations is conducted through our subsidiaries in countries other than the United States, specifically Ocean Power Technologies Ltd. in the United Kingdom, the functional currency of which is the British pounds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Our international revenues for the years ended April 30, 2012 and 2011 were recorded in Euros, British pounds sterling, Australian dollars or Japanese yen.</w:t>
      </w:r>
    </w:p>
    <w:p>
      <w:pPr>
        <w:spacing w:after="0" w:line="174"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39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212"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As of April 30, 2012, we had federal and foreign net operating loss carryforwards of $81.7 million and $18.3 million, respectively, and federal and foreign research and development tax credits of $2.1 million and $0.7 million, respectively which may be used to offset future taxable income. As of April 30, 2012, we had state net operating loss carryforwards of $57.7 million. If not utilized, the net operating loss carryforwards and credit carryforwards will expire at various dates through 2032. We may not achieve profitability in time to utilize the tax credit and net operating loss carryforwards in full or at all. In addition, we have determined that the future utilization of our net operating loss carryforwards is subject to limitations based upon changes in ownership including changes resulting from our initial public offering in April 2007, pursuant to regulations promulgated under the Internal Revenue Code. As discussed in Note 12 to our consolidated financial statements included in this Annual Report, we have established a valuation allowance for our net deferred tax assets, which were $43.7 million as of April 30, 2012 and $39.9 million as of April 30, 2011.</w:t>
      </w:r>
    </w:p>
    <w:p>
      <w:pPr>
        <w:spacing w:after="0" w:line="179"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During the years ended April 30, 2012 and 2011, we sold New Jersey State net operating losses in the amount of $12.9 million and $4.4 million, respectively, resulting in the recognition of income tax benefits of $1.1 million and $0.4 million, respectively, recorded in our Statement of Operations.</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Outlook</w:t>
      </w:r>
    </w:p>
    <w:p>
      <w:pPr>
        <w:spacing w:after="0" w:line="212"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We have incurred net losses since we began operations in 1994, including net losses attributable to Ocean Power Technologies, Inc. of $15.1 million in fiscal 2012 and $20.4 million in fiscal 2011. As of April 30, 2012, we had an accumulated deficit of $126.0 million. These losses have resulted primarily from costs incurred in our research and development programs and from our selling, general and administrative costs. We expect to increase certain of our operating expenses as we continue to expand our commercialization activities. To achieve profitability, we believe we will need to increase revenues and gross profit, control our fixed costs and possibly reduce our unfunded research and development expenditures.</w:t>
      </w:r>
    </w:p>
    <w:p>
      <w:pPr>
        <w:spacing w:after="0" w:line="19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We do not know whether or when we will become profitable because of the significant uncertainties with respect to our ability to successfully commercialize our PowerBuoy systems in the emerging renewable energy market. Even if we do achieve profitability, we may not be able to sustain or increase profitability on a quarterly or annual basis.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Results of Operations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Fiscal Years Ended April 30, 2012 and 2011</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contains statement of operations information, which serves as the basis of the discussion of our results of operations for the years ended April 30, 2012 and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3"/>
          </w:tcPr>
          <w:p>
            <w:pPr>
              <w:jc w:val="right"/>
              <w:ind w:right="31"/>
              <w:spacing w:after="0"/>
              <w:rPr>
                <w:sz w:val="20"/>
                <w:szCs w:val="20"/>
                <w:color w:val="auto"/>
              </w:rPr>
            </w:pPr>
            <w:r>
              <w:rPr>
                <w:rFonts w:ascii="Arial" w:cs="Arial" w:eastAsia="Arial" w:hAnsi="Arial"/>
                <w:sz w:val="14"/>
                <w:szCs w:val="14"/>
                <w:b w:val="1"/>
                <w:bCs w:val="1"/>
                <w:color w:val="auto"/>
              </w:rPr>
              <w:t>Fiscal Year Ended</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gridSpan w:val="3"/>
          </w:tcPr>
          <w:p>
            <w:pPr>
              <w:ind w:left="680"/>
              <w:spacing w:after="0"/>
              <w:rPr>
                <w:sz w:val="20"/>
                <w:szCs w:val="20"/>
                <w:color w:val="auto"/>
              </w:rPr>
            </w:pPr>
            <w:r>
              <w:rPr>
                <w:rFonts w:ascii="Arial" w:cs="Arial" w:eastAsia="Arial" w:hAnsi="Arial"/>
                <w:sz w:val="14"/>
                <w:szCs w:val="14"/>
                <w:b w:val="1"/>
                <w:bCs w:val="1"/>
                <w:color w:val="auto"/>
              </w:rPr>
              <w:t>Fiscal 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81"/>
        </w:trPr>
        <w:tc>
          <w:tcPr>
            <w:tcW w:w="1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April 30, 2012</w:t>
            </w:r>
          </w:p>
        </w:tc>
        <w:tc>
          <w:tcPr>
            <w:tcW w:w="104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April 30, 2011</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Change</w:t>
            </w:r>
          </w:p>
        </w:tc>
        <w:tc>
          <w:tcPr>
            <w:tcW w:w="380" w:type="dxa"/>
            <w:vAlign w:val="bottom"/>
          </w:tcPr>
          <w:p>
            <w:pPr>
              <w:spacing w:after="0"/>
              <w:rPr>
                <w:sz w:val="15"/>
                <w:szCs w:val="15"/>
                <w:color w:val="auto"/>
              </w:rPr>
            </w:pPr>
          </w:p>
        </w:tc>
      </w:tr>
      <w:tr>
        <w:trPr>
          <w:trHeight w:val="151"/>
        </w:trPr>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ind w:right="151"/>
              <w:spacing w:after="0" w:line="151" w:lineRule="exact"/>
              <w:rPr>
                <w:sz w:val="20"/>
                <w:szCs w:val="20"/>
                <w:color w:val="auto"/>
              </w:rPr>
            </w:pPr>
            <w:r>
              <w:rPr>
                <w:rFonts w:ascii="Arial" w:cs="Arial" w:eastAsia="Arial" w:hAnsi="Arial"/>
                <w:sz w:val="14"/>
                <w:szCs w:val="14"/>
                <w:b w:val="1"/>
                <w:bCs w:val="1"/>
                <w:color w:val="auto"/>
              </w:rPr>
              <w:t>As a % of</w:t>
            </w: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As a % of</w:t>
            </w: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tcPr>
          <w:p>
            <w:pPr>
              <w:jc w:val="center"/>
              <w:ind w:right="180"/>
              <w:spacing w:after="0" w:line="151" w:lineRule="exact"/>
              <w:rPr>
                <w:sz w:val="20"/>
                <w:szCs w:val="20"/>
                <w:color w:val="auto"/>
              </w:rPr>
            </w:pPr>
            <w:r>
              <w:rPr>
                <w:rFonts w:ascii="Arial" w:cs="Arial" w:eastAsia="Arial" w:hAnsi="Arial"/>
                <w:sz w:val="14"/>
                <w:szCs w:val="14"/>
                <w:b w:val="1"/>
                <w:bCs w:val="1"/>
                <w:color w:val="auto"/>
                <w:w w:val="87"/>
              </w:rPr>
              <w:t>2012 Period to</w:t>
            </w:r>
          </w:p>
        </w:tc>
        <w:tc>
          <w:tcPr>
            <w:tcW w:w="380" w:type="dxa"/>
            <w:vAlign w:val="bottom"/>
          </w:tcPr>
          <w:p>
            <w:pPr>
              <w:spacing w:after="0"/>
              <w:rPr>
                <w:sz w:val="13"/>
                <w:szCs w:val="13"/>
                <w:color w:val="auto"/>
              </w:rPr>
            </w:pPr>
          </w:p>
        </w:tc>
      </w:tr>
      <w:tr>
        <w:trPr>
          <w:trHeight w:val="181"/>
        </w:trPr>
        <w:tc>
          <w:tcPr>
            <w:tcW w:w="1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Revenues</w:t>
            </w:r>
          </w:p>
        </w:tc>
        <w:tc>
          <w:tcPr>
            <w:tcW w:w="1000" w:type="dxa"/>
            <w:vAlign w:val="bottom"/>
          </w:tcPr>
          <w:p>
            <w:pPr>
              <w:spacing w:after="0"/>
              <w:rPr>
                <w:sz w:val="20"/>
                <w:szCs w:val="20"/>
                <w:color w:val="auto"/>
              </w:rPr>
            </w:pPr>
            <w:r>
              <w:rPr>
                <w:rFonts w:ascii="Arial" w:cs="Arial" w:eastAsia="Arial" w:hAnsi="Arial"/>
                <w:sz w:val="14"/>
                <w:szCs w:val="14"/>
                <w:b w:val="1"/>
                <w:bCs w:val="1"/>
                <w:color w:val="auto"/>
              </w:rPr>
              <w:t>(1)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Revenues</w:t>
            </w:r>
          </w:p>
        </w:tc>
        <w:tc>
          <w:tcPr>
            <w:tcW w:w="10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2011 Period</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6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5,738,506</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6,691,082</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(14</w:t>
            </w:r>
          </w:p>
        </w:tc>
        <w:tc>
          <w:tcPr>
            <w:tcW w:w="3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75"/>
              </w:rPr>
              <w:t>) %</w:t>
            </w:r>
          </w:p>
        </w:tc>
      </w:tr>
      <w:tr>
        <w:trPr>
          <w:trHeight w:val="166"/>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55"/>
        </w:trPr>
        <w:tc>
          <w:tcPr>
            <w:tcW w:w="1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Cost of</w:t>
            </w: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77"/>
        </w:trPr>
        <w:tc>
          <w:tcPr>
            <w:tcW w:w="1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revenues</w:t>
            </w: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5,683,731</w:t>
            </w: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6,255,437</w:t>
            </w:r>
          </w:p>
        </w:tc>
        <w:tc>
          <w:tcPr>
            <w:tcW w:w="8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(9</w:t>
            </w:r>
          </w:p>
        </w:tc>
        <w:tc>
          <w:tcPr>
            <w:tcW w:w="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w:t>
            </w:r>
          </w:p>
        </w:tc>
      </w:tr>
      <w:tr>
        <w:trPr>
          <w:trHeight w:val="166"/>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55"/>
        </w:trPr>
        <w:tc>
          <w:tcPr>
            <w:tcW w:w="1240" w:type="dxa"/>
            <w:vAlign w:val="bottom"/>
            <w:shd w:val="clear" w:color="auto" w:fill="CCEEFF"/>
          </w:tcPr>
          <w:p>
            <w:pPr>
              <w:ind w:left="500"/>
              <w:spacing w:after="0" w:line="155" w:lineRule="exact"/>
              <w:rPr>
                <w:sz w:val="20"/>
                <w:szCs w:val="20"/>
                <w:color w:val="auto"/>
              </w:rPr>
            </w:pPr>
            <w:r>
              <w:rPr>
                <w:rFonts w:ascii="Arial" w:cs="Arial" w:eastAsia="Arial" w:hAnsi="Arial"/>
                <w:sz w:val="14"/>
                <w:szCs w:val="14"/>
                <w:color w:val="auto"/>
              </w:rPr>
              <w:t>Gross</w:t>
            </w: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77"/>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profit</w:t>
            </w:r>
          </w:p>
        </w:tc>
        <w:tc>
          <w:tcPr>
            <w:tcW w:w="4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54,775</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435,645</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46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(87</w:t>
            </w:r>
          </w:p>
        </w:tc>
        <w:tc>
          <w:tcPr>
            <w:tcW w:w="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r>
      <w:tr>
        <w:trPr>
          <w:trHeight w:val="166"/>
        </w:trPr>
        <w:tc>
          <w:tcPr>
            <w:tcW w:w="124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660" w:type="dxa"/>
            <w:vAlign w:val="bottom"/>
            <w:tcBorders>
              <w:top w:val="single" w:sz="8" w:color="CCEEFF"/>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42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r>
      <w:tr>
        <w:trPr>
          <w:trHeight w:val="155"/>
        </w:trPr>
        <w:tc>
          <w:tcPr>
            <w:tcW w:w="1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w:t>
            </w: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77"/>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66"/>
        </w:trPr>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55"/>
        </w:trPr>
        <w:tc>
          <w:tcPr>
            <w:tcW w:w="1240" w:type="dxa"/>
            <w:vAlign w:val="bottom"/>
            <w:shd w:val="clear" w:color="auto" w:fill="CCEEFF"/>
          </w:tcPr>
          <w:p>
            <w:pPr>
              <w:ind w:left="260"/>
              <w:spacing w:after="0" w:line="155" w:lineRule="exact"/>
              <w:rPr>
                <w:sz w:val="20"/>
                <w:szCs w:val="20"/>
                <w:color w:val="auto"/>
              </w:rPr>
            </w:pPr>
            <w:r>
              <w:rPr>
                <w:rFonts w:ascii="Arial" w:cs="Arial" w:eastAsia="Arial" w:hAnsi="Arial"/>
                <w:sz w:val="14"/>
                <w:szCs w:val="14"/>
                <w:color w:val="auto"/>
              </w:rPr>
              <w:t>Product</w:t>
            </w: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6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development</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7"/>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costs</w:t>
            </w:r>
          </w:p>
        </w:tc>
        <w:tc>
          <w:tcPr>
            <w:tcW w:w="4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8,337,424</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13,319,110</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199</w:t>
            </w:r>
          </w:p>
        </w:tc>
        <w:tc>
          <w:tcPr>
            <w:tcW w:w="46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(37</w:t>
            </w:r>
          </w:p>
        </w:tc>
        <w:tc>
          <w:tcPr>
            <w:tcW w:w="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r>
      <w:tr>
        <w:trPr>
          <w:trHeight w:val="155"/>
        </w:trPr>
        <w:tc>
          <w:tcPr>
            <w:tcW w:w="1240" w:type="dxa"/>
            <w:vAlign w:val="bottom"/>
          </w:tcPr>
          <w:p>
            <w:pPr>
              <w:ind w:left="260"/>
              <w:spacing w:after="0" w:line="155" w:lineRule="exact"/>
              <w:rPr>
                <w:sz w:val="20"/>
                <w:szCs w:val="20"/>
                <w:color w:val="auto"/>
              </w:rPr>
            </w:pPr>
            <w:r>
              <w:rPr>
                <w:rFonts w:ascii="Arial" w:cs="Arial" w:eastAsia="Arial" w:hAnsi="Arial"/>
                <w:sz w:val="14"/>
                <w:szCs w:val="14"/>
                <w:color w:val="auto"/>
              </w:rPr>
              <w:t>Selling,</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general and</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administrative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7"/>
        </w:trPr>
        <w:tc>
          <w:tcPr>
            <w:tcW w:w="1240" w:type="dxa"/>
            <w:vAlign w:val="bottom"/>
          </w:tcPr>
          <w:p>
            <w:pPr>
              <w:spacing w:after="0"/>
              <w:rPr>
                <w:sz w:val="20"/>
                <w:szCs w:val="20"/>
                <w:color w:val="auto"/>
              </w:rPr>
            </w:pPr>
            <w:r>
              <w:rPr>
                <w:rFonts w:ascii="Arial" w:cs="Arial" w:eastAsia="Arial" w:hAnsi="Arial"/>
                <w:sz w:val="14"/>
                <w:szCs w:val="14"/>
                <w:color w:val="auto"/>
              </w:rPr>
              <w:t>costs</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8,274,096</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8,399,325</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126</w:t>
            </w:r>
          </w:p>
        </w:tc>
        <w:tc>
          <w:tcPr>
            <w:tcW w:w="460" w:type="dxa"/>
            <w:vAlign w:val="bottom"/>
          </w:tcPr>
          <w:p>
            <w:pPr>
              <w:spacing w:after="0"/>
              <w:rPr>
                <w:sz w:val="15"/>
                <w:szCs w:val="15"/>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(1</w:t>
            </w:r>
          </w:p>
        </w:tc>
        <w:tc>
          <w:tcPr>
            <w:tcW w:w="380" w:type="dxa"/>
            <w:vAlign w:val="bottom"/>
          </w:tcPr>
          <w:p>
            <w:pPr>
              <w:ind w:left="200"/>
              <w:spacing w:after="0"/>
              <w:rPr>
                <w:sz w:val="20"/>
                <w:szCs w:val="20"/>
                <w:color w:val="auto"/>
              </w:rPr>
            </w:pPr>
            <w:r>
              <w:rPr>
                <w:rFonts w:ascii="Arial" w:cs="Arial" w:eastAsia="Arial" w:hAnsi="Arial"/>
                <w:sz w:val="14"/>
                <w:szCs w:val="14"/>
                <w:color w:val="auto"/>
              </w:rPr>
              <w:t>)</w:t>
            </w:r>
          </w:p>
        </w:tc>
      </w:tr>
      <w:tr>
        <w:trPr>
          <w:trHeight w:val="166"/>
        </w:trPr>
        <w:tc>
          <w:tcPr>
            <w:tcW w:w="124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55"/>
        </w:trPr>
        <w:tc>
          <w:tcPr>
            <w:tcW w:w="1240" w:type="dxa"/>
            <w:vAlign w:val="bottom"/>
          </w:tcPr>
          <w:p>
            <w:pPr>
              <w:ind w:left="500"/>
              <w:spacing w:after="0" w:line="155" w:lineRule="exact"/>
              <w:rPr>
                <w:sz w:val="20"/>
                <w:szCs w:val="20"/>
                <w:color w:val="auto"/>
              </w:rPr>
            </w:pPr>
            <w:r>
              <w:rPr>
                <w:rFonts w:ascii="Arial" w:cs="Arial" w:eastAsia="Arial" w:hAnsi="Arial"/>
                <w:sz w:val="14"/>
                <w:szCs w:val="14"/>
                <w:color w:val="auto"/>
              </w:rPr>
              <w:t>Total</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operating</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7"/>
        </w:trPr>
        <w:tc>
          <w:tcPr>
            <w:tcW w:w="1240" w:type="dxa"/>
            <w:vAlign w:val="bottom"/>
          </w:tcPr>
          <w:p>
            <w:pPr>
              <w:spacing w:after="0"/>
              <w:rPr>
                <w:sz w:val="20"/>
                <w:szCs w:val="20"/>
                <w:color w:val="auto"/>
              </w:rPr>
            </w:pPr>
            <w:r>
              <w:rPr>
                <w:rFonts w:ascii="Arial" w:cs="Arial" w:eastAsia="Arial" w:hAnsi="Arial"/>
                <w:sz w:val="14"/>
                <w:szCs w:val="14"/>
                <w:color w:val="auto"/>
              </w:rPr>
              <w:t>expenses</w:t>
            </w:r>
          </w:p>
        </w:tc>
        <w:tc>
          <w:tcPr>
            <w:tcW w:w="4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16,611,520</w:t>
            </w: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289</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21,718,435</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325</w:t>
            </w:r>
          </w:p>
        </w:tc>
        <w:tc>
          <w:tcPr>
            <w:tcW w:w="460" w:type="dxa"/>
            <w:vAlign w:val="bottom"/>
          </w:tcPr>
          <w:p>
            <w:pPr>
              <w:spacing w:after="0"/>
              <w:rPr>
                <w:sz w:val="15"/>
                <w:szCs w:val="15"/>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(24</w:t>
            </w:r>
          </w:p>
        </w:tc>
        <w:tc>
          <w:tcPr>
            <w:tcW w:w="380" w:type="dxa"/>
            <w:vAlign w:val="bottom"/>
          </w:tcPr>
          <w:p>
            <w:pPr>
              <w:ind w:left="200"/>
              <w:spacing w:after="0"/>
              <w:rPr>
                <w:sz w:val="20"/>
                <w:szCs w:val="20"/>
                <w:color w:val="auto"/>
              </w:rPr>
            </w:pPr>
            <w:r>
              <w:rPr>
                <w:rFonts w:ascii="Arial" w:cs="Arial" w:eastAsia="Arial" w:hAnsi="Arial"/>
                <w:sz w:val="14"/>
                <w:szCs w:val="14"/>
                <w:color w:val="auto"/>
              </w:rPr>
              <w:t>)</w:t>
            </w:r>
          </w:p>
        </w:tc>
      </w:tr>
      <w:tr>
        <w:trPr>
          <w:trHeight w:val="166"/>
        </w:trPr>
        <w:tc>
          <w:tcPr>
            <w:tcW w:w="124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Operating loss</w:t>
            </w:r>
          </w:p>
        </w:tc>
        <w:tc>
          <w:tcPr>
            <w:tcW w:w="4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(16,556,745</w:t>
            </w:r>
          </w:p>
        </w:tc>
        <w:tc>
          <w:tcPr>
            <w:tcW w:w="6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(289</w:t>
            </w:r>
          </w:p>
        </w:tc>
        <w:tc>
          <w:tcPr>
            <w:tcW w:w="1000" w:type="dxa"/>
            <w:vAlign w:val="bottom"/>
          </w:tcPr>
          <w:p>
            <w:pPr>
              <w:ind w:left="3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(21,282,790</w:t>
            </w:r>
          </w:p>
        </w:tc>
        <w:tc>
          <w:tcPr>
            <w:tcW w:w="80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(318</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4"/>
                <w:szCs w:val="14"/>
                <w:color w:val="auto"/>
              </w:rPr>
            </w:pPr>
          </w:p>
        </w:tc>
      </w:tr>
      <w:tr>
        <w:trPr>
          <w:trHeight w:val="166"/>
        </w:trPr>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6"/>
        </w:trPr>
        <w:tc>
          <w:tcPr>
            <w:tcW w:w="1240" w:type="dxa"/>
            <w:vAlign w:val="bottom"/>
          </w:tcPr>
          <w:p>
            <w:pPr>
              <w:spacing w:after="0"/>
              <w:rPr>
                <w:sz w:val="20"/>
                <w:szCs w:val="20"/>
                <w:color w:val="auto"/>
              </w:rPr>
            </w:pPr>
            <w:r>
              <w:rPr>
                <w:rFonts w:ascii="Arial" w:cs="Arial" w:eastAsia="Arial" w:hAnsi="Arial"/>
                <w:sz w:val="14"/>
                <w:szCs w:val="14"/>
                <w:color w:val="auto"/>
              </w:rPr>
              <w:t>income, net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418,052</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689,276</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(39</w:t>
            </w:r>
          </w:p>
        </w:tc>
        <w:tc>
          <w:tcPr>
            <w:tcW w:w="380" w:type="dxa"/>
            <w:vAlign w:val="bottom"/>
          </w:tcPr>
          <w:p>
            <w:pPr>
              <w:ind w:left="200"/>
              <w:spacing w:after="0"/>
              <w:rPr>
                <w:sz w:val="20"/>
                <w:szCs w:val="20"/>
                <w:color w:val="auto"/>
              </w:rPr>
            </w:pPr>
            <w:r>
              <w:rPr>
                <w:rFonts w:ascii="Arial" w:cs="Arial" w:eastAsia="Arial" w:hAnsi="Arial"/>
                <w:sz w:val="14"/>
                <w:szCs w:val="14"/>
                <w:color w:val="auto"/>
              </w:rPr>
              <w:t>)</w:t>
            </w:r>
          </w:p>
        </w:tc>
      </w:tr>
      <w:tr>
        <w:trPr>
          <w:trHeight w:val="167"/>
        </w:trPr>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7"/>
        </w:trPr>
        <w:tc>
          <w:tcPr>
            <w:tcW w:w="1240" w:type="dxa"/>
            <w:vAlign w:val="bottom"/>
          </w:tcPr>
          <w:p>
            <w:pPr>
              <w:spacing w:after="0"/>
              <w:rPr>
                <w:sz w:val="20"/>
                <w:szCs w:val="20"/>
                <w:color w:val="auto"/>
              </w:rPr>
            </w:pPr>
            <w:r>
              <w:rPr>
                <w:rFonts w:ascii="Arial" w:cs="Arial" w:eastAsia="Arial" w:hAnsi="Arial"/>
                <w:sz w:val="14"/>
                <w:szCs w:val="14"/>
                <w:color w:val="auto"/>
              </w:rPr>
              <w:t>exchange loss</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(104,739</w:t>
            </w:r>
          </w:p>
        </w:tc>
        <w:tc>
          <w:tcPr>
            <w:tcW w:w="180" w:type="dxa"/>
            <w:vAlign w:val="bottom"/>
          </w:tcPr>
          <w:p>
            <w:pPr>
              <w:spacing w:after="0"/>
              <w:rPr>
                <w:sz w:val="15"/>
                <w:szCs w:val="15"/>
                <w:color w:val="auto"/>
              </w:rPr>
            </w:pPr>
          </w:p>
        </w:tc>
        <w:tc>
          <w:tcPr>
            <w:tcW w:w="6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1000" w:type="dxa"/>
            <w:vAlign w:val="bottom"/>
          </w:tcPr>
          <w:p>
            <w:pPr>
              <w:ind w:left="3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(229,415</w:t>
            </w:r>
          </w:p>
        </w:tc>
        <w:tc>
          <w:tcPr>
            <w:tcW w:w="80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54</w:t>
            </w:r>
          </w:p>
        </w:tc>
        <w:tc>
          <w:tcPr>
            <w:tcW w:w="380" w:type="dxa"/>
            <w:vAlign w:val="bottom"/>
          </w:tcPr>
          <w:p>
            <w:pPr>
              <w:spacing w:after="0"/>
              <w:rPr>
                <w:sz w:val="15"/>
                <w:szCs w:val="15"/>
                <w:color w:val="auto"/>
              </w:rPr>
            </w:pPr>
          </w:p>
        </w:tc>
      </w:tr>
      <w:tr>
        <w:trPr>
          <w:trHeight w:val="166"/>
        </w:trPr>
        <w:tc>
          <w:tcPr>
            <w:tcW w:w="124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Loss before</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6"/>
        </w:trPr>
        <w:tc>
          <w:tcPr>
            <w:tcW w:w="1240" w:type="dxa"/>
            <w:vAlign w:val="bottom"/>
          </w:tcPr>
          <w:p>
            <w:pPr>
              <w:spacing w:after="0"/>
              <w:rPr>
                <w:sz w:val="20"/>
                <w:szCs w:val="20"/>
                <w:color w:val="auto"/>
              </w:rPr>
            </w:pPr>
            <w:r>
              <w:rPr>
                <w:rFonts w:ascii="Arial" w:cs="Arial" w:eastAsia="Arial" w:hAnsi="Arial"/>
                <w:sz w:val="14"/>
                <w:szCs w:val="14"/>
                <w:color w:val="auto"/>
              </w:rPr>
              <w:t>income taxes</w:t>
            </w:r>
          </w:p>
        </w:tc>
        <w:tc>
          <w:tcPr>
            <w:tcW w:w="4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(16,243,432</w:t>
            </w:r>
          </w:p>
        </w:tc>
        <w:tc>
          <w:tcPr>
            <w:tcW w:w="6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(283</w:t>
            </w:r>
          </w:p>
        </w:tc>
        <w:tc>
          <w:tcPr>
            <w:tcW w:w="1000" w:type="dxa"/>
            <w:vAlign w:val="bottom"/>
          </w:tcPr>
          <w:p>
            <w:pPr>
              <w:ind w:left="3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(20,822,929</w:t>
            </w:r>
          </w:p>
        </w:tc>
        <w:tc>
          <w:tcPr>
            <w:tcW w:w="80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(311</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22</w:t>
            </w:r>
          </w:p>
        </w:tc>
        <w:tc>
          <w:tcPr>
            <w:tcW w:w="380" w:type="dxa"/>
            <w:vAlign w:val="bottom"/>
          </w:tcPr>
          <w:p>
            <w:pPr>
              <w:spacing w:after="0"/>
              <w:rPr>
                <w:sz w:val="15"/>
                <w:szCs w:val="15"/>
                <w:color w:val="auto"/>
              </w:rPr>
            </w:pPr>
          </w:p>
        </w:tc>
      </w:tr>
      <w:tr>
        <w:trPr>
          <w:trHeight w:val="167"/>
        </w:trPr>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55"/>
        </w:trPr>
        <w:tc>
          <w:tcPr>
            <w:tcW w:w="1240" w:type="dxa"/>
            <w:vAlign w:val="bottom"/>
          </w:tcPr>
          <w:p>
            <w:pPr>
              <w:spacing w:after="0" w:line="155" w:lineRule="exact"/>
              <w:rPr>
                <w:sz w:val="20"/>
                <w:szCs w:val="20"/>
                <w:color w:val="auto"/>
              </w:rPr>
            </w:pPr>
            <w:r>
              <w:rPr>
                <w:rFonts w:ascii="Arial" w:cs="Arial" w:eastAsia="Arial" w:hAnsi="Arial"/>
                <w:sz w:val="14"/>
                <w:szCs w:val="14"/>
                <w:color w:val="auto"/>
              </w:rPr>
              <w:t>Income tax</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77"/>
        </w:trPr>
        <w:tc>
          <w:tcPr>
            <w:tcW w:w="1240" w:type="dxa"/>
            <w:vAlign w:val="bottom"/>
          </w:tcPr>
          <w:p>
            <w:pPr>
              <w:spacing w:after="0"/>
              <w:rPr>
                <w:sz w:val="20"/>
                <w:szCs w:val="20"/>
                <w:color w:val="auto"/>
              </w:rPr>
            </w:pPr>
            <w:r>
              <w:rPr>
                <w:rFonts w:ascii="Arial" w:cs="Arial" w:eastAsia="Arial" w:hAnsi="Arial"/>
                <w:sz w:val="14"/>
                <w:szCs w:val="14"/>
                <w:color w:val="auto"/>
              </w:rPr>
              <w:t>benefit</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1,053,427</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364,105</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5"/>
                <w:szCs w:val="15"/>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189</w:t>
            </w:r>
          </w:p>
        </w:tc>
        <w:tc>
          <w:tcPr>
            <w:tcW w:w="380" w:type="dxa"/>
            <w:vAlign w:val="bottom"/>
          </w:tcPr>
          <w:p>
            <w:pPr>
              <w:spacing w:after="0"/>
              <w:rPr>
                <w:sz w:val="15"/>
                <w:szCs w:val="15"/>
                <w:color w:val="auto"/>
              </w:rPr>
            </w:pPr>
          </w:p>
        </w:tc>
      </w:tr>
      <w:tr>
        <w:trPr>
          <w:trHeight w:val="166"/>
        </w:trPr>
        <w:tc>
          <w:tcPr>
            <w:tcW w:w="124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Net loss</w:t>
            </w:r>
          </w:p>
        </w:tc>
        <w:tc>
          <w:tcPr>
            <w:tcW w:w="4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(15,190,005</w:t>
            </w:r>
          </w:p>
        </w:tc>
        <w:tc>
          <w:tcPr>
            <w:tcW w:w="6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(265</w:t>
            </w:r>
          </w:p>
        </w:tc>
        <w:tc>
          <w:tcPr>
            <w:tcW w:w="1000" w:type="dxa"/>
            <w:vAlign w:val="bottom"/>
          </w:tcPr>
          <w:p>
            <w:pPr>
              <w:ind w:left="3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(20,458,824</w:t>
            </w:r>
          </w:p>
        </w:tc>
        <w:tc>
          <w:tcPr>
            <w:tcW w:w="80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(306</w:t>
            </w:r>
          </w:p>
        </w:tc>
        <w:tc>
          <w:tcPr>
            <w:tcW w:w="460" w:type="dxa"/>
            <w:vAlign w:val="bottom"/>
          </w:tcPr>
          <w:p>
            <w:pPr>
              <w:ind w:left="26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26</w:t>
            </w:r>
          </w:p>
        </w:tc>
        <w:tc>
          <w:tcPr>
            <w:tcW w:w="380" w:type="dxa"/>
            <w:vAlign w:val="bottom"/>
          </w:tcPr>
          <w:p>
            <w:pPr>
              <w:spacing w:after="0"/>
              <w:rPr>
                <w:sz w:val="14"/>
                <w:szCs w:val="14"/>
                <w:color w:val="auto"/>
              </w:rPr>
            </w:pPr>
          </w:p>
        </w:tc>
      </w:tr>
      <w:tr>
        <w:trPr>
          <w:trHeight w:val="166"/>
        </w:trPr>
        <w:tc>
          <w:tcPr>
            <w:tcW w:w="12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55"/>
        </w:trPr>
        <w:tc>
          <w:tcPr>
            <w:tcW w:w="1240" w:type="dxa"/>
            <w:vAlign w:val="bottom"/>
          </w:tcPr>
          <w:p>
            <w:pPr>
              <w:ind w:left="260"/>
              <w:spacing w:after="0" w:line="155" w:lineRule="exact"/>
              <w:rPr>
                <w:sz w:val="20"/>
                <w:szCs w:val="20"/>
                <w:color w:val="auto"/>
              </w:rPr>
            </w:pPr>
            <w:r>
              <w:rPr>
                <w:rFonts w:ascii="Arial" w:cs="Arial" w:eastAsia="Arial" w:hAnsi="Arial"/>
                <w:sz w:val="14"/>
                <w:szCs w:val="14"/>
                <w:color w:val="auto"/>
              </w:rPr>
              <w:t>Less: Net</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loss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attributable to</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the</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noncontrolling</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interest in</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Ocean Power</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Technologies</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40" w:type="dxa"/>
            <w:vAlign w:val="bottom"/>
          </w:tcPr>
          <w:p>
            <w:pPr>
              <w:spacing w:after="0"/>
              <w:rPr>
                <w:sz w:val="20"/>
                <w:szCs w:val="20"/>
                <w:color w:val="auto"/>
              </w:rPr>
            </w:pPr>
            <w:r>
              <w:rPr>
                <w:rFonts w:ascii="Arial" w:cs="Arial" w:eastAsia="Arial" w:hAnsi="Arial"/>
                <w:sz w:val="14"/>
                <w:szCs w:val="14"/>
                <w:color w:val="auto"/>
              </w:rPr>
              <w:t>(Australasia)</w:t>
            </w: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7"/>
        </w:trPr>
        <w:tc>
          <w:tcPr>
            <w:tcW w:w="1240" w:type="dxa"/>
            <w:vAlign w:val="bottom"/>
          </w:tcPr>
          <w:p>
            <w:pPr>
              <w:spacing w:after="0"/>
              <w:rPr>
                <w:sz w:val="20"/>
                <w:szCs w:val="20"/>
                <w:color w:val="auto"/>
              </w:rPr>
            </w:pPr>
            <w:r>
              <w:rPr>
                <w:rFonts w:ascii="Arial" w:cs="Arial" w:eastAsia="Arial" w:hAnsi="Arial"/>
                <w:sz w:val="14"/>
                <w:szCs w:val="14"/>
                <w:color w:val="auto"/>
              </w:rPr>
              <w:t>Pty Ltd</w:t>
            </w:r>
          </w:p>
        </w:tc>
        <w:tc>
          <w:tcPr>
            <w:tcW w:w="4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49,503</w:t>
            </w: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22,950</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1600" w:type="dxa"/>
            <w:vAlign w:val="bottom"/>
            <w:gridSpan w:val="3"/>
          </w:tcPr>
          <w:p>
            <w:pPr>
              <w:jc w:val="right"/>
              <w:ind w:right="180"/>
              <w:spacing w:after="0"/>
              <w:rPr>
                <w:sz w:val="20"/>
                <w:szCs w:val="20"/>
                <w:color w:val="auto"/>
              </w:rPr>
            </w:pPr>
            <w:r>
              <w:rPr>
                <w:rFonts w:ascii="Arial" w:cs="Arial" w:eastAsia="Arial" w:hAnsi="Arial"/>
                <w:sz w:val="14"/>
                <w:szCs w:val="14"/>
                <w:color w:val="auto"/>
              </w:rPr>
              <w:t>116</w:t>
            </w:r>
          </w:p>
        </w:tc>
        <w:tc>
          <w:tcPr>
            <w:tcW w:w="380" w:type="dxa"/>
            <w:vAlign w:val="bottom"/>
          </w:tcPr>
          <w:p>
            <w:pPr>
              <w:spacing w:after="0"/>
              <w:rPr>
                <w:sz w:val="15"/>
                <w:szCs w:val="15"/>
                <w:color w:val="auto"/>
              </w:rPr>
            </w:pPr>
          </w:p>
        </w:tc>
      </w:tr>
      <w:tr>
        <w:trPr>
          <w:trHeight w:val="155"/>
        </w:trPr>
        <w:tc>
          <w:tcPr>
            <w:tcW w:w="12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loss</w:t>
            </w:r>
          </w:p>
        </w:tc>
        <w:tc>
          <w:tcPr>
            <w:tcW w:w="4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attributable to</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Ocean Power</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Technologies,</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96"/>
        </w:trPr>
        <w:tc>
          <w:tcPr>
            <w:tcW w:w="124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(15,140,502</w:t>
            </w:r>
          </w:p>
        </w:tc>
        <w:tc>
          <w:tcPr>
            <w:tcW w:w="66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(20,435,874</w:t>
            </w:r>
          </w:p>
        </w:tc>
        <w:tc>
          <w:tcPr>
            <w:tcW w:w="8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(305</w:t>
            </w:r>
          </w:p>
        </w:tc>
        <w:tc>
          <w:tcPr>
            <w:tcW w:w="46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 %</w:t>
            </w:r>
          </w:p>
        </w:tc>
        <w:tc>
          <w:tcPr>
            <w:tcW w:w="16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26</w:t>
            </w:r>
          </w:p>
        </w:tc>
        <w:tc>
          <w:tcPr>
            <w:tcW w:w="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t>
            </w: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subtotals may not add due to rounding.</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Revenues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Revenues decreased by $1.0 million in fiscal 2012, or 14%, to $5.7 million as compared to $6.7 million in fiscal 2011. The change in revenues was attributable primarily to the following factors:</w:t>
      </w:r>
    </w:p>
    <w:p>
      <w:pPr>
        <w:spacing w:after="0" w:line="224" w:lineRule="exact"/>
        <w:rPr>
          <w:sz w:val="20"/>
          <w:szCs w:val="20"/>
          <w:color w:val="auto"/>
        </w:rPr>
      </w:pPr>
    </w:p>
    <w:p>
      <w:pPr>
        <w:jc w:val="both"/>
        <w:ind w:left="720" w:right="80" w:hanging="240"/>
        <w:spacing w:after="0" w:line="254"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Revenues relating to our utility PowerBuoy system increased by $0.7 million due primarily to an increase in billable work on our PB500 PowerBuoy development project and our WavePort project off the coast of Spain. This was partially offset by a decrease in revenue related to our 150kW PowerBuoy project off the coast of Oregon, reflecting a decrease in billable work on the project, which was in a land-based cycle testing phase for a significant portion of fiscal 2012. Additionally, during fiscal 2011, revenue was reduced by $0.2 million due to a change in estimate of revenue to be recognized in connection with our 2006 Spain Construction Agreement.</w:t>
      </w:r>
    </w:p>
    <w:p>
      <w:pPr>
        <w:spacing w:after="0" w:line="148" w:lineRule="exact"/>
        <w:rPr>
          <w:rFonts w:ascii="Arial" w:cs="Arial" w:eastAsia="Arial" w:hAnsi="Arial"/>
          <w:sz w:val="14"/>
          <w:szCs w:val="14"/>
          <w:color w:val="auto"/>
        </w:rPr>
      </w:pPr>
    </w:p>
    <w:p>
      <w:pPr>
        <w:ind w:left="720" w:right="80" w:hanging="240"/>
        <w:spacing w:after="0" w:line="268" w:lineRule="auto"/>
        <w:tabs>
          <w:tab w:leader="none" w:pos="7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Revenues relating to our autonomous PowerBuoy system decreased by $1.7 million as a result of a decrease in billable work on our projects to provide our PowerBuoy technology to the LEAP program and DWADS. The LEAP program has been completed and the DWADS project is nearing completion.</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Cost of revenues</w:t>
      </w:r>
    </w:p>
    <w:p>
      <w:pPr>
        <w:spacing w:after="0" w:line="212" w:lineRule="exact"/>
        <w:rPr>
          <w:sz w:val="20"/>
          <w:szCs w:val="20"/>
          <w:color w:val="auto"/>
        </w:rPr>
      </w:pPr>
    </w:p>
    <w:p>
      <w:pPr>
        <w:jc w:val="both"/>
        <w:ind w:right="80" w:firstLine="373"/>
        <w:spacing w:after="0" w:line="258" w:lineRule="auto"/>
        <w:rPr>
          <w:sz w:val="20"/>
          <w:szCs w:val="20"/>
          <w:color w:val="auto"/>
        </w:rPr>
      </w:pPr>
      <w:r>
        <w:rPr>
          <w:rFonts w:ascii="Arial" w:cs="Arial" w:eastAsia="Arial" w:hAnsi="Arial"/>
          <w:sz w:val="14"/>
          <w:szCs w:val="14"/>
          <w:color w:val="auto"/>
        </w:rPr>
        <w:t>Cost of revenues decreased by $0.6 million, or 9%, to $5.7 million in fiscal 2012, as compared to $6.3 million in fiscal 2011. This decrease in the cost of revenues reflected the decreased activity related to our 150kW PowerBuoy project off the coast of Oregon as well as our DWADS, LEAP, and Hawaii projects with the US Navy. This was partially offset by the increased activity on our PB500 PowerBuoy development project and WavePort project off the coast of Spain.</w:t>
      </w: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540"/>
          </w:cols>
          <w:pgMar w:left="220" w:top="467" w:right="139" w:bottom="331" w:gutter="0" w:footer="0" w:header="0"/>
        </w:sectPr>
      </w:pPr>
    </w:p>
    <w:bookmarkStart w:id="37" w:name="page38"/>
    <w:bookmarkEnd w:id="37"/>
    <w:p>
      <w:pPr>
        <w:jc w:val="both"/>
        <w:ind w:firstLine="373"/>
        <w:spacing w:after="0" w:line="273" w:lineRule="auto"/>
        <w:rPr>
          <w:sz w:val="20"/>
          <w:szCs w:val="20"/>
          <w:color w:val="auto"/>
        </w:rPr>
      </w:pPr>
      <w:r>
        <w:rPr>
          <w:rFonts w:ascii="Arial" w:cs="Arial" w:eastAsia="Arial" w:hAnsi="Arial"/>
          <w:sz w:val="13"/>
          <w:szCs w:val="13"/>
          <w:color w:val="auto"/>
        </w:rPr>
        <w:t>We operated at a gross profit of $0.1 million in fiscal 2012 and a gross profit of $0.4 million in fiscal 2011. Most of our projects in fiscal 2012 and 2011 were under cost-sharing contracts. Under cost-sharing contracts, we receive a fixed amount agreed upon with the customer that is only intended to fund a portion of the costs on a specific project. We fund the remainder of the costs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 During fiscal 2011, revenue was reduced by $0.2 million due to a change in estimate of revenue to be recognized in connection with our 2006 Spain Construction Agreement. There was no corresponding reduction in cost of revenue. This resulted in a $0.2 million gross loss being recognized on the 2006 Spain Project during fiscal 2011.</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Product development costs</w:t>
      </w:r>
    </w:p>
    <w:p>
      <w:pPr>
        <w:spacing w:after="0" w:line="212" w:lineRule="exact"/>
        <w:rPr>
          <w:sz w:val="20"/>
          <w:szCs w:val="20"/>
          <w:color w:val="auto"/>
        </w:rPr>
      </w:pPr>
    </w:p>
    <w:p>
      <w:pPr>
        <w:jc w:val="both"/>
        <w:ind w:firstLine="373"/>
        <w:spacing w:after="0" w:line="273" w:lineRule="auto"/>
        <w:rPr>
          <w:sz w:val="20"/>
          <w:szCs w:val="20"/>
          <w:color w:val="auto"/>
        </w:rPr>
      </w:pPr>
      <w:r>
        <w:rPr>
          <w:rFonts w:ascii="Arial" w:cs="Arial" w:eastAsia="Arial" w:hAnsi="Arial"/>
          <w:sz w:val="13"/>
          <w:szCs w:val="13"/>
          <w:color w:val="auto"/>
        </w:rPr>
        <w:t>Product development costs decreased by $5.0 million, or 37%, to $8.3 million in fiscal 2012, as compared to $13.3 million in fiscal 2011. Product development costs were attributable primarily to our efforts to increase the power output and reliability of our utility PowerBuoy system, especially the 150kW PowerBuoy system. The decrease in product development costs is related primarily to decreases in activity related to our 150kW PowerBuoy project off the coast of Scotland, as this was completed in fiscal 2012, and our Hawaii project with the US Navy, as this project neared completion during fiscal 2012. There was also a decrease in activity related to our 150kW PowerBuoy project off the coast of Oregon, which was in a land-based cycle testing phase for significant portion of fiscal 2012. Over the next several years, it is our intent to fund the majority of our research and development expenses, including cost-sharing arrangements, with sources of external funding. If we are unable to obtain external funding, we may reduce our research and development expenses or we may decide to self-fund significant research and development expenses, in which case our product development costs may increase. During fiscal 2012, the majority of funding for our PB500 PowerBuoy development project was from external sources.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Selling, general and administrative costs</w:t>
      </w:r>
    </w:p>
    <w:p>
      <w:pPr>
        <w:spacing w:after="0" w:line="212" w:lineRule="exact"/>
        <w:rPr>
          <w:sz w:val="20"/>
          <w:szCs w:val="20"/>
          <w:color w:val="auto"/>
        </w:rPr>
      </w:pPr>
    </w:p>
    <w:p>
      <w:pPr>
        <w:jc w:val="both"/>
        <w:ind w:firstLine="476"/>
        <w:spacing w:after="0" w:line="254" w:lineRule="auto"/>
        <w:rPr>
          <w:sz w:val="20"/>
          <w:szCs w:val="20"/>
          <w:color w:val="auto"/>
        </w:rPr>
      </w:pPr>
      <w:r>
        <w:rPr>
          <w:rFonts w:ascii="Arial" w:cs="Arial" w:eastAsia="Arial" w:hAnsi="Arial"/>
          <w:sz w:val="14"/>
          <w:szCs w:val="14"/>
          <w:color w:val="auto"/>
        </w:rPr>
        <w:t>Selling, general and administrative costs were $8.3 million for fiscal 2012 and $8.4 million for fiscal 2011. Fiscal 2012 selling, general and administrative costs were reduced as a result of approximately $0.3 million in funding that we received related to our 150kW PowerBuoy project off the coast of Oregon and our WavePort project off the coast of Spain, which reimbursed part of these costs. Equity-based compensation also decreased in fiscal 2012. The decreases in selling, general and administrative costs were partially offset by an increase in costs resulting from an approximately $0.6 million allowance for a doubtful accounts receivable and impairment of an investment related to our 2006 Spain Construction Agreement.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Interest income</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Interest income decreased by $0.3 million, or 39%, to $0.4 million in fiscal 2012, compared to $0.7 million in fiscal 2011, due to a decrease in cash, cash equivalents and marketable securities and a decrease in interest rates. The average interest yield was approximately 1.03% during fiscal 2012 and approximately 1.20% during fiscal 2011.</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Foreign exchange loss</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Foreign exchange loss was $0.1 million in fiscal 2012, compared to a foreign exchange loss of $0.2 million in fiscal 2011. The difference was attributable primarily to the relative change in value of the British pound sterling, Euro and Australian dollar compared to the US dollar during the two periods.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Income tax benefit</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During the years ended April 30, 2012 and 2011, we sold New Jersey state net operating losses in the amount of $12.9 million and $4.4 million, respectively, resulting in the recognition of income tax benefits of $1.1 million and $0.4, respectively, recorded in our Statement of Operations.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Since our inception, the cash flows from customer revenues have not been sufficient to fund our operations and provide the capital resources for the planned growth of our business. For the two years ended April 30, 2012, our revenues were $12.4 million, our net losses were $35.6 million and our net cash used in operating activities was $32.7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Years Ended April 30,</w:t>
            </w:r>
          </w:p>
        </w:tc>
      </w:tr>
      <w:tr>
        <w:trPr>
          <w:trHeight w:val="167"/>
        </w:trPr>
        <w:tc>
          <w:tcPr>
            <w:tcW w:w="65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66"/>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(15,190,005)</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(20,458,824)</w:t>
            </w:r>
          </w:p>
        </w:tc>
      </w:tr>
      <w:tr>
        <w:trPr>
          <w:trHeight w:val="166"/>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 for noncash operating items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2,338,085</w:t>
            </w:r>
          </w:p>
        </w:tc>
        <w:tc>
          <w:tcPr>
            <w:tcW w:w="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2,112,952</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6"/>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Net cash operating loss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(12,851,920)</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(18,345,872)</w:t>
            </w:r>
          </w:p>
        </w:tc>
      </w:tr>
      <w:tr>
        <w:trPr>
          <w:trHeight w:val="166"/>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Net change in operating assets and liabilities</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(1,062,923)</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(424,230)</w:t>
            </w:r>
          </w:p>
        </w:tc>
      </w:tr>
      <w:tr>
        <w:trPr>
          <w:trHeight w:val="166"/>
        </w:trPr>
        <w:tc>
          <w:tcPr>
            <w:tcW w:w="652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6"/>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(13,914,843)</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(18,770,102)</w:t>
            </w:r>
          </w:p>
        </w:tc>
      </w:tr>
      <w:tr>
        <w:trPr>
          <w:trHeight w:val="147"/>
        </w:trPr>
        <w:tc>
          <w:tcPr>
            <w:tcW w:w="65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6"/>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investing activities</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19,311,329</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18,431,358</w:t>
            </w:r>
          </w:p>
        </w:tc>
      </w:tr>
      <w:tr>
        <w:trPr>
          <w:trHeight w:val="147"/>
        </w:trPr>
        <w:tc>
          <w:tcPr>
            <w:tcW w:w="65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6"/>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(199,032)</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207,701</w:t>
            </w:r>
          </w:p>
        </w:tc>
        <w:tc>
          <w:tcPr>
            <w:tcW w:w="100" w:type="dxa"/>
            <w:vAlign w:val="bottom"/>
            <w:shd w:val="clear" w:color="auto" w:fill="CCEEFF"/>
          </w:tcPr>
          <w:p>
            <w:pPr>
              <w:spacing w:after="0"/>
              <w:rPr>
                <w:sz w:val="17"/>
                <w:szCs w:val="17"/>
                <w:color w:val="auto"/>
              </w:rPr>
            </w:pPr>
          </w:p>
        </w:tc>
      </w:tr>
      <w:tr>
        <w:trPr>
          <w:trHeight w:val="147"/>
        </w:trPr>
        <w:tc>
          <w:tcPr>
            <w:tcW w:w="65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86"/>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rates on cash and cash equivalents</w:t>
            </w:r>
          </w:p>
        </w:tc>
        <w:tc>
          <w:tcPr>
            <w:tcW w:w="260" w:type="dxa"/>
            <w:vAlign w:val="bottom"/>
            <w:shd w:val="clear" w:color="auto" w:fill="CCEEFF"/>
          </w:tcPr>
          <w:p>
            <w:pPr>
              <w:jc w:val="right"/>
              <w:ind w:right="148"/>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(220,130)</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270,582</w:t>
            </w:r>
          </w:p>
        </w:tc>
        <w:tc>
          <w:tcPr>
            <w:tcW w:w="100" w:type="dxa"/>
            <w:vAlign w:val="bottom"/>
            <w:shd w:val="clear" w:color="auto" w:fill="CCEEFF"/>
          </w:tcPr>
          <w:p>
            <w:pPr>
              <w:spacing w:after="0"/>
              <w:rPr>
                <w:sz w:val="16"/>
                <w:szCs w:val="16"/>
                <w:color w:val="auto"/>
              </w:rPr>
            </w:pPr>
          </w:p>
        </w:tc>
      </w:tr>
      <w:tr>
        <w:trPr>
          <w:trHeight w:val="20"/>
        </w:trPr>
        <w:tc>
          <w:tcPr>
            <w:tcW w:w="6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used in operating activities</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Net cash used in operating activities was $13.9 million for fiscal 2012 and $18.8 million for fiscal 2011. The change was the result of a decrease in net loss of $5.3 million and an increase in non-cash operating items of $0.2 million partially offset by an increase in cash used by operating assets and liabilities of $0.7 million.</w:t>
      </w:r>
    </w:p>
    <w:p>
      <w:pPr>
        <w:spacing w:after="0" w:line="180"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The increase in cash used by operating assets and liabilities was primarily the result of an increase in cash used by accrued expenses of $1.4 million and a decrease in cash provided by other assets of $0.9 million, offset by an increase in cash provided by unearned revenues of $1.5 million. The change in accrued expenses reflects a decrease in accruals related to our 150kW PowerBuoy project off the coast of Scotland, which was completed during fiscal 2012, and our 150kW PowerBuoy project off the coast of Oregon. The change in other assets reflects collection of value added tax from Spanish authorities in fiscal 2011. The change in unearned revenue includes $0.9 million related to advance payments for our WavePort project off the coast of Spain.</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Included in the net loss amounts are the cash receipts related to income tax benefits of $1.1 million and $0.4 million for fiscal 2012 and 2011, respectively.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provided by investing activities</w:t>
      </w:r>
    </w:p>
    <w:p>
      <w:pPr>
        <w:spacing w:after="0" w:line="216"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Net cash provided by investing activities was $19.3 million and $18.4 million for fiscal 2012 and 2011, respectively. The change was primarily the result of a net decrease in purchases of marketable securities during fiscal 2012 offset by an increase in purchases of equipment of $0.5 million. These purchases consisted largely of marine operations equipment and were accrued for in fiscal 2011, but paid for in fiscal 2012.</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cash (used in) provided by financing activities</w:t>
      </w:r>
    </w:p>
    <w:p>
      <w:pPr>
        <w:spacing w:after="0" w:line="216"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Net cash used in financing activities was $0.2 million in fiscal 2012 and net cash provided by financing activities was $0.2 million in fiscal 2011, reflecting a net change in our loans from the State of New Jersey. During fiscal 2011, we received a $0.25 million loan under the New Jersey Board of Public Utilities Renewable Energy Business Venture Assistance Program.</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 of exchange rates on cash and cash equivalents</w:t>
      </w:r>
    </w:p>
    <w:p>
      <w:pPr>
        <w:spacing w:after="0" w:line="216"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Effect of exchange rates on cash and cash equivalents was a decrease in cash of $0.2 million in fiscal 2012 and an increase in cash of $0.3 million in fiscal 2011. The change was primarily the result of exchange rate gains on consolidation of foreign subsidiaries and foreign denominated cash and cash equivalents.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05" w:right="2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Liquidity Outlook</w:t>
      </w:r>
    </w:p>
    <w:p>
      <w:pPr>
        <w:spacing w:after="0" w:line="216"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We expect to devote substantial resources to continue our development efforts for our PowerBuoy systems and to expand our sales, marketing and manufacturing programs associated with the planned commercialization of the PowerBuoy system. Our future capital requirements will depend on a number of factors, including:</w:t>
      </w:r>
    </w:p>
    <w:p>
      <w:pPr>
        <w:spacing w:after="0" w:line="346" w:lineRule="exact"/>
        <w:rPr>
          <w:sz w:val="20"/>
          <w:szCs w:val="20"/>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of development efforts for our PowerBuoy systems;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success of our commercial relationships with major customers;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ability to obtain project-specific financing for some of our projects;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of manufacturing activities;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 of commercialization activities, including demonstration projects, product marketing and sales;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establish and maintain additional commercial relationships;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implementation of our expansion plans, including the hiring of new employees;</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potential acquisitions of other products or technologies; and</w:t>
      </w:r>
    </w:p>
    <w:p>
      <w:pPr>
        <w:spacing w:after="0" w:line="170" w:lineRule="exact"/>
        <w:rPr>
          <w:rFonts w:ascii="Arial" w:cs="Arial" w:eastAsia="Arial" w:hAnsi="Arial"/>
          <w:sz w:val="14"/>
          <w:szCs w:val="14"/>
          <w:color w:val="auto"/>
        </w:rPr>
      </w:pPr>
    </w:p>
    <w:p>
      <w:pPr>
        <w:ind w:left="720" w:hanging="24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costs involved in preparing, filing, prosecuting, maintaining and enforcing patent claims and other patent-related costs.</w:t>
      </w:r>
    </w:p>
    <w:p>
      <w:pPr>
        <w:spacing w:after="0" w:line="171" w:lineRule="exact"/>
        <w:rPr>
          <w:sz w:val="20"/>
          <w:szCs w:val="20"/>
          <w:color w:val="auto"/>
        </w:rPr>
      </w:pPr>
    </w:p>
    <w:p>
      <w:pPr>
        <w:jc w:val="both"/>
        <w:ind w:firstLine="373"/>
        <w:spacing w:after="0" w:line="251" w:lineRule="auto"/>
        <w:rPr>
          <w:sz w:val="20"/>
          <w:szCs w:val="20"/>
          <w:color w:val="auto"/>
        </w:rPr>
      </w:pPr>
      <w:r>
        <w:rPr>
          <w:rFonts w:ascii="Arial" w:cs="Arial" w:eastAsia="Arial" w:hAnsi="Arial"/>
          <w:sz w:val="14"/>
          <w:szCs w:val="14"/>
          <w:color w:val="auto"/>
        </w:rPr>
        <w:t>We believe that our current cash, cash equivalents and investments will be sufficient to meet our anticipated cash needs for working capital and capital expenditures at least through fiscal 2014.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necessary financing, we may be required to reduce the scope of our planned product development and marketing efforts, which could harm our financial condition and operating results.</w:t>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Since inception, we have not engaged in any off-balance sheet financing activities.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16" w:lineRule="exact"/>
        <w:rPr>
          <w:sz w:val="20"/>
          <w:szCs w:val="20"/>
          <w:color w:val="auto"/>
        </w:rPr>
      </w:pPr>
    </w:p>
    <w:p>
      <w:pPr>
        <w:jc w:val="both"/>
        <w:ind w:firstLine="373"/>
        <w:spacing w:after="0" w:line="276" w:lineRule="auto"/>
        <w:rPr>
          <w:sz w:val="20"/>
          <w:szCs w:val="20"/>
          <w:color w:val="auto"/>
        </w:rPr>
      </w:pPr>
      <w:r>
        <w:rPr>
          <w:rFonts w:ascii="Arial" w:cs="Arial" w:eastAsia="Arial" w:hAnsi="Arial"/>
          <w:sz w:val="13"/>
          <w:szCs w:val="13"/>
          <w:color w:val="auto"/>
        </w:rPr>
        <w:t>The discussion and analysis of our financial condition and results of operations set forth above are based on our consolidated financial statements, which have been prepared in accordance with US generally accepted accounting principles (US GAAP). The preparation of these consolidated financial statements requires us to make estimates and judgments that affect the reported amounts of assets, liabilities, revenues and expenses. On an ongoing basis, we evaluate our estimates and judgments, including those described below. We base our estimates on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believe the following accounting policies require significant judgment and estimates by us in the preparation of our consolidated financial statements.</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 and unearned revenues</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Our contracts are either cost plus or fixed price contracts. Under cost plus contracts, customers are billed for actual expenses incurred plus an agreed-upon fee. Currently, we have two types of fixed price contracts, firm fixed price and cost-sharing. Under firm fixed price contracts, we receive an agreed-upon amount for providing products and services specified in the contract. Under cost-sharing contracts, the fixed amount agreed upon with the customer is only intended to fund a portion of the costs on a specific project.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40" w:name="page41"/>
    <w:bookmarkEnd w:id="40"/>
    <w:p>
      <w:pPr>
        <w:jc w:val="both"/>
        <w:ind w:firstLine="373"/>
        <w:spacing w:after="0" w:line="273" w:lineRule="auto"/>
        <w:rPr>
          <w:sz w:val="20"/>
          <w:szCs w:val="20"/>
          <w:color w:val="auto"/>
        </w:rPr>
      </w:pPr>
      <w:r>
        <w:rPr>
          <w:rFonts w:ascii="Arial" w:cs="Arial" w:eastAsia="Arial" w:hAnsi="Arial"/>
          <w:sz w:val="13"/>
          <w:szCs w:val="13"/>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revenue for the periods involved. Upon anticipating a loss on a contract, we recognize the full amount of the anticipated loss in the current period. Accruals related to losses on contracts in the amount of approximately $785,000 are included in accrued expenses in the accompanying consolidated balance sheets as of April 30, 2012 and 2011. During the year ended April 30, 2011, revenue was reduced by approximately $243,000 due to a change in estimated revenue to be recognized in connection with the 2006 Spain Construction Agreement.</w:t>
      </w:r>
    </w:p>
    <w:p>
      <w:pPr>
        <w:spacing w:after="0" w:line="179" w:lineRule="exact"/>
        <w:rPr>
          <w:sz w:val="20"/>
          <w:szCs w:val="20"/>
          <w:color w:val="auto"/>
        </w:rPr>
      </w:pPr>
    </w:p>
    <w:p>
      <w:pPr>
        <w:jc w:val="both"/>
        <w:ind w:firstLine="373"/>
        <w:spacing w:after="0" w:line="353" w:lineRule="auto"/>
        <w:rPr>
          <w:sz w:val="20"/>
          <w:szCs w:val="20"/>
          <w:color w:val="auto"/>
        </w:rPr>
      </w:pPr>
      <w:r>
        <w:rPr>
          <w:rFonts w:ascii="Arial" w:cs="Arial" w:eastAsia="Arial" w:hAnsi="Arial"/>
          <w:sz w:val="12"/>
          <w:szCs w:val="12"/>
          <w:color w:val="auto"/>
        </w:rPr>
        <w:t>Under cost plus and firm fixed price contracts there is a profit or loss on the project depending on whether actual costs are more or less than the agreed upon amount. Under cost-sharing contracts, an amount corresponding to the revenue is recorded in cost of revenues, resulting in gross profit on these contracts of zero. Our share of the costs is recorded as product development expense.</w:t>
      </w:r>
    </w:p>
    <w:p>
      <w:pPr>
        <w:spacing w:after="0" w:line="133"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Unbilled receivables represent expenditures on contracts, plus applicable profit margin, not yet billed. Unbilled receivables are normally billed and collected within one year. Billings made on contracts are recorded as a reduction in unbilled receivables, and to the extent that those billings exceed costs incurred plus applicable profit margin, they are recorded as unearned revenues.</w:t>
      </w:r>
    </w:p>
    <w:p>
      <w:pPr>
        <w:spacing w:after="0" w:line="36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w:t>
      </w:r>
    </w:p>
    <w:p>
      <w:pPr>
        <w:spacing w:after="0" w:line="186" w:lineRule="exact"/>
        <w:rPr>
          <w:sz w:val="20"/>
          <w:szCs w:val="20"/>
          <w:color w:val="auto"/>
        </w:rPr>
      </w:pPr>
    </w:p>
    <w:p>
      <w:pPr>
        <w:jc w:val="both"/>
        <w:ind w:firstLine="373"/>
        <w:spacing w:after="0" w:line="270" w:lineRule="auto"/>
        <w:rPr>
          <w:sz w:val="20"/>
          <w:szCs w:val="20"/>
          <w:color w:val="auto"/>
        </w:rPr>
      </w:pPr>
      <w:r>
        <w:rPr>
          <w:rFonts w:ascii="Arial" w:cs="Arial" w:eastAsia="Arial" w:hAnsi="Arial"/>
          <w:sz w:val="13"/>
          <w:szCs w:val="13"/>
          <w:color w:val="auto"/>
        </w:rPr>
        <w:t xml:space="preserve">Determining the appropriate fair-value model and calculating the fair value of stock-based awards at the date of grant using any valuation model requires judgment. We use the Black-Scholes option pricing model to estimate the fair value of employee stock options. Option pricing models, including the Black-Scholes model, require the use of input assumptions, including expected volatility, expected term and the expected dividend rate. Because our stock has been publicly traded in the United States only since April 2007, we do not have a significant observable share-price volatility for the United States capital markets; therefore, we estimate our expected volatility based on that of what we consider to be similar publicly-traded companies and expect to continue to do so until such time as we have adequate historical data from our traded share price in the United States. We did not estimate our expected volatility based on the price of our common stock on the AIM market of the London Stock Exchange on which our shares traded from October 2003 until we voluntarily delisted in January 2011, because we do not believe, based on the historically low trading volume of our shares on that market, that the volatility of our common stock on the AIM market is an appropriate indicator of the expected volatility of our common stock. Prior to fiscal 2007, we estimated the expected term of our options using our best estimate of the period of time from the grant date that we expect the options to remain outstanding. Beginning in fiscal 2007, we estimate the expected term using the average midpoint between the vesting terms and the contractual terms of our options as permitted by the Securities and Exchange Commission's Staff Accounting Bulletin No. 107, </w:t>
      </w:r>
      <w:r>
        <w:rPr>
          <w:rFonts w:ascii="Arial" w:cs="Arial" w:eastAsia="Arial" w:hAnsi="Arial"/>
          <w:sz w:val="13"/>
          <w:szCs w:val="13"/>
          <w:i w:val="1"/>
          <w:iCs w:val="1"/>
          <w:color w:val="auto"/>
        </w:rPr>
        <w:t>Share-Based Payment</w:t>
      </w:r>
      <w:r>
        <w:rPr>
          <w:rFonts w:ascii="Arial" w:cs="Arial" w:eastAsia="Arial" w:hAnsi="Arial"/>
          <w:sz w:val="13"/>
          <w:szCs w:val="13"/>
          <w:color w:val="auto"/>
        </w:rPr>
        <w:t>. If we determine another method to estimate expected volatility or expected term is more reasonable than our current methods, or if another method for calculating these input assumptions is prescribed by authoritative guidance, the fair value calculated for future stock-based awards could change significantly. Higher volatility and longer expected terms have a significant impact on the value of stock-based compensation determined at the date of grant. The expected dividend rate is not as significant to the calculation of the fair value of our stock-based awards.</w:t>
      </w:r>
    </w:p>
    <w:p>
      <w:pPr>
        <w:spacing w:after="0" w:line="181"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In addition, we are required to develop an estimate of the number of stock-based awards that will be forfeited due to employee turnover. Quarterly changes in the estimated forfeiture rate can have a significant effect on reported stock-based compensation. If the actual forfeiture rate is higher than the estimated forfeiture rate, then an adjustment is made to increase the estimated forfeiture rate, which will result in a decrease to the expense recognized in the consolidated financial statements during the quarter of the change. If the actual forfeiture rate is lower than the estimated forfeiture rate, then an adjustment is made to decrease the estimated forfeiture rate, which will result in an increase to the expense recognized in the consolidated financial statements. These adjustments affect our cost of revenues, product development costs and selling, general and administrative costs. To date, the effect of forfeiture adjustments on our consolidated financial statements has been insignificant. The expense we recognize in future periods could differ significantly from the current period and/or our forecasts due to adjustments in the assumed forfeiture rates.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aggregate share-based compensation expense, related to all share-based transactions related to employees was approximately $1.0 million and $1.4 million in fiscal 2012 and 2011,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1" w:right="219" w:bottom="1440" w:gutter="0" w:footer="0" w:header="0"/>
        </w:sectPr>
      </w:pPr>
    </w:p>
    <w:bookmarkStart w:id="41" w:name="page42"/>
    <w:bookmarkEnd w:id="41"/>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212" w:lineRule="exact"/>
        <w:rPr>
          <w:sz w:val="20"/>
          <w:szCs w:val="20"/>
          <w:color w:val="auto"/>
        </w:rPr>
      </w:pPr>
    </w:p>
    <w:p>
      <w:pPr>
        <w:jc w:val="both"/>
        <w:ind w:firstLine="373"/>
        <w:spacing w:after="0" w:line="270" w:lineRule="auto"/>
        <w:rPr>
          <w:sz w:val="20"/>
          <w:szCs w:val="20"/>
          <w:color w:val="auto"/>
        </w:rPr>
      </w:pPr>
      <w:r>
        <w:rPr>
          <w:rFonts w:ascii="Arial" w:cs="Arial" w:eastAsia="Arial" w:hAnsi="Arial"/>
          <w:sz w:val="13"/>
          <w:szCs w:val="13"/>
          <w:color w:val="auto"/>
        </w:rPr>
        <w:t>We account for income taxes under the asset and liability method. Under this method, we determine deferred tax assets and liabilities based upon the differences between the financial statement carrying amounts and the tax bases of assets and liabilities, as well as net operating loss and tax credit carryforwards, using enacted tax rates in effect for the year in which such items are expected to affect taxable income. The tax consequences of most events recognized in the current year's financial statements are included in determining income taxes currently payable. However, because tax laws and financial accounting standards differ in their recognition and measurement of assets, liabilities, equity, revenues, expenses, gains and losses, differences arise between the amount of taxable income and pretax financial income for a year and between the tax bases of assets or liabilities and their reported amounts in the financial statements. Because we assume that the reported amounts of assets and liabilities will be recovered and settled, respectively, a difference between the tax basis of an asset or a liability and its reported amount in the balance sheet will result in a taxable or a deductible amount in some future years when the related liabilities are settled or the reported amounts of the assets are recovered, giving rise to a deferred tax asset or deferred tax liability. We then assess the likelihood that our deferred tax assets will be recovered from future taxable income and, to the extent we believe that recovery is not likely, we establish a valuation allowance. As discussed in Note 12 to our consolidated financial statements included in this Annual Report, we have established a valuation allowance for our net deferred tax assets, which was $43.7 million as of April 30, 2012 and $39.9 million as of April 30, 2011. During the years ended April 30, 2012 and 2011, we sold New Jersey State net operating losses in the amount of $12.9 million and $4.4 million, respectively, resulting in the recognition of income tax benefits of $1.1 million and $0.4 million, respectively, recorded in our Statement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16"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U.S. GAAP and International Financial Reporting Standards (IFRS). The guidance is effective for fiscal years and interim periods within those years beginning after December 15, 2011. We are currently assessing the impact of the guidance.</w:t>
      </w:r>
    </w:p>
    <w:p>
      <w:pPr>
        <w:spacing w:after="0" w:line="169"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guidance is effective for fiscal years and interim periods within those years beginning after December 15, 2011. The adoption of this new guidance will not impact our financial position, results of operations or cash flows.</w:t>
      </w:r>
    </w:p>
    <w:p>
      <w:pPr>
        <w:spacing w:after="0" w:line="352"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3"/>
          <w:szCs w:val="13"/>
          <w:b w:val="1"/>
          <w:bCs w:val="1"/>
          <w:i w:val="1"/>
          <w:iCs w:val="1"/>
          <w:color w:val="auto"/>
        </w:rPr>
        <w:t>QUANTITATIVE AND QUALITATIVE DISCLOSURES ABOUT MARKET RISK</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8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8.</w:t>
      </w:r>
      <w:r>
        <w:rPr>
          <w:sz w:val="20"/>
          <w:szCs w:val="20"/>
          <w:color w:val="auto"/>
        </w:rPr>
        <w:tab/>
      </w:r>
      <w:r>
        <w:rPr>
          <w:rFonts w:ascii="Arial" w:cs="Arial" w:eastAsia="Arial" w:hAnsi="Arial"/>
          <w:sz w:val="13"/>
          <w:szCs w:val="13"/>
          <w:b w:val="1"/>
          <w:bCs w:val="1"/>
          <w:i w:val="1"/>
          <w:iCs w:val="1"/>
          <w:color w:val="auto"/>
        </w:rPr>
        <w:t>FINANCIAL STATEMENTS AND SUPPLEMENTARY DATA</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financial statements and supplementary data required by this item are listed in Item 15 — "Exhibits and Financial Statement Schedules" of this Annual Report.</w:t>
      </w:r>
    </w:p>
    <w:p>
      <w:pPr>
        <w:spacing w:after="0" w:line="200" w:lineRule="exact"/>
        <w:rPr>
          <w:sz w:val="20"/>
          <w:szCs w:val="20"/>
          <w:color w:val="auto"/>
        </w:rPr>
      </w:pPr>
    </w:p>
    <w:p>
      <w:pPr>
        <w:spacing w:after="0" w:line="38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3"/>
          <w:szCs w:val="13"/>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82"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3"/>
          <w:szCs w:val="13"/>
          <w:b w:val="1"/>
          <w:bCs w:val="1"/>
          <w:i w:val="1"/>
          <w:iCs w:val="1"/>
          <w:color w:val="auto"/>
        </w:rPr>
        <w:t>CONTROLS AND PROCEDURES</w:t>
      </w:r>
    </w:p>
    <w:p>
      <w:pPr>
        <w:spacing w:after="0" w:line="175" w:lineRule="exact"/>
        <w:rPr>
          <w:sz w:val="20"/>
          <w:szCs w:val="20"/>
          <w:color w:val="auto"/>
        </w:rPr>
      </w:pPr>
    </w:p>
    <w:p>
      <w:pPr>
        <w:jc w:val="both"/>
        <w:ind w:firstLine="373"/>
        <w:spacing w:after="0" w:line="274" w:lineRule="auto"/>
        <w:rPr>
          <w:sz w:val="20"/>
          <w:szCs w:val="20"/>
          <w:color w:val="auto"/>
        </w:rPr>
      </w:pPr>
      <w:r>
        <w:rPr>
          <w:rFonts w:ascii="Arial" w:cs="Arial" w:eastAsia="Arial" w:hAnsi="Arial"/>
          <w:sz w:val="13"/>
          <w:szCs w:val="13"/>
          <w:color w:val="auto"/>
        </w:rPr>
        <w:t>An evaluation of the effectiveness of the design and operation of our disclosure controls and procedures was performed as of the end of the period covered by this report. This evaluation was performed under the supervision and with the participation of management, including our Chief Executive Officer and Chief Financial Officer. Based upon that evaluation, our Chief Executive Officer and Chief Financial Officer concluded that our disclosure controls and procedures are effective in providing reasonable assurance that information required to be disclosed by the Company in the reports that it files or submits under the Securities Exchange Act of 1934, as amended, is accumulated and communicated to management, including our Chief Executive Officer and Chief Financial Officer, as appropriate, to allow timely decisions regarding required disclosure and are effective in providing reasonable assurance that such information is recorded, processed, summarized and reported within the time periods specified by the rules and forms of the US Securities and Exchange Commission (SEC).</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annual report of management on the Company's internal control over financial reporting is provided under "Reports of Management" on page F-2.</w:t>
      </w:r>
    </w:p>
    <w:p>
      <w:pPr>
        <w:spacing w:after="0" w:line="21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During the quarter ended April 30, 2012, there were no changes in the Company's internal control over financial reporting that materially affected, or are reasonably likely to materially affect, such internal control over financial reporting.</w:t>
      </w:r>
    </w:p>
    <w:p>
      <w:pPr>
        <w:spacing w:after="0" w:line="200" w:lineRule="exact"/>
        <w:rPr>
          <w:sz w:val="20"/>
          <w:szCs w:val="20"/>
          <w:color w:val="auto"/>
        </w:rPr>
      </w:pPr>
    </w:p>
    <w:p>
      <w:pPr>
        <w:spacing w:after="0" w:line="34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264"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line="386"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3"/>
          <w:szCs w:val="13"/>
          <w:b w:val="1"/>
          <w:bCs w:val="1"/>
          <w:i w:val="1"/>
          <w:iCs w:val="1"/>
          <w:color w:val="auto"/>
        </w:rPr>
        <w:t>DIRECTORS, EXECUTIVE OFFICERS AND CORPORATE GOVERNANCE</w:t>
      </w:r>
    </w:p>
    <w:p>
      <w:pPr>
        <w:spacing w:after="0" w:line="17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Information with respect to this item is set forth in the Proxy Statement for the 2012 Annual Meeting of Stockholders (the "Proxy Statement") under the headings "Election of Directors," "Executive Officers," "Section 16(a) Beneficial Ownership Reporting Compliance," "Code of Ethics" and "Corporate Governance"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175"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Information with respect to this item is set forth in the Proxy Statement under the headings "Executive Compensation" and "Director Compensation,"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34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3"/>
          <w:szCs w:val="13"/>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Information with respect to this item is set forth in the Proxy Statement under the headings "Security Ownership of Certain Beneficial Owners and Management" and "Executive Compensation,"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34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3"/>
          <w:szCs w:val="13"/>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Information with respect to this item is set forth in the Proxy Statement under the headings "Certain Relationships and Related Party Transactions" and "Corporate Governance and Board Matters," and is incorporated herein by reference. The Proxy Statement will be filed with the SEC within 120 days after the end of the fiscal year covered by this Form 10-K.</w:t>
      </w:r>
    </w:p>
    <w:p>
      <w:pPr>
        <w:spacing w:after="0" w:line="200" w:lineRule="exact"/>
        <w:rPr>
          <w:sz w:val="20"/>
          <w:szCs w:val="20"/>
          <w:color w:val="auto"/>
        </w:rPr>
      </w:pPr>
    </w:p>
    <w:p>
      <w:pPr>
        <w:spacing w:after="0" w:line="34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3"/>
          <w:szCs w:val="13"/>
          <w:b w:val="1"/>
          <w:bCs w:val="1"/>
          <w:i w:val="1"/>
          <w:iCs w:val="1"/>
          <w:color w:val="auto"/>
        </w:rPr>
        <w:t>PRINCIPAL ACCOUNTING FEES AND SERVICES</w:t>
      </w:r>
    </w:p>
    <w:p>
      <w:pPr>
        <w:spacing w:after="0" w:line="175"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Information with respect to this item is set forth in the Proxy Statement under the heading "Ratification of the Selection of Independent Registered Public Accounting Firm," and is incorporated herein by reference. The Proxy Statement will be filed with the SEC within 120 days after the end of the fiscal year covered by this Form 10-K.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389"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3"/>
          <w:szCs w:val="13"/>
          <w:b w:val="1"/>
          <w:bCs w:val="1"/>
          <w:i w:val="1"/>
          <w:iCs w:val="1"/>
          <w:color w:val="auto"/>
        </w:rPr>
        <w:t>EXHIBITS AND FINANCIAL STATEMENT SCHEDULES</w:t>
      </w:r>
    </w:p>
    <w:p>
      <w:pPr>
        <w:spacing w:after="0" w:line="175" w:lineRule="exact"/>
        <w:rPr>
          <w:sz w:val="20"/>
          <w:szCs w:val="20"/>
          <w:color w:val="auto"/>
        </w:rPr>
      </w:pPr>
    </w:p>
    <w:p>
      <w:pPr>
        <w:ind w:left="560" w:hanging="184"/>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(1) Financial Statements: See Index to Consolidated Financial Statements on page F-1.</w:t>
      </w:r>
    </w:p>
    <w:p>
      <w:pPr>
        <w:spacing w:after="0" w:line="212"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(3) Exhibits: See Exhibits Index on pages 45 to 46.</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SIGNATURES</w:t>
      </w:r>
    </w:p>
    <w:p>
      <w:pPr>
        <w:spacing w:after="0" w:line="216"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OCEAN POWER TECHNOLOGIES, INC.</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Date: July 13, 2012</w:t>
      </w:r>
    </w:p>
    <w:p>
      <w:pPr>
        <w:spacing w:after="0" w:line="200" w:lineRule="exact"/>
        <w:rPr>
          <w:sz w:val="20"/>
          <w:szCs w:val="20"/>
          <w:color w:val="auto"/>
        </w:rPr>
      </w:pPr>
    </w:p>
    <w:p>
      <w:pPr>
        <w:spacing w:after="0" w:line="303"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10160</wp:posOffset>
            </wp:positionV>
            <wp:extent cx="2766695"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66695" cy="13335"/>
                    </a:xfrm>
                    <a:prstGeom prst="rect">
                      <a:avLst/>
                    </a:prstGeom>
                    <a:noFill/>
                  </pic:spPr>
                </pic:pic>
              </a:graphicData>
            </a:graphic>
          </wp:anchor>
        </w:drawing>
      </w:r>
    </w:p>
    <w:p>
      <w:pPr>
        <w:spacing w:after="0" w:line="6" w:lineRule="exact"/>
        <w:rPr>
          <w:sz w:val="20"/>
          <w:szCs w:val="20"/>
          <w:color w:val="auto"/>
        </w:rPr>
      </w:pPr>
    </w:p>
    <w:p>
      <w:pPr>
        <w:ind w:left="5740"/>
        <w:spacing w:after="0"/>
        <w:tabs>
          <w:tab w:leader="none" w:pos="6080" w:val="left"/>
        </w:tabs>
        <w:rPr>
          <w:sz w:val="20"/>
          <w:szCs w:val="20"/>
          <w:color w:val="auto"/>
        </w:rPr>
      </w:pPr>
      <w:r>
        <w:rPr>
          <w:rFonts w:ascii="Arial" w:cs="Arial" w:eastAsia="Arial" w:hAnsi="Arial"/>
          <w:sz w:val="14"/>
          <w:szCs w:val="14"/>
          <w:color w:val="auto"/>
        </w:rPr>
        <w:t>By:</w:t>
        <w:tab/>
        <w:t>Charles F. Dunleavy</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4"/>
          <w:szCs w:val="14"/>
          <w:i w:val="1"/>
          <w:iCs w:val="1"/>
          <w:color w:val="auto"/>
        </w:rPr>
        <w:t>Chief Executive Officer</w:t>
      </w:r>
    </w:p>
    <w:p>
      <w:pPr>
        <w:spacing w:after="0" w:line="162"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34" w:lineRule="exact"/>
        <w:rPr>
          <w:sz w:val="20"/>
          <w:szCs w:val="20"/>
          <w:color w:val="auto"/>
        </w:rPr>
      </w:pPr>
    </w:p>
    <w:p>
      <w:pPr>
        <w:ind w:left="2360"/>
        <w:spacing w:after="0"/>
        <w:tabs>
          <w:tab w:leader="none" w:pos="7380" w:val="left"/>
          <w:tab w:leader="none" w:pos="10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ectPr>
          <w:pgSz w:w="11900" w:h="16838" w:orient="portrait"/>
          <w:cols w:equalWidth="0" w:num="1">
            <w:col w:w="11460"/>
          </w:cols>
          <w:pgMar w:left="220" w:top="467" w:right="21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color w:val="auto"/>
                <w:w w:val="97"/>
              </w:rPr>
              <w:t>C</w:t>
            </w:r>
            <w:r>
              <w:rPr>
                <w:rFonts w:ascii="Arial" w:cs="Arial" w:eastAsia="Arial" w:hAnsi="Arial"/>
                <w:sz w:val="9"/>
                <w:szCs w:val="9"/>
                <w:color w:val="auto"/>
                <w:w w:val="97"/>
              </w:rPr>
              <w:t>HARLES</w:t>
            </w:r>
            <w:r>
              <w:rPr>
                <w:rFonts w:ascii="Arial" w:cs="Arial" w:eastAsia="Arial" w:hAnsi="Arial"/>
                <w:sz w:val="14"/>
                <w:szCs w:val="14"/>
                <w:color w:val="auto"/>
                <w:w w:val="97"/>
              </w:rPr>
              <w:t xml:space="preserve"> F. D</w:t>
            </w:r>
            <w:r>
              <w:rPr>
                <w:rFonts w:ascii="Arial" w:cs="Arial" w:eastAsia="Arial" w:hAnsi="Arial"/>
                <w:sz w:val="9"/>
                <w:szCs w:val="9"/>
                <w:color w:val="auto"/>
                <w:w w:val="97"/>
              </w:rPr>
              <w:t>UNLEAVY</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31"/>
              <w:spacing w:after="0"/>
              <w:rPr>
                <w:sz w:val="20"/>
                <w:szCs w:val="20"/>
                <w:color w:val="auto"/>
              </w:rPr>
            </w:pPr>
            <w:r>
              <w:rPr>
                <w:rFonts w:ascii="Arial" w:cs="Arial" w:eastAsia="Arial" w:hAnsi="Arial"/>
                <w:sz w:val="14"/>
                <w:szCs w:val="14"/>
                <w:color w:val="auto"/>
                <w:w w:val="89"/>
              </w:rPr>
              <w:t>Charles F. Dunleavy</w:t>
            </w:r>
          </w:p>
        </w:tc>
      </w:tr>
      <w:tr>
        <w:trPr>
          <w:trHeight w:val="562"/>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31"/>
              <w:spacing w:after="0"/>
              <w:rPr>
                <w:sz w:val="20"/>
                <w:szCs w:val="20"/>
                <w:color w:val="auto"/>
              </w:rPr>
            </w:pPr>
            <w:r>
              <w:rPr>
                <w:rFonts w:ascii="Arial" w:cs="Arial" w:eastAsia="Arial" w:hAnsi="Arial"/>
                <w:sz w:val="14"/>
                <w:szCs w:val="14"/>
                <w:color w:val="auto"/>
                <w:w w:val="94"/>
              </w:rPr>
              <w:t>G</w:t>
            </w:r>
            <w:r>
              <w:rPr>
                <w:rFonts w:ascii="Arial" w:cs="Arial" w:eastAsia="Arial" w:hAnsi="Arial"/>
                <w:sz w:val="9"/>
                <w:szCs w:val="9"/>
                <w:color w:val="auto"/>
                <w:w w:val="94"/>
              </w:rPr>
              <w:t>EORGE</w:t>
            </w:r>
            <w:r>
              <w:rPr>
                <w:rFonts w:ascii="Arial" w:cs="Arial" w:eastAsia="Arial" w:hAnsi="Arial"/>
                <w:sz w:val="14"/>
                <w:szCs w:val="14"/>
                <w:color w:val="auto"/>
                <w:w w:val="94"/>
              </w:rPr>
              <w:t xml:space="preserve"> W. T</w:t>
            </w:r>
            <w:r>
              <w:rPr>
                <w:rFonts w:ascii="Arial" w:cs="Arial" w:eastAsia="Arial" w:hAnsi="Arial"/>
                <w:sz w:val="9"/>
                <w:szCs w:val="9"/>
                <w:color w:val="auto"/>
                <w:w w:val="94"/>
              </w:rPr>
              <w:t>AYLOR</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31"/>
              <w:spacing w:after="0"/>
              <w:rPr>
                <w:sz w:val="20"/>
                <w:szCs w:val="20"/>
                <w:color w:val="auto"/>
              </w:rPr>
            </w:pPr>
            <w:r>
              <w:rPr>
                <w:rFonts w:ascii="Arial" w:cs="Arial" w:eastAsia="Arial" w:hAnsi="Arial"/>
                <w:sz w:val="14"/>
                <w:szCs w:val="14"/>
                <w:color w:val="auto"/>
                <w:w w:val="88"/>
              </w:rPr>
              <w:t>George W. Taylor</w:t>
            </w:r>
          </w:p>
        </w:tc>
      </w:tr>
      <w:tr>
        <w:trPr>
          <w:trHeight w:val="64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31"/>
              <w:spacing w:after="0"/>
              <w:rPr>
                <w:sz w:val="20"/>
                <w:szCs w:val="20"/>
                <w:color w:val="auto"/>
              </w:rPr>
            </w:pPr>
            <w:r>
              <w:rPr>
                <w:rFonts w:ascii="Arial" w:cs="Arial" w:eastAsia="Arial" w:hAnsi="Arial"/>
                <w:sz w:val="14"/>
                <w:szCs w:val="14"/>
                <w:color w:val="auto"/>
                <w:w w:val="98"/>
              </w:rPr>
              <w:t>B</w:t>
            </w:r>
            <w:r>
              <w:rPr>
                <w:rFonts w:ascii="Arial" w:cs="Arial" w:eastAsia="Arial" w:hAnsi="Arial"/>
                <w:sz w:val="9"/>
                <w:szCs w:val="9"/>
                <w:color w:val="auto"/>
                <w:w w:val="98"/>
              </w:rPr>
              <w:t>RIAN</w:t>
            </w:r>
            <w:r>
              <w:rPr>
                <w:rFonts w:ascii="Arial" w:cs="Arial" w:eastAsia="Arial" w:hAnsi="Arial"/>
                <w:sz w:val="14"/>
                <w:szCs w:val="14"/>
                <w:color w:val="auto"/>
                <w:w w:val="98"/>
              </w:rPr>
              <w:t xml:space="preserve"> M. P</w:t>
            </w:r>
            <w:r>
              <w:rPr>
                <w:rFonts w:ascii="Arial" w:cs="Arial" w:eastAsia="Arial" w:hAnsi="Arial"/>
                <w:sz w:val="9"/>
                <w:szCs w:val="9"/>
                <w:color w:val="auto"/>
                <w:w w:val="98"/>
              </w:rPr>
              <w:t>OSNER</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31"/>
              <w:spacing w:after="0"/>
              <w:rPr>
                <w:sz w:val="20"/>
                <w:szCs w:val="20"/>
                <w:color w:val="auto"/>
              </w:rPr>
            </w:pPr>
            <w:r>
              <w:rPr>
                <w:rFonts w:ascii="Arial" w:cs="Arial" w:eastAsia="Arial" w:hAnsi="Arial"/>
                <w:sz w:val="14"/>
                <w:szCs w:val="14"/>
                <w:color w:val="auto"/>
                <w:w w:val="89"/>
              </w:rPr>
              <w:t>Brian M. Posner</w:t>
            </w:r>
          </w:p>
        </w:tc>
      </w:tr>
      <w:tr>
        <w:trPr>
          <w:trHeight w:val="64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31"/>
              <w:spacing w:after="0"/>
              <w:rPr>
                <w:sz w:val="20"/>
                <w:szCs w:val="20"/>
                <w:color w:val="auto"/>
              </w:rPr>
            </w:pPr>
            <w:r>
              <w:rPr>
                <w:rFonts w:ascii="Arial" w:cs="Arial" w:eastAsia="Arial" w:hAnsi="Arial"/>
                <w:sz w:val="14"/>
                <w:szCs w:val="14"/>
                <w:color w:val="auto"/>
                <w:w w:val="95"/>
              </w:rPr>
              <w:t>S</w:t>
            </w:r>
            <w:r>
              <w:rPr>
                <w:rFonts w:ascii="Arial" w:cs="Arial" w:eastAsia="Arial" w:hAnsi="Arial"/>
                <w:sz w:val="9"/>
                <w:szCs w:val="9"/>
                <w:color w:val="auto"/>
                <w:w w:val="95"/>
              </w:rPr>
              <w:t>EYMOUR</w:t>
            </w:r>
            <w:r>
              <w:rPr>
                <w:rFonts w:ascii="Arial" w:cs="Arial" w:eastAsia="Arial" w:hAnsi="Arial"/>
                <w:sz w:val="14"/>
                <w:szCs w:val="14"/>
                <w:color w:val="auto"/>
                <w:w w:val="95"/>
              </w:rPr>
              <w:t xml:space="preserve"> S. P</w:t>
            </w:r>
            <w:r>
              <w:rPr>
                <w:rFonts w:ascii="Arial" w:cs="Arial" w:eastAsia="Arial" w:hAnsi="Arial"/>
                <w:sz w:val="9"/>
                <w:szCs w:val="9"/>
                <w:color w:val="auto"/>
                <w:w w:val="95"/>
              </w:rPr>
              <w:t>RESTON</w:t>
            </w:r>
            <w:r>
              <w:rPr>
                <w:rFonts w:ascii="Arial" w:cs="Arial" w:eastAsia="Arial" w:hAnsi="Arial"/>
                <w:sz w:val="14"/>
                <w:szCs w:val="14"/>
                <w:color w:val="auto"/>
                <w:w w:val="95"/>
              </w:rPr>
              <w:t xml:space="preserve"> III</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31"/>
              <w:spacing w:after="0"/>
              <w:rPr>
                <w:sz w:val="20"/>
                <w:szCs w:val="20"/>
                <w:color w:val="auto"/>
              </w:rPr>
            </w:pPr>
            <w:r>
              <w:rPr>
                <w:rFonts w:ascii="Arial" w:cs="Arial" w:eastAsia="Arial" w:hAnsi="Arial"/>
                <w:sz w:val="14"/>
                <w:szCs w:val="14"/>
                <w:color w:val="auto"/>
                <w:w w:val="89"/>
              </w:rPr>
              <w:t>Seymour S. Preston III</w:t>
            </w:r>
          </w:p>
        </w:tc>
      </w:tr>
      <w:tr>
        <w:trPr>
          <w:trHeight w:val="65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31"/>
              <w:spacing w:after="0"/>
              <w:rPr>
                <w:sz w:val="20"/>
                <w:szCs w:val="20"/>
                <w:color w:val="auto"/>
              </w:rPr>
            </w:pPr>
            <w:r>
              <w:rPr>
                <w:rFonts w:ascii="Arial" w:cs="Arial" w:eastAsia="Arial" w:hAnsi="Arial"/>
                <w:sz w:val="14"/>
                <w:szCs w:val="14"/>
                <w:color w:val="auto"/>
                <w:w w:val="99"/>
              </w:rPr>
              <w:t>T</w:t>
            </w:r>
            <w:r>
              <w:rPr>
                <w:rFonts w:ascii="Arial" w:cs="Arial" w:eastAsia="Arial" w:hAnsi="Arial"/>
                <w:sz w:val="9"/>
                <w:szCs w:val="9"/>
                <w:color w:val="auto"/>
                <w:w w:val="99"/>
              </w:rPr>
              <w:t>HOMAS</w:t>
            </w:r>
            <w:r>
              <w:rPr>
                <w:rFonts w:ascii="Arial" w:cs="Arial" w:eastAsia="Arial" w:hAnsi="Arial"/>
                <w:sz w:val="14"/>
                <w:szCs w:val="14"/>
                <w:color w:val="auto"/>
                <w:w w:val="99"/>
              </w:rPr>
              <w:t xml:space="preserve"> J. M</w:t>
            </w:r>
            <w:r>
              <w:rPr>
                <w:rFonts w:ascii="Arial" w:cs="Arial" w:eastAsia="Arial" w:hAnsi="Arial"/>
                <w:sz w:val="9"/>
                <w:szCs w:val="9"/>
                <w:color w:val="auto"/>
                <w:w w:val="99"/>
              </w:rPr>
              <w:t>EANEY</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31"/>
              <w:spacing w:after="0"/>
              <w:rPr>
                <w:sz w:val="20"/>
                <w:szCs w:val="20"/>
                <w:color w:val="auto"/>
              </w:rPr>
            </w:pPr>
            <w:r>
              <w:rPr>
                <w:rFonts w:ascii="Arial" w:cs="Arial" w:eastAsia="Arial" w:hAnsi="Arial"/>
                <w:sz w:val="14"/>
                <w:szCs w:val="14"/>
                <w:color w:val="auto"/>
                <w:w w:val="89"/>
              </w:rPr>
              <w:t>Thomas J. Meaney</w:t>
            </w:r>
          </w:p>
        </w:tc>
      </w:tr>
      <w:tr>
        <w:trPr>
          <w:trHeight w:val="65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color w:val="auto"/>
                <w:w w:val="96"/>
              </w:rPr>
              <w:t>B</w:t>
            </w:r>
            <w:r>
              <w:rPr>
                <w:rFonts w:ascii="Arial" w:cs="Arial" w:eastAsia="Arial" w:hAnsi="Arial"/>
                <w:sz w:val="9"/>
                <w:szCs w:val="9"/>
                <w:color w:val="auto"/>
                <w:w w:val="96"/>
              </w:rPr>
              <w:t>RUCE</w:t>
            </w:r>
            <w:r>
              <w:rPr>
                <w:rFonts w:ascii="Arial" w:cs="Arial" w:eastAsia="Arial" w:hAnsi="Arial"/>
                <w:sz w:val="14"/>
                <w:szCs w:val="14"/>
                <w:color w:val="auto"/>
                <w:w w:val="96"/>
              </w:rPr>
              <w:t xml:space="preserve"> A. P</w:t>
            </w:r>
            <w:r>
              <w:rPr>
                <w:rFonts w:ascii="Arial" w:cs="Arial" w:eastAsia="Arial" w:hAnsi="Arial"/>
                <w:sz w:val="9"/>
                <w:szCs w:val="9"/>
                <w:color w:val="auto"/>
                <w:w w:val="96"/>
              </w:rPr>
              <w:t>EACOCK</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11"/>
              <w:spacing w:after="0"/>
              <w:rPr>
                <w:sz w:val="20"/>
                <w:szCs w:val="20"/>
                <w:color w:val="auto"/>
              </w:rPr>
            </w:pPr>
            <w:r>
              <w:rPr>
                <w:rFonts w:ascii="Arial" w:cs="Arial" w:eastAsia="Arial" w:hAnsi="Arial"/>
                <w:sz w:val="14"/>
                <w:szCs w:val="14"/>
                <w:color w:val="auto"/>
                <w:w w:val="89"/>
              </w:rPr>
              <w:t>Bruce A. Peacock</w:t>
            </w:r>
          </w:p>
        </w:tc>
      </w:tr>
      <w:tr>
        <w:trPr>
          <w:trHeight w:val="65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3740" w:type="dxa"/>
            <w:vAlign w:val="bottom"/>
            <w:tcBorders>
              <w:bottom w:val="single" w:sz="8" w:color="auto"/>
            </w:tcBorders>
          </w:tcPr>
          <w:p>
            <w:pPr>
              <w:jc w:val="center"/>
              <w:ind w:right="531"/>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AVID</w:t>
            </w:r>
            <w:r>
              <w:rPr>
                <w:rFonts w:ascii="Arial" w:cs="Arial" w:eastAsia="Arial" w:hAnsi="Arial"/>
                <w:sz w:val="14"/>
                <w:szCs w:val="14"/>
                <w:color w:val="auto"/>
              </w:rPr>
              <w:t xml:space="preserve"> L. D</w:t>
            </w:r>
            <w:r>
              <w:rPr>
                <w:rFonts w:ascii="Arial" w:cs="Arial" w:eastAsia="Arial" w:hAnsi="Arial"/>
                <w:sz w:val="9"/>
                <w:szCs w:val="9"/>
                <w:color w:val="auto"/>
              </w:rPr>
              <w:t>AVIS</w:t>
            </w:r>
          </w:p>
        </w:tc>
      </w:tr>
      <w:tr>
        <w:trPr>
          <w:trHeight w:val="175"/>
        </w:trPr>
        <w:tc>
          <w:tcPr>
            <w:tcW w:w="1080" w:type="dxa"/>
            <w:vAlign w:val="bottom"/>
          </w:tcPr>
          <w:p>
            <w:pPr>
              <w:spacing w:after="0"/>
              <w:rPr>
                <w:sz w:val="15"/>
                <w:szCs w:val="15"/>
                <w:color w:val="auto"/>
              </w:rPr>
            </w:pPr>
          </w:p>
        </w:tc>
        <w:tc>
          <w:tcPr>
            <w:tcW w:w="3740" w:type="dxa"/>
            <w:vAlign w:val="bottom"/>
          </w:tcPr>
          <w:p>
            <w:pPr>
              <w:jc w:val="center"/>
              <w:ind w:right="531"/>
              <w:spacing w:after="0"/>
              <w:rPr>
                <w:sz w:val="20"/>
                <w:szCs w:val="20"/>
                <w:color w:val="auto"/>
              </w:rPr>
            </w:pPr>
            <w:r>
              <w:rPr>
                <w:rFonts w:ascii="Arial" w:cs="Arial" w:eastAsia="Arial" w:hAnsi="Arial"/>
                <w:sz w:val="14"/>
                <w:szCs w:val="14"/>
                <w:color w:val="auto"/>
                <w:w w:val="95"/>
              </w:rPr>
              <w:t>David L. Davis</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jc w:val="center"/>
              <w:ind w:right="671"/>
              <w:spacing w:after="0"/>
              <w:rPr>
                <w:sz w:val="20"/>
                <w:szCs w:val="20"/>
                <w:color w:val="auto"/>
              </w:rPr>
            </w:pPr>
            <w:r>
              <w:rPr>
                <w:rFonts w:ascii="Arial" w:cs="Arial" w:eastAsia="Arial" w:hAnsi="Arial"/>
                <w:sz w:val="14"/>
                <w:szCs w:val="14"/>
                <w:color w:val="auto"/>
                <w:w w:val="90"/>
              </w:rPr>
              <w:t>Chairman of the Board of Directors,</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r>
        <w:trPr>
          <w:trHeight w:val="166"/>
        </w:trPr>
        <w:tc>
          <w:tcPr>
            <w:tcW w:w="3620" w:type="dxa"/>
            <w:vAlign w:val="bottom"/>
          </w:tcPr>
          <w:p>
            <w:pPr>
              <w:jc w:val="center"/>
              <w:ind w:right="671"/>
              <w:spacing w:after="0"/>
              <w:rPr>
                <w:sz w:val="20"/>
                <w:szCs w:val="20"/>
                <w:color w:val="auto"/>
              </w:rPr>
            </w:pPr>
            <w:r>
              <w:rPr>
                <w:rFonts w:ascii="Arial" w:cs="Arial" w:eastAsia="Arial" w:hAnsi="Arial"/>
                <w:sz w:val="14"/>
                <w:szCs w:val="14"/>
                <w:color w:val="auto"/>
                <w:w w:val="92"/>
              </w:rPr>
              <w:t>Chief Executive Officer</w:t>
            </w:r>
          </w:p>
        </w:tc>
        <w:tc>
          <w:tcPr>
            <w:tcW w:w="1520" w:type="dxa"/>
            <w:vAlign w:val="bottom"/>
          </w:tcPr>
          <w:p>
            <w:pPr>
              <w:spacing w:after="0"/>
              <w:rPr>
                <w:sz w:val="14"/>
                <w:szCs w:val="14"/>
                <w:color w:val="auto"/>
              </w:rPr>
            </w:pPr>
          </w:p>
        </w:tc>
      </w:tr>
      <w:tr>
        <w:trPr>
          <w:trHeight w:val="175"/>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3"/>
              </w:rPr>
              <w:t>(Principal Executive Officer)</w:t>
            </w:r>
          </w:p>
        </w:tc>
        <w:tc>
          <w:tcPr>
            <w:tcW w:w="1520" w:type="dxa"/>
            <w:vAlign w:val="bottom"/>
          </w:tcPr>
          <w:p>
            <w:pPr>
              <w:spacing w:after="0"/>
              <w:rPr>
                <w:sz w:val="15"/>
                <w:szCs w:val="15"/>
                <w:color w:val="auto"/>
              </w:rPr>
            </w:pPr>
          </w:p>
        </w:tc>
      </w:tr>
      <w:tr>
        <w:trPr>
          <w:trHeight w:val="498"/>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1"/>
              </w:rPr>
              <w:t>Executive Vice-Chairman of the Board of Directors</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r>
        <w:trPr>
          <w:trHeight w:val="675"/>
        </w:trPr>
        <w:tc>
          <w:tcPr>
            <w:tcW w:w="3620" w:type="dxa"/>
            <w:vAlign w:val="bottom"/>
          </w:tcPr>
          <w:p>
            <w:pPr>
              <w:jc w:val="center"/>
              <w:ind w:right="671"/>
              <w:spacing w:after="0"/>
              <w:rPr>
                <w:sz w:val="20"/>
                <w:szCs w:val="20"/>
                <w:color w:val="auto"/>
              </w:rPr>
            </w:pPr>
            <w:r>
              <w:rPr>
                <w:rFonts w:ascii="Arial" w:cs="Arial" w:eastAsia="Arial" w:hAnsi="Arial"/>
                <w:sz w:val="14"/>
                <w:szCs w:val="14"/>
                <w:color w:val="auto"/>
                <w:w w:val="93"/>
              </w:rPr>
              <w:t>Chief Financial Officer,</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r>
        <w:trPr>
          <w:trHeight w:val="166"/>
        </w:trPr>
        <w:tc>
          <w:tcPr>
            <w:tcW w:w="3620" w:type="dxa"/>
            <w:vAlign w:val="bottom"/>
          </w:tcPr>
          <w:p>
            <w:pPr>
              <w:jc w:val="center"/>
              <w:ind w:right="671"/>
              <w:spacing w:after="0"/>
              <w:rPr>
                <w:sz w:val="20"/>
                <w:szCs w:val="20"/>
                <w:color w:val="auto"/>
              </w:rPr>
            </w:pPr>
            <w:r>
              <w:rPr>
                <w:rFonts w:ascii="Arial" w:cs="Arial" w:eastAsia="Arial" w:hAnsi="Arial"/>
                <w:sz w:val="14"/>
                <w:szCs w:val="14"/>
                <w:color w:val="auto"/>
                <w:w w:val="86"/>
              </w:rPr>
              <w:t>Secretary and Treasurer</w:t>
            </w:r>
          </w:p>
        </w:tc>
        <w:tc>
          <w:tcPr>
            <w:tcW w:w="1520" w:type="dxa"/>
            <w:vAlign w:val="bottom"/>
          </w:tcPr>
          <w:p>
            <w:pPr>
              <w:spacing w:after="0"/>
              <w:rPr>
                <w:sz w:val="14"/>
                <w:szCs w:val="14"/>
                <w:color w:val="auto"/>
              </w:rPr>
            </w:pPr>
          </w:p>
        </w:tc>
      </w:tr>
      <w:tr>
        <w:trPr>
          <w:trHeight w:val="166"/>
        </w:trPr>
        <w:tc>
          <w:tcPr>
            <w:tcW w:w="3620" w:type="dxa"/>
            <w:vAlign w:val="bottom"/>
          </w:tcPr>
          <w:p>
            <w:pPr>
              <w:jc w:val="center"/>
              <w:ind w:right="671"/>
              <w:spacing w:after="0"/>
              <w:rPr>
                <w:sz w:val="20"/>
                <w:szCs w:val="20"/>
                <w:color w:val="auto"/>
              </w:rPr>
            </w:pPr>
            <w:r>
              <w:rPr>
                <w:rFonts w:ascii="Arial" w:cs="Arial" w:eastAsia="Arial" w:hAnsi="Arial"/>
                <w:sz w:val="14"/>
                <w:szCs w:val="14"/>
                <w:color w:val="auto"/>
                <w:w w:val="93"/>
              </w:rPr>
              <w:t>(Principal Financial Officer</w:t>
            </w:r>
          </w:p>
        </w:tc>
        <w:tc>
          <w:tcPr>
            <w:tcW w:w="1520" w:type="dxa"/>
            <w:vAlign w:val="bottom"/>
          </w:tcPr>
          <w:p>
            <w:pPr>
              <w:spacing w:after="0"/>
              <w:rPr>
                <w:sz w:val="14"/>
                <w:szCs w:val="14"/>
                <w:color w:val="auto"/>
              </w:rPr>
            </w:pPr>
          </w:p>
        </w:tc>
      </w:tr>
      <w:tr>
        <w:trPr>
          <w:trHeight w:val="175"/>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3"/>
              </w:rPr>
              <w:t>and Principal Accounting Officer)</w:t>
            </w:r>
          </w:p>
        </w:tc>
        <w:tc>
          <w:tcPr>
            <w:tcW w:w="1520" w:type="dxa"/>
            <w:vAlign w:val="bottom"/>
          </w:tcPr>
          <w:p>
            <w:pPr>
              <w:spacing w:after="0"/>
              <w:rPr>
                <w:sz w:val="15"/>
                <w:szCs w:val="15"/>
                <w:color w:val="auto"/>
              </w:rPr>
            </w:pPr>
          </w:p>
        </w:tc>
      </w:tr>
      <w:tr>
        <w:trPr>
          <w:trHeight w:val="498"/>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3"/>
              </w:rPr>
              <w:t>Director</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r>
        <w:trPr>
          <w:trHeight w:val="851"/>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3"/>
              </w:rPr>
              <w:t>Director</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r>
        <w:trPr>
          <w:trHeight w:val="851"/>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3"/>
              </w:rPr>
              <w:t>Director</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r>
        <w:trPr>
          <w:trHeight w:val="851"/>
        </w:trPr>
        <w:tc>
          <w:tcPr>
            <w:tcW w:w="3620" w:type="dxa"/>
            <w:vAlign w:val="bottom"/>
          </w:tcPr>
          <w:p>
            <w:pPr>
              <w:jc w:val="center"/>
              <w:ind w:right="691"/>
              <w:spacing w:after="0"/>
              <w:rPr>
                <w:sz w:val="20"/>
                <w:szCs w:val="20"/>
                <w:color w:val="auto"/>
              </w:rPr>
            </w:pPr>
            <w:r>
              <w:rPr>
                <w:rFonts w:ascii="Arial" w:cs="Arial" w:eastAsia="Arial" w:hAnsi="Arial"/>
                <w:sz w:val="14"/>
                <w:szCs w:val="14"/>
                <w:color w:val="auto"/>
                <w:w w:val="93"/>
              </w:rPr>
              <w:t>Director</w:t>
            </w:r>
          </w:p>
        </w:tc>
        <w:tc>
          <w:tcPr>
            <w:tcW w:w="1520" w:type="dxa"/>
            <w:vAlign w:val="bottom"/>
          </w:tcPr>
          <w:p>
            <w:pPr>
              <w:ind w:left="760"/>
              <w:spacing w:after="0"/>
              <w:rPr>
                <w:sz w:val="20"/>
                <w:szCs w:val="20"/>
                <w:color w:val="auto"/>
              </w:rPr>
            </w:pPr>
            <w:r>
              <w:rPr>
                <w:rFonts w:ascii="Arial" w:cs="Arial" w:eastAsia="Arial" w:hAnsi="Arial"/>
                <w:sz w:val="14"/>
                <w:szCs w:val="14"/>
                <w:color w:val="auto"/>
                <w:w w:val="88"/>
              </w:rPr>
              <w:t>July 13, 2012</w:t>
            </w:r>
          </w:p>
        </w:tc>
      </w:tr>
    </w:tbl>
    <w:p>
      <w:pPr>
        <w:spacing w:after="0" w:line="397" w:lineRule="exact"/>
        <w:rPr>
          <w:sz w:val="20"/>
          <w:szCs w:val="20"/>
          <w:color w:val="auto"/>
        </w:rPr>
      </w:pPr>
    </w:p>
    <w:p>
      <w:pPr>
        <w:sectPr>
          <w:pgSz w:w="11900" w:h="16838" w:orient="portrait"/>
          <w:cols w:equalWidth="0" w:num="2">
            <w:col w:w="5380" w:space="720"/>
            <w:col w:w="5360"/>
          </w:cols>
          <w:pgMar w:left="220" w:top="467" w:right="219" w:bottom="1440" w:gutter="0" w:footer="0" w:header="0"/>
          <w:type w:val="continuous"/>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8472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79"/>
        </w:trPr>
        <w:tc>
          <w:tcPr>
            <w:tcW w:w="880" w:type="dxa"/>
            <w:vAlign w:val="bottom"/>
          </w:tcPr>
          <w:p>
            <w:pPr>
              <w:spacing w:after="0"/>
              <w:rPr>
                <w:sz w:val="15"/>
                <w:szCs w:val="15"/>
                <w:color w:val="auto"/>
              </w:rPr>
            </w:pPr>
          </w:p>
        </w:tc>
        <w:tc>
          <w:tcPr>
            <w:tcW w:w="10580" w:type="dxa"/>
            <w:vAlign w:val="bottom"/>
          </w:tcPr>
          <w:p>
            <w:pPr>
              <w:ind w:left="4420"/>
              <w:spacing w:after="0"/>
              <w:rPr>
                <w:sz w:val="20"/>
                <w:szCs w:val="20"/>
                <w:color w:val="auto"/>
              </w:rPr>
            </w:pPr>
            <w:r>
              <w:rPr>
                <w:rFonts w:ascii="Arial" w:cs="Arial" w:eastAsia="Arial" w:hAnsi="Arial"/>
                <w:sz w:val="14"/>
                <w:szCs w:val="14"/>
                <w:b w:val="1"/>
                <w:bCs w:val="1"/>
                <w:color w:val="auto"/>
              </w:rPr>
              <w:t>Exhibits Index</w:t>
            </w:r>
          </w:p>
        </w:tc>
      </w:tr>
      <w:tr>
        <w:trPr>
          <w:trHeight w:val="539"/>
        </w:trPr>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10580" w:type="dxa"/>
            <w:vAlign w:val="bottom"/>
          </w:tcPr>
          <w:p>
            <w:pPr>
              <w:spacing w:after="0"/>
              <w:rPr>
                <w:sz w:val="24"/>
                <w:szCs w:val="24"/>
                <w:color w:val="auto"/>
              </w:rPr>
            </w:pPr>
          </w:p>
        </w:tc>
      </w:tr>
      <w:tr>
        <w:trPr>
          <w:trHeight w:val="332"/>
        </w:trPr>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0580" w:type="dxa"/>
            <w:vAlign w:val="bottom"/>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323"/>
        </w:trPr>
        <w:tc>
          <w:tcPr>
            <w:tcW w:w="880" w:type="dxa"/>
            <w:vAlign w:val="bottom"/>
          </w:tcPr>
          <w:p>
            <w:pPr>
              <w:ind w:left="420"/>
              <w:spacing w:after="0"/>
              <w:rPr>
                <w:sz w:val="20"/>
                <w:szCs w:val="20"/>
                <w:color w:val="auto"/>
              </w:rPr>
            </w:pPr>
            <w:r>
              <w:rPr>
                <w:rFonts w:ascii="Arial" w:cs="Arial" w:eastAsia="Arial" w:hAnsi="Arial"/>
                <w:sz w:val="14"/>
                <w:szCs w:val="14"/>
                <w:color w:val="auto"/>
              </w:rPr>
              <w:t>3.1</w:t>
            </w:r>
          </w:p>
        </w:tc>
        <w:tc>
          <w:tcPr>
            <w:tcW w:w="10580" w:type="dxa"/>
            <w:vAlign w:val="bottom"/>
          </w:tcPr>
          <w:p>
            <w:pPr>
              <w:ind w:left="200"/>
              <w:spacing w:after="0"/>
              <w:rPr>
                <w:sz w:val="20"/>
                <w:szCs w:val="20"/>
                <w:color w:val="auto"/>
              </w:rPr>
            </w:pPr>
            <w:r>
              <w:rPr>
                <w:rFonts w:ascii="Arial" w:cs="Arial" w:eastAsia="Arial" w:hAnsi="Arial"/>
                <w:sz w:val="14"/>
                <w:szCs w:val="14"/>
                <w:color w:val="auto"/>
              </w:rPr>
              <w:t>Restated Certificate of Incorporation of the registrant (incorporated by reference from Exhibit 3.1 to Form 10-Q filed September 14, 2007)</w:t>
            </w:r>
          </w:p>
        </w:tc>
      </w:tr>
      <w:tr>
        <w:trPr>
          <w:trHeight w:val="166"/>
        </w:trPr>
        <w:tc>
          <w:tcPr>
            <w:tcW w:w="880" w:type="dxa"/>
            <w:vAlign w:val="bottom"/>
          </w:tcPr>
          <w:p>
            <w:pPr>
              <w:ind w:left="420"/>
              <w:spacing w:after="0"/>
              <w:rPr>
                <w:sz w:val="20"/>
                <w:szCs w:val="20"/>
                <w:color w:val="auto"/>
              </w:rPr>
            </w:pPr>
            <w:r>
              <w:rPr>
                <w:rFonts w:ascii="Arial" w:cs="Arial" w:eastAsia="Arial" w:hAnsi="Arial"/>
                <w:sz w:val="14"/>
                <w:szCs w:val="14"/>
                <w:color w:val="auto"/>
              </w:rPr>
              <w:t>3.2</w:t>
            </w:r>
          </w:p>
        </w:tc>
        <w:tc>
          <w:tcPr>
            <w:tcW w:w="10580" w:type="dxa"/>
            <w:vAlign w:val="bottom"/>
          </w:tcPr>
          <w:p>
            <w:pPr>
              <w:ind w:left="200"/>
              <w:spacing w:after="0"/>
              <w:rPr>
                <w:sz w:val="20"/>
                <w:szCs w:val="20"/>
                <w:color w:val="auto"/>
              </w:rPr>
            </w:pPr>
            <w:r>
              <w:rPr>
                <w:rFonts w:ascii="Arial" w:cs="Arial" w:eastAsia="Arial" w:hAnsi="Arial"/>
                <w:sz w:val="14"/>
                <w:szCs w:val="14"/>
                <w:color w:val="auto"/>
              </w:rPr>
              <w:t>Amended and Restated Bylaws of the registrant (incorporated by reference from Exhibit 3.2 to Form 10-Q filed September 14, 2007)</w:t>
            </w:r>
          </w:p>
        </w:tc>
      </w:tr>
      <w:tr>
        <w:trPr>
          <w:trHeight w:val="166"/>
        </w:trPr>
        <w:tc>
          <w:tcPr>
            <w:tcW w:w="880" w:type="dxa"/>
            <w:vAlign w:val="bottom"/>
          </w:tcPr>
          <w:p>
            <w:pPr>
              <w:ind w:left="420"/>
              <w:spacing w:after="0"/>
              <w:rPr>
                <w:sz w:val="20"/>
                <w:szCs w:val="20"/>
                <w:color w:val="auto"/>
              </w:rPr>
            </w:pPr>
            <w:r>
              <w:rPr>
                <w:rFonts w:ascii="Arial" w:cs="Arial" w:eastAsia="Arial" w:hAnsi="Arial"/>
                <w:sz w:val="14"/>
                <w:szCs w:val="14"/>
                <w:color w:val="auto"/>
              </w:rPr>
              <w:t>4.1</w:t>
            </w:r>
          </w:p>
        </w:tc>
        <w:tc>
          <w:tcPr>
            <w:tcW w:w="10580" w:type="dxa"/>
            <w:vAlign w:val="bottom"/>
          </w:tcPr>
          <w:p>
            <w:pPr>
              <w:ind w:left="200"/>
              <w:spacing w:after="0"/>
              <w:rPr>
                <w:sz w:val="20"/>
                <w:szCs w:val="20"/>
                <w:color w:val="auto"/>
              </w:rPr>
            </w:pPr>
            <w:r>
              <w:rPr>
                <w:rFonts w:ascii="Arial" w:cs="Arial" w:eastAsia="Arial" w:hAnsi="Arial"/>
                <w:sz w:val="14"/>
                <w:szCs w:val="14"/>
                <w:color w:val="auto"/>
              </w:rPr>
              <w:t>Specimen certificate of common stock (incorporated by reference from Exhibit 4.1 to Form S-1/A filed March 19, 2007)</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10.1</w:t>
            </w:r>
          </w:p>
        </w:tc>
        <w:tc>
          <w:tcPr>
            <w:tcW w:w="10580" w:type="dxa"/>
            <w:vAlign w:val="bottom"/>
          </w:tcPr>
          <w:p>
            <w:pPr>
              <w:ind w:left="200"/>
              <w:spacing w:after="0"/>
              <w:rPr>
                <w:sz w:val="20"/>
                <w:szCs w:val="20"/>
                <w:color w:val="auto"/>
              </w:rPr>
            </w:pPr>
            <w:r>
              <w:rPr>
                <w:rFonts w:ascii="Arial" w:cs="Arial" w:eastAsia="Arial" w:hAnsi="Arial"/>
                <w:sz w:val="14"/>
                <w:szCs w:val="14"/>
                <w:color w:val="auto"/>
                <w:w w:val="93"/>
              </w:rPr>
              <w:t>Engineering, Procurement and Construction of a Wave Energy Power Plant at "Punta del Pescador" (Santoña, Spain), dated July 27, 2006, between Iberdrola Energias Marinas de</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Cantabria, S.A. and Ocean Power Technologies Limited (incorporated by reference from Exhibit 10.1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10.2</w:t>
            </w:r>
          </w:p>
        </w:tc>
        <w:tc>
          <w:tcPr>
            <w:tcW w:w="10580" w:type="dxa"/>
            <w:vAlign w:val="bottom"/>
          </w:tcPr>
          <w:p>
            <w:pPr>
              <w:ind w:left="200"/>
              <w:spacing w:after="0"/>
              <w:rPr>
                <w:sz w:val="20"/>
                <w:szCs w:val="20"/>
                <w:color w:val="auto"/>
              </w:rPr>
            </w:pPr>
            <w:r>
              <w:rPr>
                <w:rFonts w:ascii="Arial" w:cs="Arial" w:eastAsia="Arial" w:hAnsi="Arial"/>
                <w:sz w:val="14"/>
                <w:szCs w:val="14"/>
                <w:color w:val="auto"/>
                <w:w w:val="90"/>
              </w:rPr>
              <w:t>Option Agreement for Purchase of Emissions Credits, dated November 24, 2000 between Ocean Power Technologies, Inc. and its affiliates and Woodside Sustainable Energy Solutions</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Pty. Ltd. (incorporated by reference from Exhibit 10.4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10.3</w:t>
            </w:r>
          </w:p>
        </w:tc>
        <w:tc>
          <w:tcPr>
            <w:tcW w:w="10580" w:type="dxa"/>
            <w:vAlign w:val="bottom"/>
          </w:tcPr>
          <w:p>
            <w:pPr>
              <w:ind w:left="200"/>
              <w:spacing w:after="0"/>
              <w:rPr>
                <w:sz w:val="20"/>
                <w:szCs w:val="20"/>
                <w:color w:val="auto"/>
              </w:rPr>
            </w:pPr>
            <w:r>
              <w:rPr>
                <w:rFonts w:ascii="Arial" w:cs="Arial" w:eastAsia="Arial" w:hAnsi="Arial"/>
                <w:sz w:val="14"/>
                <w:szCs w:val="14"/>
                <w:color w:val="auto"/>
              </w:rPr>
              <w:t>1994 Stock Option Plan (incorporated by reference from Exhibit 10.5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10.4</w:t>
            </w:r>
          </w:p>
        </w:tc>
        <w:tc>
          <w:tcPr>
            <w:tcW w:w="10580" w:type="dxa"/>
            <w:vAlign w:val="bottom"/>
          </w:tcPr>
          <w:p>
            <w:pPr>
              <w:ind w:left="200"/>
              <w:spacing w:after="0"/>
              <w:rPr>
                <w:sz w:val="20"/>
                <w:szCs w:val="20"/>
                <w:color w:val="auto"/>
              </w:rPr>
            </w:pPr>
            <w:r>
              <w:rPr>
                <w:rFonts w:ascii="Arial" w:cs="Arial" w:eastAsia="Arial" w:hAnsi="Arial"/>
                <w:sz w:val="14"/>
                <w:szCs w:val="14"/>
                <w:color w:val="auto"/>
              </w:rPr>
              <w:t>Incentive Stock Option Plan (incorporated by reference from Exhibit 10.6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10.5</w:t>
            </w:r>
          </w:p>
        </w:tc>
        <w:tc>
          <w:tcPr>
            <w:tcW w:w="10580" w:type="dxa"/>
            <w:vAlign w:val="bottom"/>
          </w:tcPr>
          <w:p>
            <w:pPr>
              <w:ind w:left="200"/>
              <w:spacing w:after="0"/>
              <w:rPr>
                <w:sz w:val="20"/>
                <w:szCs w:val="20"/>
                <w:color w:val="auto"/>
              </w:rPr>
            </w:pPr>
            <w:r>
              <w:rPr>
                <w:rFonts w:ascii="Arial" w:cs="Arial" w:eastAsia="Arial" w:hAnsi="Arial"/>
                <w:sz w:val="14"/>
                <w:szCs w:val="14"/>
                <w:color w:val="auto"/>
              </w:rPr>
              <w:t>2001 Stock Plan (incorporated by reference from Exhibit 10.7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10.6</w:t>
            </w:r>
          </w:p>
        </w:tc>
        <w:tc>
          <w:tcPr>
            <w:tcW w:w="10580" w:type="dxa"/>
            <w:vAlign w:val="bottom"/>
          </w:tcPr>
          <w:p>
            <w:pPr>
              <w:ind w:left="200"/>
              <w:spacing w:after="0"/>
              <w:rPr>
                <w:sz w:val="20"/>
                <w:szCs w:val="20"/>
                <w:color w:val="auto"/>
              </w:rPr>
            </w:pPr>
            <w:r>
              <w:rPr>
                <w:rFonts w:ascii="Arial" w:cs="Arial" w:eastAsia="Arial" w:hAnsi="Arial"/>
                <w:sz w:val="14"/>
                <w:szCs w:val="14"/>
                <w:color w:val="auto"/>
              </w:rPr>
              <w:t>2006 Stock Incentive Plan (incorporated by reference from Exhibit 10.8 to Form S-1/A filed March 19, 2007)*</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10.7</w:t>
            </w:r>
          </w:p>
        </w:tc>
        <w:tc>
          <w:tcPr>
            <w:tcW w:w="10580" w:type="dxa"/>
            <w:vAlign w:val="bottom"/>
          </w:tcPr>
          <w:p>
            <w:pPr>
              <w:ind w:left="200"/>
              <w:spacing w:after="0"/>
              <w:rPr>
                <w:sz w:val="20"/>
                <w:szCs w:val="20"/>
                <w:color w:val="auto"/>
              </w:rPr>
            </w:pPr>
            <w:r>
              <w:rPr>
                <w:rFonts w:ascii="Arial" w:cs="Arial" w:eastAsia="Arial" w:hAnsi="Arial"/>
                <w:sz w:val="14"/>
                <w:szCs w:val="14"/>
                <w:color w:val="auto"/>
                <w:w w:val="95"/>
              </w:rPr>
              <w:t>Amended and Restated Voting and Right of First Refusal Agreement, dated April 18, 2005, between Ocean Power Technologies, Inc., George W. Taylor and JoAnne E. Burns</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(incorporated by reference from Exhibit 10.9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10.8</w:t>
            </w:r>
          </w:p>
        </w:tc>
        <w:tc>
          <w:tcPr>
            <w:tcW w:w="10580" w:type="dxa"/>
            <w:vAlign w:val="bottom"/>
          </w:tcPr>
          <w:p>
            <w:pPr>
              <w:ind w:left="200"/>
              <w:spacing w:after="0"/>
              <w:rPr>
                <w:sz w:val="20"/>
                <w:szCs w:val="20"/>
                <w:color w:val="auto"/>
              </w:rPr>
            </w:pPr>
            <w:r>
              <w:rPr>
                <w:rFonts w:ascii="Arial" w:cs="Arial" w:eastAsia="Arial" w:hAnsi="Arial"/>
                <w:sz w:val="14"/>
                <w:szCs w:val="14"/>
                <w:color w:val="auto"/>
                <w:w w:val="89"/>
              </w:rPr>
              <w:t>Agreement to Refinance, dated November 14, 1993 between Joseph R. Burns, Michael Y. Epstein, George W. Taylor and Ocean Power Technologies, Inc. (incorporated by reference from</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Exhibit 10.10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10.9</w:t>
            </w:r>
          </w:p>
        </w:tc>
        <w:tc>
          <w:tcPr>
            <w:tcW w:w="10580" w:type="dxa"/>
            <w:vAlign w:val="bottom"/>
          </w:tcPr>
          <w:p>
            <w:pPr>
              <w:ind w:left="200"/>
              <w:spacing w:after="0"/>
              <w:rPr>
                <w:sz w:val="20"/>
                <w:szCs w:val="20"/>
                <w:color w:val="auto"/>
              </w:rPr>
            </w:pPr>
            <w:r>
              <w:rPr>
                <w:rFonts w:ascii="Arial" w:cs="Arial" w:eastAsia="Arial" w:hAnsi="Arial"/>
                <w:sz w:val="14"/>
                <w:szCs w:val="14"/>
                <w:color w:val="auto"/>
                <w:w w:val="90"/>
              </w:rPr>
              <w:t>Amended and Restated Employment Agreement, dated April 8, 2009, between Charles F. Dunleavy and Ocean Power Technologies, Inc. (incorporated by reference from Exhibit 10.2 to</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Form 8-K filed April 13, 2009)*</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10.10</w:t>
            </w:r>
          </w:p>
        </w:tc>
        <w:tc>
          <w:tcPr>
            <w:tcW w:w="10580" w:type="dxa"/>
            <w:vAlign w:val="bottom"/>
          </w:tcPr>
          <w:p>
            <w:pPr>
              <w:ind w:left="200"/>
              <w:spacing w:after="0"/>
              <w:rPr>
                <w:sz w:val="20"/>
                <w:szCs w:val="20"/>
                <w:color w:val="auto"/>
              </w:rPr>
            </w:pPr>
            <w:r>
              <w:rPr>
                <w:rFonts w:ascii="Arial" w:cs="Arial" w:eastAsia="Arial" w:hAnsi="Arial"/>
                <w:sz w:val="14"/>
                <w:szCs w:val="14"/>
                <w:color w:val="auto"/>
                <w:w w:val="91"/>
              </w:rPr>
              <w:t>Amended and Restated Employment Agreement, dated April 8, 2009, between George W. Taylor and Ocean Power Technologies, Inc. (incorporated by reference from Exhibit 10.1 to</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Form 8-K filed April 13, 2009)*</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10.11</w:t>
            </w:r>
          </w:p>
        </w:tc>
        <w:tc>
          <w:tcPr>
            <w:tcW w:w="10580" w:type="dxa"/>
            <w:vAlign w:val="bottom"/>
          </w:tcPr>
          <w:p>
            <w:pPr>
              <w:ind w:left="200"/>
              <w:spacing w:after="0"/>
              <w:rPr>
                <w:sz w:val="20"/>
                <w:szCs w:val="20"/>
                <w:color w:val="auto"/>
              </w:rPr>
            </w:pPr>
            <w:r>
              <w:rPr>
                <w:rFonts w:ascii="Arial" w:cs="Arial" w:eastAsia="Arial" w:hAnsi="Arial"/>
                <w:sz w:val="14"/>
                <w:szCs w:val="14"/>
                <w:color w:val="auto"/>
                <w:w w:val="95"/>
              </w:rPr>
              <w:t>Consultant Agreement, dated August 1, 1999, between Thomas J. Meaney and Ocean Power Technologies, Inc. (incorporated by reference from Exhibit 10.13 to Form S-1 filed</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10.12</w:t>
            </w:r>
          </w:p>
        </w:tc>
        <w:tc>
          <w:tcPr>
            <w:tcW w:w="10580" w:type="dxa"/>
            <w:vAlign w:val="bottom"/>
          </w:tcPr>
          <w:p>
            <w:pPr>
              <w:ind w:left="200"/>
              <w:spacing w:after="0"/>
              <w:rPr>
                <w:sz w:val="20"/>
                <w:szCs w:val="20"/>
                <w:color w:val="auto"/>
              </w:rPr>
            </w:pPr>
            <w:r>
              <w:rPr>
                <w:rFonts w:ascii="Arial" w:cs="Arial" w:eastAsia="Arial" w:hAnsi="Arial"/>
                <w:sz w:val="14"/>
                <w:szCs w:val="14"/>
                <w:color w:val="auto"/>
                <w:w w:val="90"/>
              </w:rPr>
              <w:t>Lease Agreement, dated August 30, 2005 between Ocean Power Technologies, Inc. and Reed Road Industrial Park LLC #1, as amended on January 27, 2006 (incorporated by reference</w:t>
            </w:r>
          </w:p>
        </w:tc>
      </w:tr>
      <w:tr>
        <w:trPr>
          <w:trHeight w:val="166"/>
        </w:trPr>
        <w:tc>
          <w:tcPr>
            <w:tcW w:w="880" w:type="dxa"/>
            <w:vAlign w:val="bottom"/>
          </w:tcPr>
          <w:p>
            <w:pPr>
              <w:spacing w:after="0"/>
              <w:rPr>
                <w:sz w:val="14"/>
                <w:szCs w:val="14"/>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from Exhibit 10.16 to Form S-1 filed November 13, 2006)</w:t>
            </w:r>
          </w:p>
        </w:tc>
      </w:tr>
      <w:tr>
        <w:trPr>
          <w:trHeight w:val="166"/>
        </w:trPr>
        <w:tc>
          <w:tcPr>
            <w:tcW w:w="880" w:type="dxa"/>
            <w:vAlign w:val="bottom"/>
          </w:tcPr>
          <w:p>
            <w:pPr>
              <w:ind w:left="340"/>
              <w:spacing w:after="0"/>
              <w:rPr>
                <w:sz w:val="20"/>
                <w:szCs w:val="20"/>
                <w:color w:val="auto"/>
              </w:rPr>
            </w:pPr>
            <w:r>
              <w:rPr>
                <w:rFonts w:ascii="Arial" w:cs="Arial" w:eastAsia="Arial" w:hAnsi="Arial"/>
                <w:sz w:val="14"/>
                <w:szCs w:val="14"/>
                <w:color w:val="auto"/>
              </w:rPr>
              <w:t>10.13</w:t>
            </w:r>
          </w:p>
        </w:tc>
        <w:tc>
          <w:tcPr>
            <w:tcW w:w="10580" w:type="dxa"/>
            <w:vAlign w:val="bottom"/>
          </w:tcPr>
          <w:p>
            <w:pPr>
              <w:ind w:left="200"/>
              <w:spacing w:after="0"/>
              <w:rPr>
                <w:sz w:val="20"/>
                <w:szCs w:val="20"/>
                <w:color w:val="auto"/>
              </w:rPr>
            </w:pPr>
            <w:r>
              <w:rPr>
                <w:rFonts w:ascii="Arial" w:cs="Arial" w:eastAsia="Arial" w:hAnsi="Arial"/>
                <w:sz w:val="14"/>
                <w:szCs w:val="14"/>
                <w:color w:val="auto"/>
                <w:w w:val="96"/>
              </w:rPr>
              <w:t>Lease, dated January 15, 2007, between University of Warwick Science Park Innovation Centre Limited and Ocean Power Technologies Ltd. (incorporated by reference from</w:t>
            </w:r>
          </w:p>
        </w:tc>
      </w:tr>
      <w:tr>
        <w:trPr>
          <w:trHeight w:val="175"/>
        </w:trPr>
        <w:tc>
          <w:tcPr>
            <w:tcW w:w="880" w:type="dxa"/>
            <w:vAlign w:val="bottom"/>
          </w:tcPr>
          <w:p>
            <w:pPr>
              <w:spacing w:after="0"/>
              <w:rPr>
                <w:sz w:val="15"/>
                <w:szCs w:val="15"/>
                <w:color w:val="auto"/>
              </w:rPr>
            </w:pPr>
          </w:p>
        </w:tc>
        <w:tc>
          <w:tcPr>
            <w:tcW w:w="10580" w:type="dxa"/>
            <w:vAlign w:val="bottom"/>
          </w:tcPr>
          <w:p>
            <w:pPr>
              <w:ind w:left="200"/>
              <w:spacing w:after="0"/>
              <w:rPr>
                <w:sz w:val="20"/>
                <w:szCs w:val="20"/>
                <w:color w:val="auto"/>
              </w:rPr>
            </w:pPr>
            <w:r>
              <w:rPr>
                <w:rFonts w:ascii="Arial" w:cs="Arial" w:eastAsia="Arial" w:hAnsi="Arial"/>
                <w:sz w:val="14"/>
                <w:szCs w:val="14"/>
                <w:color w:val="auto"/>
              </w:rPr>
              <w:t>Exhibit 10.17 to Form S-1/A filed March 19, 2007)</w:t>
            </w:r>
          </w:p>
        </w:tc>
      </w:tr>
      <w:tr>
        <w:trPr>
          <w:trHeight w:val="508"/>
        </w:trPr>
        <w:tc>
          <w:tcPr>
            <w:tcW w:w="88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4"/>
                <w:szCs w:val="14"/>
                <w:color w:val="auto"/>
              </w:rPr>
              <w:t>45</w:t>
            </w:r>
          </w:p>
        </w:tc>
      </w:tr>
      <w:tr>
        <w:trPr>
          <w:trHeight w:val="90"/>
        </w:trPr>
        <w:tc>
          <w:tcPr>
            <w:tcW w:w="880" w:type="dxa"/>
            <w:vAlign w:val="bottom"/>
            <w:tcBorders>
              <w:bottom w:val="single" w:sz="8" w:color="808080"/>
            </w:tcBorders>
          </w:tcPr>
          <w:p>
            <w:pPr>
              <w:spacing w:after="0"/>
              <w:rPr>
                <w:sz w:val="7"/>
                <w:szCs w:val="7"/>
                <w:color w:val="auto"/>
              </w:rPr>
            </w:pPr>
          </w:p>
        </w:tc>
        <w:tc>
          <w:tcPr>
            <w:tcW w:w="105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45" w:name="page46"/>
    <w:bookmarkEnd w:id="45"/>
    <w:tbl>
      <w:tblPr>
        <w:tblLayout w:type="fixed"/>
        <w:tblInd w:w="220" w:type="dxa"/>
        <w:tblCellMar>
          <w:top w:w="0" w:type="dxa"/>
          <w:left w:w="0" w:type="dxa"/>
          <w:bottom w:w="0" w:type="dxa"/>
          <w:right w:w="0" w:type="dxa"/>
        </w:tblCellMar>
      </w:tblPr>
      <w:tr>
        <w:trPr>
          <w:trHeight w:val="179"/>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10480" w:type="dxa"/>
            <w:vAlign w:val="bottom"/>
          </w:tcPr>
          <w:p>
            <w:pPr>
              <w:spacing w:after="0"/>
              <w:rPr>
                <w:sz w:val="15"/>
                <w:szCs w:val="15"/>
                <w:color w:val="auto"/>
              </w:rPr>
            </w:pPr>
          </w:p>
        </w:tc>
      </w:tr>
      <w:tr>
        <w:trPr>
          <w:trHeight w:val="332"/>
        </w:trPr>
        <w:tc>
          <w:tcPr>
            <w:tcW w:w="7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0480" w:type="dxa"/>
            <w:vAlign w:val="bottom"/>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323"/>
        </w:trPr>
        <w:tc>
          <w:tcPr>
            <w:tcW w:w="760" w:type="dxa"/>
            <w:vAlign w:val="bottom"/>
          </w:tcPr>
          <w:p>
            <w:pPr>
              <w:ind w:left="240"/>
              <w:spacing w:after="0"/>
              <w:rPr>
                <w:sz w:val="20"/>
                <w:szCs w:val="20"/>
                <w:color w:val="auto"/>
              </w:rPr>
            </w:pPr>
            <w:r>
              <w:rPr>
                <w:rFonts w:ascii="Arial" w:cs="Arial" w:eastAsia="Arial" w:hAnsi="Arial"/>
                <w:sz w:val="14"/>
                <w:szCs w:val="14"/>
                <w:color w:val="auto"/>
              </w:rPr>
              <w:t>10.14</w:t>
            </w:r>
          </w:p>
        </w:tc>
        <w:tc>
          <w:tcPr>
            <w:tcW w:w="10480" w:type="dxa"/>
            <w:vAlign w:val="bottom"/>
          </w:tcPr>
          <w:p>
            <w:pPr>
              <w:ind w:left="200"/>
              <w:spacing w:after="0"/>
              <w:rPr>
                <w:sz w:val="20"/>
                <w:szCs w:val="20"/>
                <w:color w:val="auto"/>
              </w:rPr>
            </w:pPr>
            <w:r>
              <w:rPr>
                <w:rFonts w:ascii="Arial" w:cs="Arial" w:eastAsia="Arial" w:hAnsi="Arial"/>
                <w:sz w:val="14"/>
                <w:szCs w:val="14"/>
                <w:color w:val="auto"/>
                <w:w w:val="89"/>
              </w:rPr>
              <w:t>Agreement for Renewable Energy Economic Development Grants, dated November 3, 2003, between State of New Jersey Board of Public Utilities and Ocean Power Technologies, Inc.</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(incorporated by reference from Exhibit 10.18 to Form S-1/A filed March 19, 2007)</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10.15</w:t>
            </w:r>
          </w:p>
        </w:tc>
        <w:tc>
          <w:tcPr>
            <w:tcW w:w="10480" w:type="dxa"/>
            <w:vAlign w:val="bottom"/>
          </w:tcPr>
          <w:p>
            <w:pPr>
              <w:ind w:left="200"/>
              <w:spacing w:after="0"/>
              <w:rPr>
                <w:sz w:val="20"/>
                <w:szCs w:val="20"/>
                <w:color w:val="auto"/>
              </w:rPr>
            </w:pPr>
            <w:r>
              <w:rPr>
                <w:rFonts w:ascii="Arial" w:cs="Arial" w:eastAsia="Arial" w:hAnsi="Arial"/>
                <w:sz w:val="14"/>
                <w:szCs w:val="14"/>
                <w:color w:val="auto"/>
                <w:w w:val="89"/>
              </w:rPr>
              <w:t>Contract Number DM259735, dated September 17, 2005 between Lockheed Martin Corporation Maritime Systems and Sensors (MS2) and Ocean Power Technologies, Inc., as modified</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(incorporated by reference from Exhibit 10.20 to Form S-1/A filed March 19, 2007)</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10.16</w:t>
            </w:r>
          </w:p>
        </w:tc>
        <w:tc>
          <w:tcPr>
            <w:tcW w:w="10480" w:type="dxa"/>
            <w:vAlign w:val="bottom"/>
          </w:tcPr>
          <w:p>
            <w:pPr>
              <w:ind w:left="200"/>
              <w:spacing w:after="0"/>
              <w:rPr>
                <w:sz w:val="20"/>
                <w:szCs w:val="20"/>
                <w:color w:val="auto"/>
              </w:rPr>
            </w:pPr>
            <w:r>
              <w:rPr>
                <w:rFonts w:ascii="Arial" w:cs="Arial" w:eastAsia="Arial" w:hAnsi="Arial"/>
                <w:sz w:val="14"/>
                <w:szCs w:val="14"/>
                <w:color w:val="auto"/>
                <w:w w:val="91"/>
              </w:rPr>
              <w:t>Marketing Cooperation Agreement, dated September 9, 2006, between Ocean Power Technologies, Inc. and Lockheed Martin Corporation through its Maritime Systems and Sensors</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business unit (incorporated by reference from Exhibit 10.21 to Form S-1/A filed April 10, 2007)</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10.17</w:t>
            </w:r>
          </w:p>
        </w:tc>
        <w:tc>
          <w:tcPr>
            <w:tcW w:w="10480" w:type="dxa"/>
            <w:vAlign w:val="bottom"/>
          </w:tcPr>
          <w:p>
            <w:pPr>
              <w:ind w:left="200"/>
              <w:spacing w:after="0"/>
              <w:rPr>
                <w:sz w:val="20"/>
                <w:szCs w:val="20"/>
                <w:color w:val="auto"/>
              </w:rPr>
            </w:pPr>
            <w:r>
              <w:rPr>
                <w:rFonts w:ascii="Arial" w:cs="Arial" w:eastAsia="Arial" w:hAnsi="Arial"/>
                <w:sz w:val="14"/>
                <w:szCs w:val="14"/>
                <w:color w:val="auto"/>
                <w:w w:val="92"/>
              </w:rPr>
              <w:t>Contract Number N00014-07-C-0617, dated May 24, 2007, between the Office of Naval Research, U.S. Navy and Ocean Power Technologies, Inc. (incorporated by reference from</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Exhibit 99.1 to Form 8-K filed June 8, 2007)</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10.18</w:t>
            </w:r>
          </w:p>
        </w:tc>
        <w:tc>
          <w:tcPr>
            <w:tcW w:w="10480" w:type="dxa"/>
            <w:vAlign w:val="bottom"/>
          </w:tcPr>
          <w:p>
            <w:pPr>
              <w:ind w:left="200"/>
              <w:spacing w:after="0"/>
              <w:rPr>
                <w:sz w:val="20"/>
                <w:szCs w:val="20"/>
                <w:color w:val="auto"/>
              </w:rPr>
            </w:pPr>
            <w:r>
              <w:rPr>
                <w:rFonts w:ascii="Arial" w:cs="Arial" w:eastAsia="Arial" w:hAnsi="Arial"/>
                <w:sz w:val="14"/>
                <w:szCs w:val="14"/>
                <w:color w:val="auto"/>
                <w:w w:val="90"/>
              </w:rPr>
              <w:t>Addendum to the Agreement for the Engineering, Procurement and Construction of a Wave Energy Power Plant at "Punta del Pescador" (Santoña, Spain), between Iberdrola Energias</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w w:val="95"/>
              </w:rPr>
              <w:t>Marinas de Cantabria, S.A. and Ocean Power Technologies Limited, dated February 18, 2008 (incorporated by reference from Exhibit 10.27 to Form 10-K filed July 14, 2008)</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10.19</w:t>
            </w:r>
          </w:p>
        </w:tc>
        <w:tc>
          <w:tcPr>
            <w:tcW w:w="10480" w:type="dxa"/>
            <w:vAlign w:val="bottom"/>
          </w:tcPr>
          <w:p>
            <w:pPr>
              <w:ind w:left="200"/>
              <w:spacing w:after="0"/>
              <w:rPr>
                <w:sz w:val="20"/>
                <w:szCs w:val="20"/>
                <w:color w:val="auto"/>
              </w:rPr>
            </w:pPr>
            <w:r>
              <w:rPr>
                <w:rFonts w:ascii="Arial" w:cs="Arial" w:eastAsia="Arial" w:hAnsi="Arial"/>
                <w:sz w:val="14"/>
                <w:szCs w:val="14"/>
                <w:color w:val="auto"/>
                <w:w w:val="91"/>
              </w:rPr>
              <w:t>Lease, dated February 1, 2008, between KUC Properties Limited and Ocean Power Technologies Ltd. (incorporated by reference from Exhibit 10.28 to Form 10-K filed July 14, 2008)</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10.20</w:t>
            </w:r>
          </w:p>
        </w:tc>
        <w:tc>
          <w:tcPr>
            <w:tcW w:w="10480" w:type="dxa"/>
            <w:vAlign w:val="bottom"/>
          </w:tcPr>
          <w:p>
            <w:pPr>
              <w:ind w:left="200"/>
              <w:spacing w:after="0"/>
              <w:rPr>
                <w:sz w:val="20"/>
                <w:szCs w:val="20"/>
                <w:color w:val="auto"/>
              </w:rPr>
            </w:pPr>
            <w:r>
              <w:rPr>
                <w:rFonts w:ascii="Arial" w:cs="Arial" w:eastAsia="Arial" w:hAnsi="Arial"/>
                <w:sz w:val="14"/>
                <w:szCs w:val="14"/>
                <w:color w:val="auto"/>
                <w:w w:val="89"/>
              </w:rPr>
              <w:t>Financial Assistance Award agreement between Ocean Power Technologies, Inc. and US Department of Energy date September 23, 2008 (incorporated by reference from Exhibit 10.1 to</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Form 10-Q filed December 10, 2008)+</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10.21</w:t>
            </w:r>
          </w:p>
        </w:tc>
        <w:tc>
          <w:tcPr>
            <w:tcW w:w="10480" w:type="dxa"/>
            <w:vAlign w:val="bottom"/>
          </w:tcPr>
          <w:p>
            <w:pPr>
              <w:ind w:left="200"/>
              <w:spacing w:after="0"/>
              <w:rPr>
                <w:sz w:val="20"/>
                <w:szCs w:val="20"/>
                <w:color w:val="auto"/>
              </w:rPr>
            </w:pPr>
            <w:r>
              <w:rPr>
                <w:rFonts w:ascii="Arial" w:cs="Arial" w:eastAsia="Arial" w:hAnsi="Arial"/>
                <w:sz w:val="14"/>
                <w:szCs w:val="14"/>
                <w:color w:val="auto"/>
                <w:w w:val="89"/>
              </w:rPr>
              <w:t>Modification of Financial Assistance Award agreement between Ocean Power Technologies, Inc. and US Department of Energy dated October 16, 2008 (incorporated by reference from</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Exhibit 10.2 to Form 10-Q filed December 10, 2008)+</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10.22</w:t>
            </w:r>
          </w:p>
        </w:tc>
        <w:tc>
          <w:tcPr>
            <w:tcW w:w="10480" w:type="dxa"/>
            <w:vAlign w:val="bottom"/>
          </w:tcPr>
          <w:p>
            <w:pPr>
              <w:ind w:left="200"/>
              <w:spacing w:after="0"/>
              <w:rPr>
                <w:sz w:val="20"/>
                <w:szCs w:val="20"/>
                <w:color w:val="auto"/>
              </w:rPr>
            </w:pPr>
            <w:r>
              <w:rPr>
                <w:rFonts w:ascii="Arial" w:cs="Arial" w:eastAsia="Arial" w:hAnsi="Arial"/>
                <w:sz w:val="14"/>
                <w:szCs w:val="14"/>
                <w:color w:val="auto"/>
                <w:w w:val="89"/>
              </w:rPr>
              <w:t>Agreement between Ocean Power Technologies, Inc. and the Office of Naval Research of the US Navy dated October 31, 2008 (incorporated by reference from Exhibit 10.3 to Form 10-</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Q filed December 10, 2008)</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10.23</w:t>
            </w:r>
          </w:p>
        </w:tc>
        <w:tc>
          <w:tcPr>
            <w:tcW w:w="10480" w:type="dxa"/>
            <w:vAlign w:val="bottom"/>
          </w:tcPr>
          <w:p>
            <w:pPr>
              <w:ind w:left="200"/>
              <w:spacing w:after="0"/>
              <w:rPr>
                <w:sz w:val="20"/>
                <w:szCs w:val="20"/>
                <w:color w:val="auto"/>
              </w:rPr>
            </w:pPr>
            <w:r>
              <w:rPr>
                <w:rFonts w:ascii="Arial" w:cs="Arial" w:eastAsia="Arial" w:hAnsi="Arial"/>
                <w:sz w:val="14"/>
                <w:szCs w:val="14"/>
                <w:color w:val="auto"/>
                <w:w w:val="90"/>
              </w:rPr>
              <w:t>Employment Agreement, dated May 19, 2010, between Brian M. Posner and Ocean Power Technologies, Inc. (incorporated by reference from Exhibit 10.28 to Form 10-K filed July 14,</w:t>
            </w:r>
          </w:p>
        </w:tc>
      </w:tr>
      <w:tr>
        <w:trPr>
          <w:trHeight w:val="166"/>
        </w:trPr>
        <w:tc>
          <w:tcPr>
            <w:tcW w:w="760" w:type="dxa"/>
            <w:vAlign w:val="bottom"/>
          </w:tcPr>
          <w:p>
            <w:pPr>
              <w:spacing w:after="0"/>
              <w:rPr>
                <w:sz w:val="14"/>
                <w:szCs w:val="14"/>
                <w:color w:val="auto"/>
              </w:rPr>
            </w:pPr>
          </w:p>
        </w:tc>
        <w:tc>
          <w:tcPr>
            <w:tcW w:w="10480" w:type="dxa"/>
            <w:vAlign w:val="bottom"/>
          </w:tcPr>
          <w:p>
            <w:pPr>
              <w:ind w:left="200"/>
              <w:spacing w:after="0"/>
              <w:rPr>
                <w:sz w:val="20"/>
                <w:szCs w:val="20"/>
                <w:color w:val="auto"/>
              </w:rPr>
            </w:pPr>
            <w:r>
              <w:rPr>
                <w:rFonts w:ascii="Arial" w:cs="Arial" w:eastAsia="Arial" w:hAnsi="Arial"/>
                <w:sz w:val="14"/>
                <w:szCs w:val="14"/>
                <w:color w:val="auto"/>
              </w:rPr>
              <w:t>2010)*</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10.24</w:t>
            </w:r>
          </w:p>
        </w:tc>
        <w:tc>
          <w:tcPr>
            <w:tcW w:w="10480" w:type="dxa"/>
            <w:vAlign w:val="bottom"/>
          </w:tcPr>
          <w:p>
            <w:pPr>
              <w:ind w:left="200"/>
              <w:spacing w:after="0"/>
              <w:rPr>
                <w:sz w:val="20"/>
                <w:szCs w:val="20"/>
                <w:color w:val="auto"/>
              </w:rPr>
            </w:pPr>
            <w:r>
              <w:rPr>
                <w:rFonts w:ascii="Arial" w:cs="Arial" w:eastAsia="Arial" w:hAnsi="Arial"/>
                <w:sz w:val="14"/>
                <w:szCs w:val="14"/>
                <w:color w:val="auto"/>
              </w:rPr>
              <w:t>Form of Restricted Stock Agreement (incorporated by reference from Exhibit 10.1 to Form 10-Q filed March 14, 2011)*</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21.1</w:t>
            </w:r>
          </w:p>
        </w:tc>
        <w:tc>
          <w:tcPr>
            <w:tcW w:w="10480" w:type="dxa"/>
            <w:vAlign w:val="bottom"/>
          </w:tcPr>
          <w:p>
            <w:pPr>
              <w:ind w:left="200"/>
              <w:spacing w:after="0"/>
              <w:rPr>
                <w:sz w:val="20"/>
                <w:szCs w:val="20"/>
                <w:color w:val="auto"/>
              </w:rPr>
            </w:pPr>
            <w:r>
              <w:rPr>
                <w:rFonts w:ascii="Arial" w:cs="Arial" w:eastAsia="Arial" w:hAnsi="Arial"/>
                <w:sz w:val="14"/>
                <w:szCs w:val="14"/>
                <w:color w:val="auto"/>
              </w:rPr>
              <w:t>Subsidiaries of the registrant</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23.1</w:t>
            </w:r>
          </w:p>
        </w:tc>
        <w:tc>
          <w:tcPr>
            <w:tcW w:w="10480" w:type="dxa"/>
            <w:vAlign w:val="bottom"/>
          </w:tcPr>
          <w:p>
            <w:pPr>
              <w:ind w:left="200"/>
              <w:spacing w:after="0"/>
              <w:rPr>
                <w:sz w:val="20"/>
                <w:szCs w:val="20"/>
                <w:color w:val="auto"/>
              </w:rPr>
            </w:pPr>
            <w:r>
              <w:rPr>
                <w:rFonts w:ascii="Arial" w:cs="Arial" w:eastAsia="Arial" w:hAnsi="Arial"/>
                <w:sz w:val="14"/>
                <w:szCs w:val="14"/>
                <w:color w:val="auto"/>
              </w:rPr>
              <w:t>Consent of KPMG LLP</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31.1</w:t>
            </w:r>
          </w:p>
        </w:tc>
        <w:tc>
          <w:tcPr>
            <w:tcW w:w="10480" w:type="dxa"/>
            <w:vAlign w:val="bottom"/>
          </w:tcPr>
          <w:p>
            <w:pPr>
              <w:ind w:left="200"/>
              <w:spacing w:after="0"/>
              <w:rPr>
                <w:sz w:val="20"/>
                <w:szCs w:val="20"/>
                <w:color w:val="auto"/>
              </w:rPr>
            </w:pPr>
            <w:r>
              <w:rPr>
                <w:rFonts w:ascii="Arial" w:cs="Arial" w:eastAsia="Arial" w:hAnsi="Arial"/>
                <w:sz w:val="14"/>
                <w:szCs w:val="14"/>
                <w:color w:val="auto"/>
              </w:rPr>
              <w:t>Certification of Chief Executive Officer</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31.2</w:t>
            </w:r>
          </w:p>
        </w:tc>
        <w:tc>
          <w:tcPr>
            <w:tcW w:w="10480" w:type="dxa"/>
            <w:vAlign w:val="bottom"/>
          </w:tcPr>
          <w:p>
            <w:pPr>
              <w:ind w:left="200"/>
              <w:spacing w:after="0"/>
              <w:rPr>
                <w:sz w:val="20"/>
                <w:szCs w:val="20"/>
                <w:color w:val="auto"/>
              </w:rPr>
            </w:pPr>
            <w:r>
              <w:rPr>
                <w:rFonts w:ascii="Arial" w:cs="Arial" w:eastAsia="Arial" w:hAnsi="Arial"/>
                <w:sz w:val="14"/>
                <w:szCs w:val="14"/>
                <w:color w:val="auto"/>
              </w:rPr>
              <w:t>Certification of Chief Financial Officer</w:t>
            </w:r>
          </w:p>
        </w:tc>
      </w:tr>
      <w:tr>
        <w:trPr>
          <w:trHeight w:val="166"/>
        </w:trPr>
        <w:tc>
          <w:tcPr>
            <w:tcW w:w="760" w:type="dxa"/>
            <w:vAlign w:val="bottom"/>
          </w:tcPr>
          <w:p>
            <w:pPr>
              <w:ind w:left="240"/>
              <w:spacing w:after="0"/>
              <w:rPr>
                <w:sz w:val="20"/>
                <w:szCs w:val="20"/>
                <w:color w:val="auto"/>
              </w:rPr>
            </w:pPr>
            <w:r>
              <w:rPr>
                <w:rFonts w:ascii="Arial" w:cs="Arial" w:eastAsia="Arial" w:hAnsi="Arial"/>
                <w:sz w:val="14"/>
                <w:szCs w:val="14"/>
                <w:color w:val="auto"/>
              </w:rPr>
              <w:t>32.1</w:t>
            </w:r>
          </w:p>
        </w:tc>
        <w:tc>
          <w:tcPr>
            <w:tcW w:w="10480" w:type="dxa"/>
            <w:vAlign w:val="bottom"/>
          </w:tcPr>
          <w:p>
            <w:pPr>
              <w:ind w:left="200"/>
              <w:spacing w:after="0"/>
              <w:rPr>
                <w:sz w:val="20"/>
                <w:szCs w:val="20"/>
                <w:color w:val="auto"/>
              </w:rPr>
            </w:pPr>
            <w:r>
              <w:rPr>
                <w:rFonts w:ascii="Arial" w:cs="Arial" w:eastAsia="Arial" w:hAnsi="Arial"/>
                <w:sz w:val="14"/>
                <w:szCs w:val="14"/>
                <w:color w:val="auto"/>
              </w:rPr>
              <w:t>Certification of Chief Executive Officer pursuant to Section 906 of Sarbanes-Oxley Act of 2002</w:t>
            </w:r>
          </w:p>
        </w:tc>
      </w:tr>
      <w:tr>
        <w:trPr>
          <w:trHeight w:val="175"/>
        </w:trPr>
        <w:tc>
          <w:tcPr>
            <w:tcW w:w="760" w:type="dxa"/>
            <w:vAlign w:val="bottom"/>
          </w:tcPr>
          <w:p>
            <w:pPr>
              <w:ind w:left="240"/>
              <w:spacing w:after="0"/>
              <w:rPr>
                <w:sz w:val="20"/>
                <w:szCs w:val="20"/>
                <w:color w:val="auto"/>
              </w:rPr>
            </w:pPr>
            <w:r>
              <w:rPr>
                <w:rFonts w:ascii="Arial" w:cs="Arial" w:eastAsia="Arial" w:hAnsi="Arial"/>
                <w:sz w:val="14"/>
                <w:szCs w:val="14"/>
                <w:color w:val="auto"/>
              </w:rPr>
              <w:t>32.2</w:t>
            </w:r>
          </w:p>
        </w:tc>
        <w:tc>
          <w:tcPr>
            <w:tcW w:w="10480" w:type="dxa"/>
            <w:vAlign w:val="bottom"/>
          </w:tcPr>
          <w:p>
            <w:pPr>
              <w:ind w:left="200"/>
              <w:spacing w:after="0"/>
              <w:rPr>
                <w:sz w:val="20"/>
                <w:szCs w:val="20"/>
                <w:color w:val="auto"/>
              </w:rPr>
            </w:pPr>
            <w:r>
              <w:rPr>
                <w:rFonts w:ascii="Arial" w:cs="Arial" w:eastAsia="Arial" w:hAnsi="Arial"/>
                <w:sz w:val="14"/>
                <w:szCs w:val="14"/>
                <w:color w:val="auto"/>
              </w:rPr>
              <w:t>Certification of Chief Financial Officer pursuant to Section 906 of Sarbanes-Oxley Act of 2002</w:t>
            </w:r>
          </w:p>
        </w:tc>
      </w:tr>
    </w:tbl>
    <w:p>
      <w:pPr>
        <w:jc w:val="both"/>
        <w:ind w:left="1180" w:hanging="793"/>
        <w:spacing w:after="0" w:line="251" w:lineRule="auto"/>
        <w:tabs>
          <w:tab w:leader="none" w:pos="1180" w:val="left"/>
        </w:tabs>
        <w:numPr>
          <w:ilvl w:val="1"/>
          <w:numId w:val="25"/>
        </w:numPr>
        <w:rPr>
          <w:rFonts w:ascii="Arial" w:cs="Arial" w:eastAsia="Arial" w:hAnsi="Arial"/>
          <w:sz w:val="14"/>
          <w:szCs w:val="14"/>
          <w:color w:val="auto"/>
        </w:rPr>
      </w:pPr>
      <w:r>
        <w:rPr>
          <w:rFonts w:ascii="Arial" w:cs="Arial" w:eastAsia="Arial" w:hAnsi="Arial"/>
          <w:sz w:val="14"/>
          <w:szCs w:val="14"/>
          <w:color w:val="auto"/>
        </w:rPr>
        <w:t>The following materials formatted in eXtensible Business Reporting Language (XBRL) from Ocean Power Technologies, Inc Annual Report on Form 10-K for the fiscal years ended April 30, 2012 and 2011: (i) Consolidated Balance Sheets, (ii) Consolidated Statements of Operations, (iii) Consolidated Statements of Cash Flows, (iv) Consolidated Statements of Stockholders’ Equity and Comprehensive Loss and (v) Notes to Consolidated Financial Statements.**</w:t>
      </w:r>
    </w:p>
    <w:p>
      <w:pPr>
        <w:spacing w:after="0" w:line="200" w:lineRule="exact"/>
        <w:rPr>
          <w:rFonts w:ascii="Arial" w:cs="Arial" w:eastAsia="Arial" w:hAnsi="Arial"/>
          <w:sz w:val="14"/>
          <w:szCs w:val="14"/>
          <w:color w:val="auto"/>
        </w:rPr>
      </w:pPr>
    </w:p>
    <w:p>
      <w:pPr>
        <w:spacing w:after="0" w:line="36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Management contract or compensatory plan or arrangement</w:t>
      </w:r>
    </w:p>
    <w:p>
      <w:pPr>
        <w:spacing w:after="0" w:line="171" w:lineRule="exact"/>
        <w:rPr>
          <w:sz w:val="20"/>
          <w:szCs w:val="20"/>
          <w:color w:val="auto"/>
        </w:rPr>
      </w:pPr>
    </w:p>
    <w:p>
      <w:pPr>
        <w:ind w:left="360" w:hanging="357"/>
        <w:spacing w:after="0"/>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Indicates that confidential treatment has been requested for this exhibit.</w:t>
      </w:r>
    </w:p>
    <w:p>
      <w:pPr>
        <w:spacing w:after="0" w:line="171" w:lineRule="exact"/>
        <w:rPr>
          <w:sz w:val="20"/>
          <w:szCs w:val="20"/>
          <w:color w:val="auto"/>
        </w:rPr>
      </w:pPr>
    </w:p>
    <w:p>
      <w:pPr>
        <w:ind w:left="360" w:hanging="357"/>
        <w:spacing w:after="0" w:line="307" w:lineRule="auto"/>
        <w:tabs>
          <w:tab w:leader="none" w:pos="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633"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9"/>
        </w:trPr>
        <w:tc>
          <w:tcPr>
            <w:tcW w:w="10860" w:type="dxa"/>
            <w:vAlign w:val="bottom"/>
          </w:tcPr>
          <w:p>
            <w:pPr>
              <w:jc w:val="center"/>
              <w:ind w:left="551"/>
              <w:spacing w:after="0"/>
              <w:rPr>
                <w:sz w:val="20"/>
                <w:szCs w:val="20"/>
                <w:color w:val="auto"/>
              </w:rPr>
            </w:pPr>
            <w:r>
              <w:rPr>
                <w:rFonts w:ascii="Arial" w:cs="Arial" w:eastAsia="Arial" w:hAnsi="Arial"/>
                <w:sz w:val="14"/>
                <w:szCs w:val="14"/>
                <w:b w:val="1"/>
                <w:bCs w:val="1"/>
                <w:color w:val="auto"/>
                <w:w w:val="98"/>
              </w:rPr>
              <w:t>OCEAN POWER TECHNOLOGIES, INC. AND SUBSIDIARIES</w:t>
            </w:r>
          </w:p>
        </w:tc>
        <w:tc>
          <w:tcPr>
            <w:tcW w:w="600" w:type="dxa"/>
            <w:vAlign w:val="bottom"/>
          </w:tcPr>
          <w:p>
            <w:pPr>
              <w:spacing w:after="0"/>
              <w:rPr>
                <w:sz w:val="15"/>
                <w:szCs w:val="15"/>
                <w:color w:val="auto"/>
              </w:rPr>
            </w:pPr>
          </w:p>
        </w:tc>
      </w:tr>
      <w:tr>
        <w:trPr>
          <w:trHeight w:val="373"/>
        </w:trPr>
        <w:tc>
          <w:tcPr>
            <w:tcW w:w="10860" w:type="dxa"/>
            <w:vAlign w:val="bottom"/>
          </w:tcPr>
          <w:p>
            <w:pPr>
              <w:jc w:val="center"/>
              <w:ind w:left="531"/>
              <w:spacing w:after="0"/>
              <w:rPr>
                <w:sz w:val="20"/>
                <w:szCs w:val="20"/>
                <w:color w:val="auto"/>
              </w:rPr>
            </w:pPr>
            <w:r>
              <w:rPr>
                <w:rFonts w:ascii="Arial" w:cs="Arial" w:eastAsia="Arial" w:hAnsi="Arial"/>
                <w:sz w:val="14"/>
                <w:szCs w:val="14"/>
                <w:b w:val="1"/>
                <w:bCs w:val="1"/>
                <w:color w:val="auto"/>
                <w:w w:val="88"/>
              </w:rPr>
              <w:t>Index to Consolidated Financial Statements</w:t>
            </w:r>
          </w:p>
        </w:tc>
        <w:tc>
          <w:tcPr>
            <w:tcW w:w="600" w:type="dxa"/>
            <w:vAlign w:val="bottom"/>
          </w:tcPr>
          <w:p>
            <w:pPr>
              <w:spacing w:after="0"/>
              <w:rPr>
                <w:sz w:val="24"/>
                <w:szCs w:val="24"/>
                <w:color w:val="auto"/>
              </w:rPr>
            </w:pPr>
          </w:p>
        </w:tc>
      </w:tr>
      <w:tr>
        <w:trPr>
          <w:trHeight w:val="345"/>
        </w:trPr>
        <w:tc>
          <w:tcPr>
            <w:tcW w:w="10860" w:type="dxa"/>
            <w:vAlign w:val="bottom"/>
          </w:tcPr>
          <w:p>
            <w:pPr>
              <w:spacing w:after="0"/>
              <w:rPr>
                <w:sz w:val="24"/>
                <w:szCs w:val="2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w:t>
            </w:r>
          </w:p>
        </w:tc>
      </w:tr>
      <w:tr>
        <w:trPr>
          <w:trHeight w:val="166"/>
        </w:trPr>
        <w:tc>
          <w:tcPr>
            <w:tcW w:w="10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0860" w:type="dxa"/>
            <w:vAlign w:val="bottom"/>
            <w:shd w:val="clear" w:color="auto" w:fill="CCEEFF"/>
          </w:tcPr>
          <w:p>
            <w:pPr>
              <w:spacing w:after="0"/>
              <w:rPr>
                <w:sz w:val="20"/>
                <w:szCs w:val="20"/>
                <w:color w:val="auto"/>
              </w:rPr>
            </w:pPr>
            <w:r>
              <w:rPr>
                <w:rFonts w:ascii="Arial" w:cs="Arial" w:eastAsia="Arial" w:hAnsi="Arial"/>
                <w:sz w:val="14"/>
                <w:szCs w:val="14"/>
                <w:color w:val="auto"/>
              </w:rPr>
              <w:t>Reports of Management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F-2</w:t>
            </w:r>
          </w:p>
        </w:tc>
      </w:tr>
      <w:tr>
        <w:trPr>
          <w:trHeight w:val="166"/>
        </w:trPr>
        <w:tc>
          <w:tcPr>
            <w:tcW w:w="10860" w:type="dxa"/>
            <w:vAlign w:val="bottom"/>
          </w:tcPr>
          <w:p>
            <w:pPr>
              <w:spacing w:after="0"/>
              <w:rPr>
                <w:sz w:val="20"/>
                <w:szCs w:val="20"/>
                <w:color w:val="auto"/>
              </w:rPr>
            </w:pPr>
            <w:r>
              <w:rPr>
                <w:rFonts w:ascii="Arial" w:cs="Arial" w:eastAsia="Arial" w:hAnsi="Arial"/>
                <w:sz w:val="14"/>
                <w:szCs w:val="14"/>
                <w:color w:val="auto"/>
              </w:rPr>
              <w:t>Report of Independent Registered Public Accounting Firm</w:t>
            </w:r>
          </w:p>
        </w:tc>
        <w:tc>
          <w:tcPr>
            <w:tcW w:w="600" w:type="dxa"/>
            <w:vAlign w:val="bottom"/>
          </w:tcPr>
          <w:p>
            <w:pPr>
              <w:ind w:left="280"/>
              <w:spacing w:after="0"/>
              <w:rPr>
                <w:sz w:val="20"/>
                <w:szCs w:val="20"/>
                <w:color w:val="auto"/>
              </w:rPr>
            </w:pPr>
            <w:r>
              <w:rPr>
                <w:rFonts w:ascii="Arial" w:cs="Arial" w:eastAsia="Arial" w:hAnsi="Arial"/>
                <w:sz w:val="14"/>
                <w:szCs w:val="14"/>
                <w:color w:val="auto"/>
              </w:rPr>
              <w:t>F-3</w:t>
            </w:r>
          </w:p>
        </w:tc>
      </w:tr>
      <w:tr>
        <w:trPr>
          <w:trHeight w:val="166"/>
        </w:trPr>
        <w:tc>
          <w:tcPr>
            <w:tcW w:w="10860" w:type="dxa"/>
            <w:vAlign w:val="bottom"/>
            <w:shd w:val="clear" w:color="auto" w:fill="CCEEFF"/>
          </w:tcPr>
          <w:p>
            <w:pPr>
              <w:spacing w:after="0"/>
              <w:rPr>
                <w:sz w:val="20"/>
                <w:szCs w:val="20"/>
                <w:color w:val="auto"/>
              </w:rPr>
            </w:pPr>
            <w:r>
              <w:rPr>
                <w:rFonts w:ascii="Arial" w:cs="Arial" w:eastAsia="Arial" w:hAnsi="Arial"/>
                <w:sz w:val="14"/>
                <w:szCs w:val="14"/>
                <w:color w:val="auto"/>
              </w:rPr>
              <w:t>Consolidated Balance Sheets, April 30, 2012 and 2011</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F-4</w:t>
            </w:r>
          </w:p>
        </w:tc>
      </w:tr>
      <w:tr>
        <w:trPr>
          <w:trHeight w:val="166"/>
        </w:trPr>
        <w:tc>
          <w:tcPr>
            <w:tcW w:w="10860" w:type="dxa"/>
            <w:vAlign w:val="bottom"/>
          </w:tcPr>
          <w:p>
            <w:pPr>
              <w:spacing w:after="0"/>
              <w:rPr>
                <w:sz w:val="20"/>
                <w:szCs w:val="20"/>
                <w:color w:val="auto"/>
              </w:rPr>
            </w:pPr>
            <w:r>
              <w:rPr>
                <w:rFonts w:ascii="Arial" w:cs="Arial" w:eastAsia="Arial" w:hAnsi="Arial"/>
                <w:sz w:val="14"/>
                <w:szCs w:val="14"/>
                <w:color w:val="auto"/>
              </w:rPr>
              <w:t>Consolidated Statements of Operations, Years ended April 30, 2012 and 2011</w:t>
            </w:r>
          </w:p>
        </w:tc>
        <w:tc>
          <w:tcPr>
            <w:tcW w:w="600" w:type="dxa"/>
            <w:vAlign w:val="bottom"/>
          </w:tcPr>
          <w:p>
            <w:pPr>
              <w:ind w:left="280"/>
              <w:spacing w:after="0"/>
              <w:rPr>
                <w:sz w:val="20"/>
                <w:szCs w:val="20"/>
                <w:color w:val="auto"/>
              </w:rPr>
            </w:pPr>
            <w:r>
              <w:rPr>
                <w:rFonts w:ascii="Arial" w:cs="Arial" w:eastAsia="Arial" w:hAnsi="Arial"/>
                <w:sz w:val="14"/>
                <w:szCs w:val="14"/>
                <w:color w:val="auto"/>
              </w:rPr>
              <w:t>F-5</w:t>
            </w:r>
          </w:p>
        </w:tc>
      </w:tr>
      <w:tr>
        <w:trPr>
          <w:trHeight w:val="166"/>
        </w:trPr>
        <w:tc>
          <w:tcPr>
            <w:tcW w:w="10860" w:type="dxa"/>
            <w:vAlign w:val="bottom"/>
            <w:shd w:val="clear" w:color="auto" w:fill="CCEEFF"/>
          </w:tcPr>
          <w:p>
            <w:pPr>
              <w:spacing w:after="0"/>
              <w:rPr>
                <w:sz w:val="20"/>
                <w:szCs w:val="20"/>
                <w:color w:val="auto"/>
              </w:rPr>
            </w:pPr>
            <w:r>
              <w:rPr>
                <w:rFonts w:ascii="Arial" w:cs="Arial" w:eastAsia="Arial" w:hAnsi="Arial"/>
                <w:sz w:val="14"/>
                <w:szCs w:val="14"/>
                <w:color w:val="auto"/>
              </w:rPr>
              <w:t>Consolidated Statements of Stockholders' Equity and Comprehensive Loss, Years ended April 30, 2012 and 2011</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F-6</w:t>
            </w:r>
          </w:p>
        </w:tc>
      </w:tr>
      <w:tr>
        <w:trPr>
          <w:trHeight w:val="166"/>
        </w:trPr>
        <w:tc>
          <w:tcPr>
            <w:tcW w:w="10860" w:type="dxa"/>
            <w:vAlign w:val="bottom"/>
          </w:tcPr>
          <w:p>
            <w:pPr>
              <w:spacing w:after="0"/>
              <w:rPr>
                <w:sz w:val="20"/>
                <w:szCs w:val="20"/>
                <w:color w:val="auto"/>
              </w:rPr>
            </w:pPr>
            <w:r>
              <w:rPr>
                <w:rFonts w:ascii="Arial" w:cs="Arial" w:eastAsia="Arial" w:hAnsi="Arial"/>
                <w:sz w:val="14"/>
                <w:szCs w:val="14"/>
                <w:color w:val="auto"/>
              </w:rPr>
              <w:t>Consolidated Statements of Cash Flows, Years ended April 30, 2012 and 2011</w:t>
            </w:r>
          </w:p>
        </w:tc>
        <w:tc>
          <w:tcPr>
            <w:tcW w:w="600" w:type="dxa"/>
            <w:vAlign w:val="bottom"/>
          </w:tcPr>
          <w:p>
            <w:pPr>
              <w:ind w:left="280"/>
              <w:spacing w:after="0"/>
              <w:rPr>
                <w:sz w:val="20"/>
                <w:szCs w:val="20"/>
                <w:color w:val="auto"/>
              </w:rPr>
            </w:pPr>
            <w:r>
              <w:rPr>
                <w:rFonts w:ascii="Arial" w:cs="Arial" w:eastAsia="Arial" w:hAnsi="Arial"/>
                <w:sz w:val="14"/>
                <w:szCs w:val="14"/>
                <w:color w:val="auto"/>
              </w:rPr>
              <w:t>F-7</w:t>
            </w:r>
          </w:p>
        </w:tc>
      </w:tr>
      <w:tr>
        <w:trPr>
          <w:trHeight w:val="166"/>
        </w:trPr>
        <w:tc>
          <w:tcPr>
            <w:tcW w:w="10860" w:type="dxa"/>
            <w:vAlign w:val="bottom"/>
            <w:shd w:val="clear" w:color="auto" w:fill="CCEEFF"/>
          </w:tcPr>
          <w:p>
            <w:pPr>
              <w:spacing w:after="0"/>
              <w:rPr>
                <w:sz w:val="20"/>
                <w:szCs w:val="20"/>
                <w:color w:val="auto"/>
              </w:rPr>
            </w:pPr>
            <w:r>
              <w:rPr>
                <w:rFonts w:ascii="Arial" w:cs="Arial" w:eastAsia="Arial" w:hAnsi="Arial"/>
                <w:sz w:val="14"/>
                <w:szCs w:val="14"/>
                <w:color w:val="auto"/>
              </w:rPr>
              <w:t>Notes to Consolidated Financial Statements</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F-8</w:t>
            </w:r>
          </w:p>
        </w:tc>
      </w:tr>
      <w:tr>
        <w:trPr>
          <w:trHeight w:val="486"/>
        </w:trPr>
        <w:tc>
          <w:tcPr>
            <w:tcW w:w="10860" w:type="dxa"/>
            <w:vAlign w:val="bottom"/>
          </w:tcPr>
          <w:p>
            <w:pPr>
              <w:jc w:val="center"/>
              <w:ind w:left="551"/>
              <w:spacing w:after="0"/>
              <w:rPr>
                <w:sz w:val="20"/>
                <w:szCs w:val="20"/>
                <w:color w:val="auto"/>
              </w:rPr>
            </w:pPr>
            <w:r>
              <w:rPr>
                <w:rFonts w:ascii="Arial" w:cs="Arial" w:eastAsia="Arial" w:hAnsi="Arial"/>
                <w:sz w:val="14"/>
                <w:szCs w:val="14"/>
                <w:color w:val="auto"/>
                <w:w w:val="95"/>
              </w:rPr>
              <w:t>F-1</w:t>
            </w:r>
          </w:p>
        </w:tc>
        <w:tc>
          <w:tcPr>
            <w:tcW w:w="600" w:type="dxa"/>
            <w:vAlign w:val="bottom"/>
          </w:tcPr>
          <w:p>
            <w:pPr>
              <w:spacing w:after="0"/>
              <w:rPr>
                <w:sz w:val="24"/>
                <w:szCs w:val="24"/>
                <w:color w:val="auto"/>
              </w:rPr>
            </w:pPr>
          </w:p>
        </w:tc>
      </w:tr>
      <w:tr>
        <w:trPr>
          <w:trHeight w:val="90"/>
        </w:trPr>
        <w:tc>
          <w:tcPr>
            <w:tcW w:w="1086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Reports of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Consolidated Financial Statements</w:t>
      </w:r>
    </w:p>
    <w:p>
      <w:pPr>
        <w:spacing w:after="0" w:line="216"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The accompanying consolidated financial statements have been prepared by the management of Ocean Power Technologies, Inc. (the Company) in conformity with generally accepted accounting principles to reflect the financial position of the Company and its operating results. The financial information appearing throughout this Annual Report is consistent with the consolidated financial statements. Management is responsible for the information and representations in such consolidated financial statements, including the estimates and judgments required for their preparation. The consolidated financial statements have been audited by KPMG LLP, an independent registered public accounting firm, as stated in their report, which appears herein.</w:t>
      </w:r>
    </w:p>
    <w:p>
      <w:pPr>
        <w:spacing w:after="0" w:line="174"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Audit Committee of the Board of Directors, which is composed entirely of directors who are not officers or employees of the Company, meets regularly with management and the independent registered public accounting firm. The independent registered public accounting firm has had, and continues to have, direct access to the Audit Committee without the presence of other management personnel, and have been directed to discuss the results of their audit work and any matters they believe should be brought to the Committee's attention. The independent registered public accounting firm reports directly to the Audit Committee.</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216"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352" w:lineRule="exact"/>
        <w:rPr>
          <w:sz w:val="20"/>
          <w:szCs w:val="20"/>
          <w:color w:val="auto"/>
        </w:rPr>
      </w:pPr>
    </w:p>
    <w:p>
      <w:pPr>
        <w:ind w:left="720" w:hanging="240"/>
        <w:spacing w:after="0"/>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w:t>
      </w:r>
    </w:p>
    <w:p>
      <w:pPr>
        <w:spacing w:after="0" w:line="336"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304" w:lineRule="exact"/>
        <w:rPr>
          <w:rFonts w:ascii="Arial" w:cs="Arial" w:eastAsia="Arial" w:hAnsi="Arial"/>
          <w:sz w:val="14"/>
          <w:szCs w:val="14"/>
          <w:color w:val="auto"/>
        </w:rPr>
      </w:pPr>
    </w:p>
    <w:p>
      <w:pPr>
        <w:ind w:left="720" w:hanging="240"/>
        <w:spacing w:after="0" w:line="268" w:lineRule="auto"/>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 xml:space="preserve">The Company's management assessed the effectiveness of the Company's internal control over financial reporting as of April 30, 2012. In making this assessment, management used the criteria set forth by the Committee of Sponsoring Organizations of the Treadway Commission (COSO)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Based on this assessment using those criteria, management concluded that the Company's internal control over financial reporting was effective as of April 30, 2012.</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4889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889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Charles F. Dunleavy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4889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889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Brian M. Posner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05"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Ocean Power Technologies, Inc.:</w:t>
      </w:r>
    </w:p>
    <w:p>
      <w:pPr>
        <w:spacing w:after="0" w:line="203"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We have audited the accompanying consolidated balance sheets of Ocean Power Technologies, Inc. and subsidiaries as of April 30, 2012 and 2011, and the related consolidated statements of operations, stockholders' equity and comprehensive loss, and cash flows for each of the years in the two-year period ended April 30, 2012. These consolidated financial statements are the responsibility of the Company's management. Our responsibility is to express an opinion on these consolidated financial statements based on our audits.</w:t>
      </w:r>
    </w:p>
    <w:p>
      <w:pPr>
        <w:spacing w:after="0" w:line="18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0" w:lineRule="exact"/>
        <w:rPr>
          <w:sz w:val="20"/>
          <w:szCs w:val="20"/>
          <w:color w:val="auto"/>
        </w:rPr>
      </w:pPr>
    </w:p>
    <w:p>
      <w:pPr>
        <w:jc w:val="both"/>
        <w:ind w:firstLine="373"/>
        <w:spacing w:after="0" w:line="353"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Ocean Power Technologies, Inc. and subsidiaries as of April 30, 2012 and 2011, and the results of their operations and their cash flows for each of the years in the two-year period ended April 30, 2012, in conformity with U.S. generally accepted accounting principles.</w:t>
      </w: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July 13, 2012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77"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9"/>
        </w:trPr>
        <w:tc>
          <w:tcPr>
            <w:tcW w:w="8000" w:type="dxa"/>
            <w:vAlign w:val="bottom"/>
            <w:gridSpan w:val="3"/>
          </w:tcPr>
          <w:p>
            <w:pPr>
              <w:ind w:left="3780"/>
              <w:spacing w:after="0"/>
              <w:rPr>
                <w:sz w:val="20"/>
                <w:szCs w:val="20"/>
                <w:color w:val="auto"/>
              </w:rPr>
            </w:pPr>
            <w:r>
              <w:rPr>
                <w:rFonts w:ascii="Arial" w:cs="Arial" w:eastAsia="Arial" w:hAnsi="Arial"/>
                <w:sz w:val="14"/>
                <w:szCs w:val="14"/>
                <w:b w:val="1"/>
                <w:bCs w:val="1"/>
                <w:color w:val="auto"/>
              </w:rPr>
              <w:t>OCEAN POWER TECHNOLOGIES, INC. AND SUBSIDIARIES</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73"/>
        </w:trPr>
        <w:tc>
          <w:tcPr>
            <w:tcW w:w="6640" w:type="dxa"/>
            <w:vAlign w:val="bottom"/>
          </w:tcPr>
          <w:p>
            <w:pPr>
              <w:ind w:left="4880"/>
              <w:spacing w:after="0"/>
              <w:rPr>
                <w:sz w:val="20"/>
                <w:szCs w:val="20"/>
                <w:color w:val="auto"/>
              </w:rPr>
            </w:pPr>
            <w:r>
              <w:rPr>
                <w:rFonts w:ascii="Arial" w:cs="Arial" w:eastAsia="Arial" w:hAnsi="Arial"/>
                <w:sz w:val="14"/>
                <w:szCs w:val="14"/>
                <w:b w:val="1"/>
                <w:bCs w:val="1"/>
                <w:color w:val="auto"/>
                <w:w w:val="88"/>
              </w:rPr>
              <w:t>Consolidated Balance Sheets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6"/>
        </w:trPr>
        <w:tc>
          <w:tcPr>
            <w:tcW w:w="6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April 30,</w:t>
            </w:r>
          </w:p>
        </w:tc>
        <w:tc>
          <w:tcPr>
            <w:tcW w:w="1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7"/>
        </w:trPr>
        <w:tc>
          <w:tcPr>
            <w:tcW w:w="6640" w:type="dxa"/>
            <w:vAlign w:val="bottom"/>
          </w:tcPr>
          <w:p>
            <w:pPr>
              <w:ind w:left="302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4"/>
                <w:szCs w:val="1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71"/>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166"/>
        </w:trPr>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Current assets: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360" w:type="dxa"/>
            <w:vAlign w:val="bottom"/>
            <w:gridSpan w:val="2"/>
          </w:tcPr>
          <w:p>
            <w:pPr>
              <w:jc w:val="right"/>
              <w:ind w:right="1151"/>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9,353,460</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4,376,136</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Marketable securities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22,369,484</w:t>
            </w:r>
          </w:p>
        </w:tc>
        <w:tc>
          <w:tcPr>
            <w:tcW w:w="5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26,018,594</w:t>
            </w:r>
          </w:p>
        </w:tc>
      </w:tr>
      <w:tr>
        <w:trPr>
          <w:trHeight w:val="166"/>
        </w:trPr>
        <w:tc>
          <w:tcPr>
            <w:tcW w:w="664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1,064,796</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1,285,000</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Unbilled receivables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223,050</w:t>
            </w: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456,316</w:t>
            </w: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ind w:left="26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842,820</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832,142</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33,853,610</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32,968,188</w:t>
            </w: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682,933</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792,092</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Patents, net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1,269,457</w:t>
            </w: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1,222,368</w:t>
            </w: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1,453,712</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1,624,669</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16,323,016</w:t>
            </w:r>
          </w:p>
        </w:tc>
      </w:tr>
      <w:tr>
        <w:trPr>
          <w:trHeight w:val="167"/>
        </w:trPr>
        <w:tc>
          <w:tcPr>
            <w:tcW w:w="66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181,925</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622,245</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500"/>
              <w:spacing w:after="0"/>
              <w:rPr>
                <w:sz w:val="20"/>
                <w:szCs w:val="20"/>
                <w:color w:val="auto"/>
              </w:rPr>
            </w:pPr>
            <w:r>
              <w:rPr>
                <w:rFonts w:ascii="Arial" w:cs="Arial" w:eastAsia="Arial" w:hAnsi="Arial"/>
                <w:sz w:val="14"/>
                <w:szCs w:val="14"/>
                <w:color w:val="auto"/>
              </w:rPr>
              <w:t>Total assets</w:t>
            </w:r>
          </w:p>
        </w:tc>
        <w:tc>
          <w:tcPr>
            <w:tcW w:w="1360" w:type="dxa"/>
            <w:vAlign w:val="bottom"/>
            <w:gridSpan w:val="2"/>
          </w:tcPr>
          <w:p>
            <w:pPr>
              <w:jc w:val="right"/>
              <w:ind w:right="1151"/>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37,441,637</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53,552,578</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7"/>
        </w:trPr>
        <w:tc>
          <w:tcPr>
            <w:tcW w:w="6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66"/>
        </w:trPr>
        <w:tc>
          <w:tcPr>
            <w:tcW w:w="6640" w:type="dxa"/>
            <w:vAlign w:val="bottom"/>
          </w:tcPr>
          <w:p>
            <w:pPr>
              <w:ind w:left="1780"/>
              <w:spacing w:after="0"/>
              <w:rPr>
                <w:sz w:val="20"/>
                <w:szCs w:val="20"/>
                <w:color w:val="auto"/>
              </w:rPr>
            </w:pPr>
            <w:r>
              <w:rPr>
                <w:rFonts w:ascii="Arial" w:cs="Arial" w:eastAsia="Arial" w:hAnsi="Arial"/>
                <w:sz w:val="14"/>
                <w:szCs w:val="14"/>
                <w:b w:val="1"/>
                <w:bCs w:val="1"/>
                <w:color w:val="auto"/>
              </w:rPr>
              <w:t>LIABILITIES AND STOCKHOLDERS' EQUITY</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1360" w:type="dxa"/>
            <w:vAlign w:val="bottom"/>
            <w:gridSpan w:val="2"/>
          </w:tcPr>
          <w:p>
            <w:pPr>
              <w:jc w:val="right"/>
              <w:ind w:right="1151"/>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440,773</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1,224,728</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2,770,094</w:t>
            </w: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4,302,952</w:t>
            </w: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260"/>
              <w:spacing w:after="0"/>
              <w:rPr>
                <w:sz w:val="20"/>
                <w:szCs w:val="20"/>
                <w:color w:val="auto"/>
              </w:rPr>
            </w:pPr>
            <w:r>
              <w:rPr>
                <w:rFonts w:ascii="Arial" w:cs="Arial" w:eastAsia="Arial" w:hAnsi="Arial"/>
                <w:sz w:val="14"/>
                <w:szCs w:val="14"/>
                <w:color w:val="auto"/>
              </w:rPr>
              <w:t>Deferred credits payable</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66"/>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Unearned revenues</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1,073,389</w:t>
            </w: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344,022</w:t>
            </w: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ind w:left="260"/>
              <w:spacing w:after="0"/>
              <w:rPr>
                <w:sz w:val="20"/>
                <w:szCs w:val="20"/>
                <w:color w:val="auto"/>
              </w:rPr>
            </w:pPr>
            <w:r>
              <w:rPr>
                <w:rFonts w:ascii="Arial" w:cs="Arial" w:eastAsia="Arial" w:hAnsi="Arial"/>
                <w:sz w:val="14"/>
                <w:szCs w:val="14"/>
                <w:color w:val="auto"/>
              </w:rPr>
              <w:t>Current portion of long-term debt</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100,000</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139,378</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4,984,256</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6,011,080</w:t>
            </w: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350,000</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450,000</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color w:val="auto"/>
              </w:rPr>
              <w:t>Deferred credits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3"/>
          </w:tcPr>
          <w:p>
            <w:pPr>
              <w:jc w:val="right"/>
              <w:ind w:right="84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600,000</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5,334,256</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7,061,080</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Commitments and contingencies (note 13)</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spacing w:after="0"/>
              <w:rPr>
                <w:sz w:val="20"/>
                <w:szCs w:val="20"/>
                <w:color w:val="auto"/>
              </w:rPr>
            </w:pPr>
            <w:r>
              <w:rPr>
                <w:rFonts w:ascii="Arial" w:cs="Arial" w:eastAsia="Arial" w:hAnsi="Arial"/>
                <w:sz w:val="14"/>
                <w:szCs w:val="14"/>
                <w:color w:val="auto"/>
              </w:rPr>
              <w:t>Ocean Power Technologies, Inc. Stockholders’ equity:</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Preferred stock, $0.001 par value; authorized 5,000,000 shares, none issued or outstanding</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55"/>
        </w:trPr>
        <w:tc>
          <w:tcPr>
            <w:tcW w:w="6640" w:type="dxa"/>
            <w:vAlign w:val="bottom"/>
          </w:tcPr>
          <w:p>
            <w:pPr>
              <w:ind w:left="260"/>
              <w:spacing w:after="0" w:line="155" w:lineRule="exact"/>
              <w:rPr>
                <w:sz w:val="20"/>
                <w:szCs w:val="20"/>
                <w:color w:val="auto"/>
              </w:rPr>
            </w:pPr>
            <w:r>
              <w:rPr>
                <w:rFonts w:ascii="Arial" w:cs="Arial" w:eastAsia="Arial" w:hAnsi="Arial"/>
                <w:sz w:val="14"/>
                <w:szCs w:val="14"/>
                <w:color w:val="auto"/>
                <w:w w:val="93"/>
              </w:rPr>
              <w:t>Common stock, $0.001 par value; authorized 105,000,000 shares, issued 10,407,389 and 10,419,183 shares,</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4"/>
                <w:szCs w:val="14"/>
                <w:color w:val="auto"/>
              </w:rPr>
              <w:t>respectively</w:t>
            </w: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10,407</w:t>
            </w:r>
          </w:p>
        </w:tc>
        <w:tc>
          <w:tcPr>
            <w:tcW w:w="54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10,419</w:t>
            </w:r>
          </w:p>
        </w:tc>
      </w:tr>
      <w:tr>
        <w:trPr>
          <w:trHeight w:val="167"/>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Treasury stock, at cost; 23,544 and 7,685 shares, respectively</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(102,388)</w:t>
            </w:r>
          </w:p>
        </w:tc>
        <w:tc>
          <w:tcPr>
            <w:tcW w:w="5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(42,734)</w:t>
            </w:r>
          </w:p>
        </w:tc>
      </w:tr>
      <w:tr>
        <w:trPr>
          <w:trHeight w:val="166"/>
        </w:trPr>
        <w:tc>
          <w:tcPr>
            <w:tcW w:w="664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158,296,458</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157,174,930</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8"/>
              </w:rPr>
              <w:t>(125,989,474)</w:t>
            </w:r>
          </w:p>
        </w:tc>
        <w:tc>
          <w:tcPr>
            <w:tcW w:w="5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(110,848,972)</w:t>
            </w:r>
          </w:p>
        </w:tc>
      </w:tr>
      <w:tr>
        <w:trPr>
          <w:trHeight w:val="167"/>
        </w:trPr>
        <w:tc>
          <w:tcPr>
            <w:tcW w:w="6640" w:type="dxa"/>
            <w:vAlign w:val="bottom"/>
          </w:tcPr>
          <w:p>
            <w:pPr>
              <w:ind w:left="260"/>
              <w:spacing w:after="0"/>
              <w:rPr>
                <w:sz w:val="20"/>
                <w:szCs w:val="20"/>
                <w:color w:val="auto"/>
              </w:rPr>
            </w:pPr>
            <w:r>
              <w:rPr>
                <w:rFonts w:ascii="Arial" w:cs="Arial" w:eastAsia="Arial" w:hAnsi="Arial"/>
                <w:sz w:val="14"/>
                <w:szCs w:val="14"/>
                <w:color w:val="auto"/>
              </w:rPr>
              <w:t>Accumulated other comprehensive (loss) income</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(78,990)</w:t>
            </w:r>
          </w:p>
        </w:tc>
        <w:tc>
          <w:tcPr>
            <w:tcW w:w="5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175,907</w:t>
            </w:r>
          </w:p>
        </w:tc>
        <w:tc>
          <w:tcPr>
            <w:tcW w:w="160" w:type="dxa"/>
            <w:vAlign w:val="bottom"/>
          </w:tcPr>
          <w:p>
            <w:pPr>
              <w:spacing w:after="0"/>
              <w:rPr>
                <w:sz w:val="14"/>
                <w:szCs w:val="14"/>
                <w:color w:val="auto"/>
              </w:rPr>
            </w:pP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ind w:left="500"/>
              <w:spacing w:after="0"/>
              <w:rPr>
                <w:sz w:val="20"/>
                <w:szCs w:val="20"/>
                <w:color w:val="auto"/>
              </w:rPr>
            </w:pPr>
            <w:r>
              <w:rPr>
                <w:rFonts w:ascii="Arial" w:cs="Arial" w:eastAsia="Arial" w:hAnsi="Arial"/>
                <w:sz w:val="14"/>
                <w:szCs w:val="14"/>
                <w:color w:val="auto"/>
              </w:rPr>
              <w:t>Total Ocean Power Technologies, Inc. stockholders’ equity</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32,136,013</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46,469,550</w:t>
            </w: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color w:val="auto"/>
              </w:rPr>
              <w:t>Noncontrolling interest in Ocean Power Technologies (Australasia) Pty Ltd</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(28,632)</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21,948</w:t>
            </w: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7"/>
        </w:trPr>
        <w:tc>
          <w:tcPr>
            <w:tcW w:w="6640" w:type="dxa"/>
            <w:vAlign w:val="bottom"/>
          </w:tcPr>
          <w:p>
            <w:pPr>
              <w:ind w:left="260"/>
              <w:spacing w:after="0"/>
              <w:rPr>
                <w:sz w:val="20"/>
                <w:szCs w:val="20"/>
                <w:color w:val="auto"/>
              </w:rPr>
            </w:pPr>
            <w:r>
              <w:rPr>
                <w:rFonts w:ascii="Arial" w:cs="Arial" w:eastAsia="Arial" w:hAnsi="Arial"/>
                <w:sz w:val="14"/>
                <w:szCs w:val="14"/>
                <w:color w:val="auto"/>
              </w:rPr>
              <w:t>Total equity</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32,107,381</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46,491,498</w:t>
            </w:r>
          </w:p>
        </w:tc>
      </w:tr>
      <w:tr>
        <w:trPr>
          <w:trHeight w:val="166"/>
        </w:trPr>
        <w:tc>
          <w:tcPr>
            <w:tcW w:w="6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66"/>
        </w:trPr>
        <w:tc>
          <w:tcPr>
            <w:tcW w:w="664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360" w:type="dxa"/>
            <w:vAlign w:val="bottom"/>
            <w:gridSpan w:val="2"/>
          </w:tcPr>
          <w:p>
            <w:pPr>
              <w:jc w:val="right"/>
              <w:ind w:right="1151"/>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37,441,637</w:t>
            </w:r>
          </w:p>
        </w:tc>
        <w:tc>
          <w:tcPr>
            <w:tcW w:w="540" w:type="dxa"/>
            <w:vAlign w:val="bottom"/>
          </w:tcPr>
          <w:p>
            <w:pPr>
              <w:spacing w:after="0"/>
              <w:rPr>
                <w:sz w:val="14"/>
                <w:szCs w:val="1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4"/>
                <w:szCs w:val="14"/>
                <w:color w:val="auto"/>
              </w:rPr>
              <w:t>53,552,578</w:t>
            </w:r>
          </w:p>
        </w:tc>
      </w:tr>
      <w:tr>
        <w:trPr>
          <w:trHeight w:val="20"/>
        </w:trPr>
        <w:tc>
          <w:tcPr>
            <w:tcW w:w="6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7"/>
        </w:trPr>
        <w:tc>
          <w:tcPr>
            <w:tcW w:w="6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3"/>
              </w:rPr>
              <w:t>Year Ended April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7"/>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r>
      <w:tr>
        <w:trPr>
          <w:trHeight w:val="16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5,738,506</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6,691,082</w:t>
            </w:r>
          </w:p>
        </w:tc>
      </w:tr>
      <w:tr>
        <w:trPr>
          <w:trHeight w:val="167"/>
        </w:trPr>
        <w:tc>
          <w:tcPr>
            <w:tcW w:w="7800" w:type="dxa"/>
            <w:vAlign w:val="bottom"/>
          </w:tcPr>
          <w:p>
            <w:pPr>
              <w:spacing w:after="0"/>
              <w:rPr>
                <w:sz w:val="20"/>
                <w:szCs w:val="20"/>
                <w:color w:val="auto"/>
              </w:rPr>
            </w:pPr>
            <w:r>
              <w:rPr>
                <w:rFonts w:ascii="Arial" w:cs="Arial" w:eastAsia="Arial" w:hAnsi="Arial"/>
                <w:sz w:val="14"/>
                <w:szCs w:val="14"/>
                <w:color w:val="auto"/>
              </w:rPr>
              <w:t>Cost of revenues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5,683,731</w:t>
            </w:r>
          </w:p>
        </w:tc>
        <w:tc>
          <w:tcPr>
            <w:tcW w:w="5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6,255,437</w:t>
            </w:r>
          </w:p>
        </w:tc>
      </w:tr>
      <w:tr>
        <w:trPr>
          <w:trHeight w:val="166"/>
        </w:trPr>
        <w:tc>
          <w:tcPr>
            <w:tcW w:w="7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800" w:type="dxa"/>
            <w:vAlign w:val="bottom"/>
          </w:tcPr>
          <w:p>
            <w:pPr>
              <w:ind w:left="260"/>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54,775</w:t>
            </w:r>
          </w:p>
        </w:tc>
        <w:tc>
          <w:tcPr>
            <w:tcW w:w="5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435,645</w:t>
            </w:r>
          </w:p>
        </w:tc>
      </w:tr>
      <w:tr>
        <w:trPr>
          <w:trHeight w:val="166"/>
        </w:trPr>
        <w:tc>
          <w:tcPr>
            <w:tcW w:w="7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development costs</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8,337,424</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13,319,110</w:t>
            </w:r>
          </w:p>
        </w:tc>
      </w:tr>
      <w:tr>
        <w:trPr>
          <w:trHeight w:val="167"/>
        </w:trPr>
        <w:tc>
          <w:tcPr>
            <w:tcW w:w="7800" w:type="dxa"/>
            <w:vAlign w:val="bottom"/>
          </w:tcPr>
          <w:p>
            <w:pPr>
              <w:ind w:left="120"/>
              <w:spacing w:after="0"/>
              <w:rPr>
                <w:sz w:val="20"/>
                <w:szCs w:val="20"/>
                <w:color w:val="auto"/>
              </w:rPr>
            </w:pPr>
            <w:r>
              <w:rPr>
                <w:rFonts w:ascii="Arial" w:cs="Arial" w:eastAsia="Arial" w:hAnsi="Arial"/>
                <w:sz w:val="14"/>
                <w:szCs w:val="14"/>
                <w:color w:val="auto"/>
              </w:rPr>
              <w:t>Selling, general and administrative costs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8,274,096</w:t>
            </w:r>
          </w:p>
        </w:tc>
        <w:tc>
          <w:tcPr>
            <w:tcW w:w="5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8,399,325</w:t>
            </w:r>
          </w:p>
        </w:tc>
      </w:tr>
      <w:tr>
        <w:trPr>
          <w:trHeight w:val="166"/>
        </w:trPr>
        <w:tc>
          <w:tcPr>
            <w:tcW w:w="7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80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16,611,520</w:t>
            </w:r>
          </w:p>
        </w:tc>
        <w:tc>
          <w:tcPr>
            <w:tcW w:w="56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21,718,435</w:t>
            </w:r>
          </w:p>
        </w:tc>
      </w:tr>
      <w:tr>
        <w:trPr>
          <w:trHeight w:val="166"/>
        </w:trPr>
        <w:tc>
          <w:tcPr>
            <w:tcW w:w="7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800" w:type="dxa"/>
            <w:vAlign w:val="bottom"/>
          </w:tcPr>
          <w:p>
            <w:pPr>
              <w:spacing w:after="0"/>
              <w:rPr>
                <w:sz w:val="20"/>
                <w:szCs w:val="20"/>
                <w:color w:val="auto"/>
              </w:rPr>
            </w:pPr>
            <w:r>
              <w:rPr>
                <w:rFonts w:ascii="Arial" w:cs="Arial" w:eastAsia="Arial" w:hAnsi="Arial"/>
                <w:sz w:val="14"/>
                <w:szCs w:val="14"/>
                <w:color w:val="auto"/>
              </w:rPr>
              <w:t>Operating loss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(16,556,745)</w:t>
            </w:r>
          </w:p>
        </w:tc>
        <w:tc>
          <w:tcPr>
            <w:tcW w:w="5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(21,282,790)</w:t>
            </w:r>
          </w:p>
        </w:tc>
      </w:tr>
      <w:tr>
        <w:trPr>
          <w:trHeight w:val="16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 net</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418,052</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689,276</w:t>
            </w:r>
          </w:p>
        </w:tc>
      </w:tr>
      <w:tr>
        <w:trPr>
          <w:trHeight w:val="166"/>
        </w:trPr>
        <w:tc>
          <w:tcPr>
            <w:tcW w:w="7800" w:type="dxa"/>
            <w:vAlign w:val="bottom"/>
          </w:tcPr>
          <w:p>
            <w:pPr>
              <w:spacing w:after="0"/>
              <w:rPr>
                <w:sz w:val="20"/>
                <w:szCs w:val="20"/>
                <w:color w:val="auto"/>
              </w:rPr>
            </w:pPr>
            <w:r>
              <w:rPr>
                <w:rFonts w:ascii="Arial" w:cs="Arial" w:eastAsia="Arial" w:hAnsi="Arial"/>
                <w:sz w:val="14"/>
                <w:szCs w:val="14"/>
                <w:color w:val="auto"/>
              </w:rPr>
              <w:t>Foreign exchange loss</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(104,739)</w:t>
            </w:r>
          </w:p>
        </w:tc>
        <w:tc>
          <w:tcPr>
            <w:tcW w:w="5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(229,415)</w:t>
            </w:r>
          </w:p>
        </w:tc>
      </w:tr>
      <w:tr>
        <w:trPr>
          <w:trHeight w:val="21"/>
        </w:trPr>
        <w:tc>
          <w:tcPr>
            <w:tcW w:w="7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(16,243,432)</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(20,822,929)</w:t>
            </w:r>
          </w:p>
        </w:tc>
      </w:tr>
      <w:tr>
        <w:trPr>
          <w:trHeight w:val="166"/>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1,053,427</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364,105</w:t>
            </w:r>
          </w:p>
        </w:tc>
      </w:tr>
      <w:tr>
        <w:trPr>
          <w:trHeight w:val="166"/>
        </w:trPr>
        <w:tc>
          <w:tcPr>
            <w:tcW w:w="78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(15,190,005)</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(20,458,824)</w:t>
            </w:r>
          </w:p>
        </w:tc>
      </w:tr>
      <w:tr>
        <w:trPr>
          <w:trHeight w:val="166"/>
        </w:trPr>
        <w:tc>
          <w:tcPr>
            <w:tcW w:w="7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loss attributable to the noncontrolling interest in Ocean Power Technologies (Australasia) Pty Ltd.</w:t>
            </w:r>
          </w:p>
        </w:tc>
        <w:tc>
          <w:tcPr>
            <w:tcW w:w="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49,503</w:t>
            </w:r>
          </w:p>
        </w:tc>
        <w:tc>
          <w:tcPr>
            <w:tcW w:w="5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22,950</w:t>
            </w:r>
          </w:p>
        </w:tc>
      </w:tr>
      <w:tr>
        <w:trPr>
          <w:trHeight w:val="166"/>
        </w:trPr>
        <w:tc>
          <w:tcPr>
            <w:tcW w:w="780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Net loss attributable to Ocean Power Technologies, Inc</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(15,140,502)</w:t>
            </w:r>
          </w:p>
        </w:tc>
        <w:tc>
          <w:tcPr>
            <w:tcW w:w="5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(20,435,874)</w:t>
            </w:r>
          </w:p>
        </w:tc>
      </w:tr>
      <w:tr>
        <w:trPr>
          <w:trHeight w:val="147"/>
        </w:trPr>
        <w:tc>
          <w:tcPr>
            <w:tcW w:w="78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Basic and diluted net loss per share</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(1.47)</w:t>
            </w:r>
          </w:p>
        </w:tc>
        <w:tc>
          <w:tcPr>
            <w:tcW w:w="5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(1.99)</w:t>
            </w:r>
          </w:p>
        </w:tc>
      </w:tr>
      <w:tr>
        <w:trPr>
          <w:trHeight w:val="147"/>
        </w:trPr>
        <w:tc>
          <w:tcPr>
            <w:tcW w:w="78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6"/>
        </w:trPr>
        <w:tc>
          <w:tcPr>
            <w:tcW w:w="78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used to compute basic and diluted net loss per share</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10,277,661</w:t>
            </w:r>
          </w:p>
        </w:tc>
        <w:tc>
          <w:tcPr>
            <w:tcW w:w="5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10,246,921</w:t>
            </w:r>
          </w:p>
        </w:tc>
      </w:tr>
      <w:tr>
        <w:trPr>
          <w:trHeight w:val="478"/>
        </w:trPr>
        <w:tc>
          <w:tcPr>
            <w:tcW w:w="7800" w:type="dxa"/>
            <w:vAlign w:val="bottom"/>
            <w:tcBorders>
              <w:top w:val="single" w:sz="8" w:color="CCEEFF"/>
            </w:tcBorders>
          </w:tcPr>
          <w:p>
            <w:pPr>
              <w:ind w:left="4020"/>
              <w:spacing w:after="0"/>
              <w:rPr>
                <w:sz w:val="20"/>
                <w:szCs w:val="20"/>
                <w:color w:val="auto"/>
              </w:rPr>
            </w:pPr>
            <w:r>
              <w:rPr>
                <w:rFonts w:ascii="Arial" w:cs="Arial" w:eastAsia="Arial" w:hAnsi="Arial"/>
                <w:sz w:val="14"/>
                <w:szCs w:val="14"/>
                <w:color w:val="auto"/>
                <w:w w:val="97"/>
              </w:rPr>
              <w:t>See accompanying notes to consolidated financial statements.</w:t>
            </w:r>
          </w:p>
        </w:tc>
        <w:tc>
          <w:tcPr>
            <w:tcW w:w="3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16"/>
        </w:trPr>
        <w:tc>
          <w:tcPr>
            <w:tcW w:w="7800" w:type="dxa"/>
            <w:vAlign w:val="bottom"/>
          </w:tcPr>
          <w:p>
            <w:pPr>
              <w:ind w:left="5640"/>
              <w:spacing w:after="0"/>
              <w:rPr>
                <w:sz w:val="20"/>
                <w:szCs w:val="20"/>
                <w:color w:val="auto"/>
              </w:rPr>
            </w:pPr>
            <w:r>
              <w:rPr>
                <w:rFonts w:ascii="Arial" w:cs="Arial" w:eastAsia="Arial" w:hAnsi="Arial"/>
                <w:sz w:val="14"/>
                <w:szCs w:val="14"/>
                <w:color w:val="auto"/>
              </w:rPr>
              <w:t>F-5</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0"/>
        </w:trPr>
        <w:tc>
          <w:tcPr>
            <w:tcW w:w="780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9"/>
        </w:trPr>
        <w:tc>
          <w:tcPr>
            <w:tcW w:w="1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20" w:type="dxa"/>
            <w:vAlign w:val="bottom"/>
            <w:gridSpan w:val="12"/>
          </w:tcPr>
          <w:p>
            <w:pPr>
              <w:jc w:val="center"/>
              <w:ind w:right="660"/>
              <w:spacing w:after="0"/>
              <w:rPr>
                <w:sz w:val="20"/>
                <w:szCs w:val="20"/>
                <w:color w:val="auto"/>
              </w:rPr>
            </w:pPr>
            <w:r>
              <w:rPr>
                <w:rFonts w:ascii="Arial" w:cs="Arial" w:eastAsia="Arial" w:hAnsi="Arial"/>
                <w:sz w:val="14"/>
                <w:szCs w:val="14"/>
                <w:b w:val="1"/>
                <w:bCs w:val="1"/>
                <w:color w:val="auto"/>
                <w:w w:val="98"/>
              </w:rPr>
              <w:t>OCEAN POWER TECHNOLOGIES, INC. AND SUBSIDIARIES</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3"/>
        </w:trPr>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gridSpan w:val="13"/>
          </w:tcPr>
          <w:p>
            <w:pPr>
              <w:jc w:val="center"/>
              <w:ind w:right="460"/>
              <w:spacing w:after="0"/>
              <w:rPr>
                <w:sz w:val="20"/>
                <w:szCs w:val="20"/>
                <w:color w:val="auto"/>
              </w:rPr>
            </w:pPr>
            <w:r>
              <w:rPr>
                <w:rFonts w:ascii="Arial" w:cs="Arial" w:eastAsia="Arial" w:hAnsi="Arial"/>
                <w:sz w:val="14"/>
                <w:szCs w:val="14"/>
                <w:b w:val="1"/>
                <w:bCs w:val="1"/>
                <w:color w:val="auto"/>
                <w:w w:val="87"/>
              </w:rPr>
              <w:t>Consolidated Statements of Stockholders' Equity and Comprehensive Loss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5"/>
        </w:trPr>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 Ocean</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Power</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Technologies,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1920" w:type="dxa"/>
            <w:vAlign w:val="bottom"/>
          </w:tcPr>
          <w:p>
            <w:pPr>
              <w:spacing w:after="0"/>
              <w:rPr>
                <w:sz w:val="15"/>
                <w:szCs w:val="15"/>
                <w:color w:val="auto"/>
              </w:rPr>
            </w:pPr>
          </w:p>
        </w:tc>
        <w:tc>
          <w:tcPr>
            <w:tcW w:w="154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Shares</w:t>
            </w:r>
          </w:p>
        </w:tc>
        <w:tc>
          <w:tcPr>
            <w:tcW w:w="200" w:type="dxa"/>
            <w:vAlign w:val="bottom"/>
          </w:tcPr>
          <w:p>
            <w:pPr>
              <w:spacing w:after="0"/>
              <w:rPr>
                <w:sz w:val="15"/>
                <w:szCs w:val="15"/>
                <w:color w:val="auto"/>
              </w:rPr>
            </w:pPr>
          </w:p>
        </w:tc>
        <w:tc>
          <w:tcPr>
            <w:tcW w:w="16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Treasury Shares</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Comprehensive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Stockholders</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Noncontrolling</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67"/>
        </w:trPr>
        <w:tc>
          <w:tcPr>
            <w:tcW w:w="19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6"/>
              </w:rPr>
              <w:t>Amount</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16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Balance, April 30, 2010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10,390,563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10,391</w:t>
            </w:r>
          </w:p>
        </w:tc>
        <w:tc>
          <w:tcPr>
            <w:tcW w:w="9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(1,072)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155,726,672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(90,413,098)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(503,322)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64,814,200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40,890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64,855,090</w:t>
            </w: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(20,435,874)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(20,435,874)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(22,950)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(20,458,824)</w:t>
            </w: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9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adjustment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679,229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679,229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683,237</w:t>
            </w:r>
          </w:p>
        </w:tc>
      </w:tr>
      <w:tr>
        <w:trPr>
          <w:trHeight w:val="21"/>
        </w:trPr>
        <w:tc>
          <w:tcPr>
            <w:tcW w:w="19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6"/>
        </w:trPr>
        <w:tc>
          <w:tcPr>
            <w:tcW w:w="1920" w:type="dxa"/>
            <w:vAlign w:val="bottom"/>
          </w:tcPr>
          <w:p>
            <w:pPr>
              <w:ind w:left="420"/>
              <w:spacing w:after="0"/>
              <w:rPr>
                <w:sz w:val="20"/>
                <w:szCs w:val="20"/>
                <w:color w:val="auto"/>
              </w:rPr>
            </w:pPr>
            <w:r>
              <w:rPr>
                <w:rFonts w:ascii="Arial" w:cs="Arial" w:eastAsia="Arial" w:hAnsi="Arial"/>
                <w:sz w:val="14"/>
                <w:szCs w:val="14"/>
                <w:color w:val="auto"/>
                <w:w w:val="93"/>
              </w:rPr>
              <w:t>Total comprehensive loss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(19,756,645)</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(18,942)</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(19,775,587)</w:t>
            </w:r>
          </w:p>
        </w:tc>
      </w:tr>
      <w:tr>
        <w:trPr>
          <w:trHeight w:val="166"/>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192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964,000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964,000</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964,000</w:t>
            </w:r>
          </w:p>
        </w:tc>
      </w:tr>
      <w:tr>
        <w:trPr>
          <w:trHeight w:val="166"/>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5"/>
        </w:trPr>
        <w:tc>
          <w:tcPr>
            <w:tcW w:w="1920" w:type="dxa"/>
            <w:vAlign w:val="bottom"/>
          </w:tcPr>
          <w:p>
            <w:pPr>
              <w:spacing w:after="0" w:line="155" w:lineRule="exact"/>
              <w:rPr>
                <w:sz w:val="20"/>
                <w:szCs w:val="20"/>
                <w:color w:val="auto"/>
              </w:rPr>
            </w:pPr>
            <w:r>
              <w:rPr>
                <w:rFonts w:ascii="Arial" w:cs="Arial" w:eastAsia="Arial" w:hAnsi="Arial"/>
                <w:sz w:val="14"/>
                <w:szCs w:val="14"/>
                <w:color w:val="auto"/>
                <w:w w:val="94"/>
              </w:rPr>
              <w:t>Issuance (forfeiture) of restricted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1920" w:type="dxa"/>
            <w:vAlign w:val="bottom"/>
          </w:tcPr>
          <w:p>
            <w:pPr>
              <w:spacing w:after="0"/>
              <w:rPr>
                <w:sz w:val="20"/>
                <w:szCs w:val="20"/>
                <w:color w:val="auto"/>
              </w:rPr>
            </w:pPr>
            <w:r>
              <w:rPr>
                <w:rFonts w:ascii="Arial" w:cs="Arial" w:eastAsia="Arial" w:hAnsi="Arial"/>
                <w:sz w:val="14"/>
                <w:szCs w:val="14"/>
                <w:color w:val="auto"/>
              </w:rPr>
              <w:t>stock, net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28,620</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484,258</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484,286</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484,286</w:t>
            </w:r>
          </w:p>
        </w:tc>
      </w:tr>
      <w:tr>
        <w:trPr>
          <w:trHeight w:val="167"/>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1920" w:type="dxa"/>
            <w:vAlign w:val="bottom"/>
          </w:tcPr>
          <w:p>
            <w:pPr>
              <w:spacing w:after="0"/>
              <w:rPr>
                <w:sz w:val="20"/>
                <w:szCs w:val="20"/>
                <w:color w:val="auto"/>
              </w:rPr>
            </w:pPr>
            <w:r>
              <w:rPr>
                <w:rFonts w:ascii="Arial" w:cs="Arial" w:eastAsia="Arial" w:hAnsi="Arial"/>
                <w:sz w:val="14"/>
                <w:szCs w:val="14"/>
                <w:color w:val="auto"/>
              </w:rPr>
              <w:t>Acquisition of treasury stock</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(6,613)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(36,291)</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(36,291)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(36,291)</w:t>
            </w:r>
          </w:p>
        </w:tc>
      </w:tr>
      <w:tr>
        <w:trPr>
          <w:trHeight w:val="21"/>
        </w:trPr>
        <w:tc>
          <w:tcPr>
            <w:tcW w:w="1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Balance, April 30, 2011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10,419,183</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10,419</w:t>
            </w:r>
          </w:p>
        </w:tc>
        <w:tc>
          <w:tcPr>
            <w:tcW w:w="9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(7,685)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(42,734)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157,174,930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8"/>
              </w:rPr>
              <w:t>(110,848,972)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175,907</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46,469,550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21,948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46,491,498</w:t>
            </w: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(15,140,502)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(15,140,502)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(49,503)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(15,190,005)</w:t>
            </w:r>
          </w:p>
        </w:tc>
      </w:tr>
      <w:tr>
        <w:trPr>
          <w:trHeight w:val="166"/>
        </w:trPr>
        <w:tc>
          <w:tcPr>
            <w:tcW w:w="1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9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Foreign currency translation</w:t>
            </w: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adjustment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(254,897)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(254,897)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(255,974)</w:t>
            </w:r>
          </w:p>
        </w:tc>
      </w:tr>
      <w:tr>
        <w:trPr>
          <w:trHeight w:val="21"/>
        </w:trPr>
        <w:tc>
          <w:tcPr>
            <w:tcW w:w="19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6"/>
        </w:trPr>
        <w:tc>
          <w:tcPr>
            <w:tcW w:w="1920" w:type="dxa"/>
            <w:vAlign w:val="bottom"/>
          </w:tcPr>
          <w:p>
            <w:pPr>
              <w:ind w:left="420"/>
              <w:spacing w:after="0"/>
              <w:rPr>
                <w:sz w:val="20"/>
                <w:szCs w:val="20"/>
                <w:color w:val="auto"/>
              </w:rPr>
            </w:pPr>
            <w:r>
              <w:rPr>
                <w:rFonts w:ascii="Arial" w:cs="Arial" w:eastAsia="Arial" w:hAnsi="Arial"/>
                <w:sz w:val="14"/>
                <w:szCs w:val="14"/>
                <w:color w:val="auto"/>
                <w:w w:val="93"/>
              </w:rPr>
              <w:t>Total comprehensive loss</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(15,395,399)</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(50,580)</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(15,445,979)</w:t>
            </w:r>
          </w:p>
        </w:tc>
      </w:tr>
      <w:tr>
        <w:trPr>
          <w:trHeight w:val="166"/>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192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1,008,473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1,008,473</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1,008,473</w:t>
            </w:r>
          </w:p>
        </w:tc>
        <w:tc>
          <w:tcPr>
            <w:tcW w:w="100" w:type="dxa"/>
            <w:vAlign w:val="bottom"/>
          </w:tcPr>
          <w:p>
            <w:pPr>
              <w:spacing w:after="0"/>
              <w:rPr>
                <w:sz w:val="14"/>
                <w:szCs w:val="14"/>
                <w:color w:val="auto"/>
              </w:rPr>
            </w:pPr>
          </w:p>
        </w:tc>
      </w:tr>
      <w:tr>
        <w:trPr>
          <w:trHeight w:val="166"/>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5"/>
        </w:trPr>
        <w:tc>
          <w:tcPr>
            <w:tcW w:w="1920" w:type="dxa"/>
            <w:vAlign w:val="bottom"/>
          </w:tcPr>
          <w:p>
            <w:pPr>
              <w:spacing w:after="0" w:line="155" w:lineRule="exact"/>
              <w:rPr>
                <w:sz w:val="20"/>
                <w:szCs w:val="20"/>
                <w:color w:val="auto"/>
              </w:rPr>
            </w:pPr>
            <w:r>
              <w:rPr>
                <w:rFonts w:ascii="Arial" w:cs="Arial" w:eastAsia="Arial" w:hAnsi="Arial"/>
                <w:sz w:val="14"/>
                <w:szCs w:val="14"/>
                <w:color w:val="auto"/>
                <w:w w:val="94"/>
              </w:rPr>
              <w:t>Issuance (forfeiture) of restricted</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1920" w:type="dxa"/>
            <w:vAlign w:val="bottom"/>
          </w:tcPr>
          <w:p>
            <w:pPr>
              <w:spacing w:after="0"/>
              <w:rPr>
                <w:sz w:val="20"/>
                <w:szCs w:val="20"/>
                <w:color w:val="auto"/>
              </w:rPr>
            </w:pPr>
            <w:r>
              <w:rPr>
                <w:rFonts w:ascii="Arial" w:cs="Arial" w:eastAsia="Arial" w:hAnsi="Arial"/>
                <w:sz w:val="14"/>
                <w:szCs w:val="14"/>
                <w:color w:val="auto"/>
              </w:rPr>
              <w:t>stock, net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(11,794)</w:t>
            </w:r>
          </w:p>
        </w:tc>
        <w:tc>
          <w:tcPr>
            <w:tcW w:w="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113,055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113,043</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113,043</w:t>
            </w:r>
          </w:p>
        </w:tc>
      </w:tr>
      <w:tr>
        <w:trPr>
          <w:trHeight w:val="167"/>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1920" w:type="dxa"/>
            <w:vAlign w:val="bottom"/>
          </w:tcPr>
          <w:p>
            <w:pPr>
              <w:spacing w:after="0"/>
              <w:rPr>
                <w:sz w:val="20"/>
                <w:szCs w:val="20"/>
                <w:color w:val="auto"/>
              </w:rPr>
            </w:pPr>
            <w:r>
              <w:rPr>
                <w:rFonts w:ascii="Arial" w:cs="Arial" w:eastAsia="Arial" w:hAnsi="Arial"/>
                <w:sz w:val="14"/>
                <w:szCs w:val="14"/>
                <w:color w:val="auto"/>
              </w:rPr>
              <w:t>Acquisition of treasury stock</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(15,859)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(59,654)</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(59,654)</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(59,654)</w:t>
            </w:r>
          </w:p>
        </w:tc>
      </w:tr>
      <w:tr>
        <w:trPr>
          <w:trHeight w:val="21"/>
        </w:trPr>
        <w:tc>
          <w:tcPr>
            <w:tcW w:w="1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6"/>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Balance, April 30, 2012</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10,407,389</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10,407</w:t>
            </w:r>
          </w:p>
        </w:tc>
        <w:tc>
          <w:tcPr>
            <w:tcW w:w="96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(23,544)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(102,388)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158,296,458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8"/>
              </w:rPr>
              <w:t>(125,989,474)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(78,990)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32,136,013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(28,632)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32,107,381</w:t>
            </w: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Year Ended April 30,</w:t>
            </w:r>
          </w:p>
        </w:tc>
      </w:tr>
      <w:tr>
        <w:trPr>
          <w:trHeight w:val="167"/>
        </w:trPr>
        <w:tc>
          <w:tcPr>
            <w:tcW w:w="7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66"/>
        </w:trPr>
        <w:tc>
          <w:tcPr>
            <w:tcW w:w="7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06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2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(15,190,005)</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(20,458,824)</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Foreign exchange loss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104,739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229,415</w:t>
            </w:r>
          </w:p>
        </w:tc>
      </w:tr>
      <w:tr>
        <w:trPr>
          <w:trHeight w:val="166"/>
        </w:trPr>
        <w:tc>
          <w:tcPr>
            <w:tcW w:w="706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436,062</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358,722</w:t>
            </w:r>
          </w:p>
        </w:tc>
      </w:tr>
      <w:tr>
        <w:trPr>
          <w:trHeight w:val="166"/>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disposals of property, plant and equipment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52,128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5,293</w:t>
            </w:r>
          </w:p>
        </w:tc>
      </w:tr>
      <w:tr>
        <w:trPr>
          <w:trHeight w:val="166"/>
        </w:trPr>
        <w:tc>
          <w:tcPr>
            <w:tcW w:w="7060" w:type="dxa"/>
            <w:vAlign w:val="bottom"/>
          </w:tcPr>
          <w:p>
            <w:pPr>
              <w:ind w:left="340"/>
              <w:spacing w:after="0"/>
              <w:rPr>
                <w:sz w:val="20"/>
                <w:szCs w:val="20"/>
                <w:color w:val="auto"/>
              </w:rPr>
            </w:pPr>
            <w:r>
              <w:rPr>
                <w:rFonts w:ascii="Arial" w:cs="Arial" w:eastAsia="Arial" w:hAnsi="Arial"/>
                <w:sz w:val="14"/>
                <w:szCs w:val="14"/>
                <w:color w:val="auto"/>
              </w:rPr>
              <w:t>Impairment of long-lived assets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358,447</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6"/>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Provision for doubtful accounts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298,534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6"/>
        </w:trPr>
        <w:tc>
          <w:tcPr>
            <w:tcW w:w="7060" w:type="dxa"/>
            <w:vAlign w:val="bottom"/>
          </w:tcPr>
          <w:p>
            <w:pPr>
              <w:ind w:left="340"/>
              <w:spacing w:after="0"/>
              <w:rPr>
                <w:sz w:val="20"/>
                <w:szCs w:val="20"/>
                <w:color w:val="auto"/>
              </w:rPr>
            </w:pPr>
            <w:r>
              <w:rPr>
                <w:rFonts w:ascii="Arial" w:cs="Arial" w:eastAsia="Arial" w:hAnsi="Arial"/>
                <w:sz w:val="14"/>
                <w:szCs w:val="14"/>
                <w:color w:val="auto"/>
              </w:rPr>
              <w:t>Treasury note (discount) premium amortization</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(33,353)</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71,236</w:t>
            </w:r>
          </w:p>
        </w:tc>
      </w:tr>
      <w:tr>
        <w:trPr>
          <w:trHeight w:val="166"/>
        </w:trPr>
        <w:tc>
          <w:tcPr>
            <w:tcW w:w="70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Compensation expense related to stock option grants and restricted stock</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1,121,528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1,448,286</w:t>
            </w:r>
          </w:p>
        </w:tc>
      </w:tr>
      <w:tr>
        <w:trPr>
          <w:trHeight w:val="166"/>
        </w:trPr>
        <w:tc>
          <w:tcPr>
            <w:tcW w:w="7060" w:type="dxa"/>
            <w:vAlign w:val="bottom"/>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0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Accounts receivable</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(126,722)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277,115</w:t>
            </w:r>
          </w:p>
        </w:tc>
      </w:tr>
      <w:tr>
        <w:trPr>
          <w:trHeight w:val="166"/>
        </w:trPr>
        <w:tc>
          <w:tcPr>
            <w:tcW w:w="7060" w:type="dxa"/>
            <w:vAlign w:val="bottom"/>
          </w:tcPr>
          <w:p>
            <w:pPr>
              <w:ind w:left="580"/>
              <w:spacing w:after="0"/>
              <w:rPr>
                <w:sz w:val="20"/>
                <w:szCs w:val="20"/>
                <w:color w:val="auto"/>
              </w:rPr>
            </w:pPr>
            <w:r>
              <w:rPr>
                <w:rFonts w:ascii="Arial" w:cs="Arial" w:eastAsia="Arial" w:hAnsi="Arial"/>
                <w:sz w:val="14"/>
                <w:szCs w:val="14"/>
                <w:color w:val="auto"/>
              </w:rPr>
              <w:t>Unbilled receivables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226,840</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1,396</w:t>
            </w:r>
          </w:p>
        </w:tc>
      </w:tr>
      <w:tr>
        <w:trPr>
          <w:trHeight w:val="166"/>
        </w:trPr>
        <w:tc>
          <w:tcPr>
            <w:tcW w:w="70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 current assets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(17,291)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198,569</w:t>
            </w:r>
          </w:p>
        </w:tc>
      </w:tr>
      <w:tr>
        <w:trPr>
          <w:trHeight w:val="166"/>
        </w:trPr>
        <w:tc>
          <w:tcPr>
            <w:tcW w:w="7060" w:type="dxa"/>
            <w:vAlign w:val="bottom"/>
          </w:tcPr>
          <w:p>
            <w:pPr>
              <w:ind w:left="580"/>
              <w:spacing w:after="0"/>
              <w:rPr>
                <w:sz w:val="20"/>
                <w:szCs w:val="20"/>
                <w:color w:val="auto"/>
              </w:rPr>
            </w:pPr>
            <w:r>
              <w:rPr>
                <w:rFonts w:ascii="Arial" w:cs="Arial" w:eastAsia="Arial" w:hAnsi="Arial"/>
                <w:sz w:val="14"/>
                <w:szCs w:val="14"/>
                <w:color w:val="auto"/>
              </w:rPr>
              <w:t>Other noncurrent assets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43,504</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903,729</w:t>
            </w:r>
          </w:p>
        </w:tc>
      </w:tr>
      <w:tr>
        <w:trPr>
          <w:trHeight w:val="166"/>
        </w:trPr>
        <w:tc>
          <w:tcPr>
            <w:tcW w:w="70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Accounts payable</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(546,709)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(891,417)</w:t>
            </w:r>
          </w:p>
        </w:tc>
      </w:tr>
      <w:tr>
        <w:trPr>
          <w:trHeight w:val="166"/>
        </w:trPr>
        <w:tc>
          <w:tcPr>
            <w:tcW w:w="7060" w:type="dxa"/>
            <w:vAlign w:val="bottom"/>
          </w:tcPr>
          <w:p>
            <w:pPr>
              <w:ind w:left="580"/>
              <w:spacing w:after="0"/>
              <w:rPr>
                <w:sz w:val="20"/>
                <w:szCs w:val="20"/>
                <w:color w:val="auto"/>
              </w:rPr>
            </w:pPr>
            <w:r>
              <w:rPr>
                <w:rFonts w:ascii="Arial" w:cs="Arial" w:eastAsia="Arial" w:hAnsi="Arial"/>
                <w:sz w:val="14"/>
                <w:szCs w:val="14"/>
                <w:color w:val="auto"/>
              </w:rPr>
              <w:t>Accrued expenses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(1,371,912)</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(7,923)</w:t>
            </w:r>
          </w:p>
        </w:tc>
      </w:tr>
      <w:tr>
        <w:trPr>
          <w:trHeight w:val="166"/>
        </w:trPr>
        <w:tc>
          <w:tcPr>
            <w:tcW w:w="7060" w:type="dxa"/>
            <w:vAlign w:val="bottom"/>
            <w:shd w:val="clear" w:color="auto" w:fill="CCEEFF"/>
          </w:tcPr>
          <w:p>
            <w:pPr>
              <w:ind w:left="580"/>
              <w:spacing w:after="0"/>
              <w:rPr>
                <w:sz w:val="20"/>
                <w:szCs w:val="20"/>
                <w:color w:val="auto"/>
              </w:rPr>
            </w:pPr>
            <w:r>
              <w:rPr>
                <w:rFonts w:ascii="Arial" w:cs="Arial" w:eastAsia="Arial" w:hAnsi="Arial"/>
                <w:sz w:val="14"/>
                <w:szCs w:val="14"/>
                <w:color w:val="auto"/>
              </w:rPr>
              <w:t>Unearned revenues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729,367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(761,473)</w:t>
            </w:r>
          </w:p>
        </w:tc>
      </w:tr>
      <w:tr>
        <w:trPr>
          <w:trHeight w:val="167"/>
        </w:trPr>
        <w:tc>
          <w:tcPr>
            <w:tcW w:w="7060" w:type="dxa"/>
            <w:vAlign w:val="bottom"/>
          </w:tcPr>
          <w:p>
            <w:pPr>
              <w:ind w:left="580"/>
              <w:spacing w:after="0"/>
              <w:rPr>
                <w:sz w:val="20"/>
                <w:szCs w:val="20"/>
                <w:color w:val="auto"/>
              </w:rPr>
            </w:pPr>
            <w:r>
              <w:rPr>
                <w:rFonts w:ascii="Arial" w:cs="Arial" w:eastAsia="Arial" w:hAnsi="Arial"/>
                <w:sz w:val="14"/>
                <w:szCs w:val="14"/>
                <w:color w:val="auto"/>
              </w:rPr>
              <w:t>Other noncurrent liabilities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(144,226)</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60" w:type="dxa"/>
            <w:vAlign w:val="bottom"/>
          </w:tcPr>
          <w:p>
            <w:pPr>
              <w:ind w:left="700"/>
              <w:spacing w:after="0"/>
              <w:rPr>
                <w:sz w:val="20"/>
                <w:szCs w:val="20"/>
                <w:color w:val="auto"/>
              </w:rPr>
            </w:pPr>
            <w:r>
              <w:rPr>
                <w:rFonts w:ascii="Arial" w:cs="Arial" w:eastAsia="Arial" w:hAnsi="Arial"/>
                <w:sz w:val="14"/>
                <w:szCs w:val="14"/>
                <w:color w:val="auto"/>
              </w:rPr>
              <w:t>Net cash used in operating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(13,914,843)</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(18,770,102)</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ind w:left="120"/>
              <w:spacing w:after="0"/>
              <w:rPr>
                <w:sz w:val="20"/>
                <w:szCs w:val="20"/>
                <w:color w:val="auto"/>
              </w:rPr>
            </w:pPr>
            <w:r>
              <w:rPr>
                <w:rFonts w:ascii="Arial" w:cs="Arial" w:eastAsia="Arial" w:hAnsi="Arial"/>
                <w:sz w:val="14"/>
                <w:szCs w:val="14"/>
                <w:color w:val="auto"/>
              </w:rPr>
              <w:t>Purchases of marketable securities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(18,574,454)</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(7,993,642)</w:t>
            </w:r>
          </w:p>
        </w:tc>
      </w:tr>
      <w:tr>
        <w:trPr>
          <w:trHeight w:val="166"/>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Maturities of marketable securities</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38,559,110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27,059,601</w:t>
            </w:r>
          </w:p>
        </w:tc>
      </w:tr>
      <w:tr>
        <w:trPr>
          <w:trHeight w:val="166"/>
        </w:trPr>
        <w:tc>
          <w:tcPr>
            <w:tcW w:w="706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53,936</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(302,871)</w:t>
            </w:r>
          </w:p>
        </w:tc>
      </w:tr>
      <w:tr>
        <w:trPr>
          <w:trHeight w:val="166"/>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equipment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(547,252)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(72,998)</w:t>
            </w:r>
          </w:p>
        </w:tc>
      </w:tr>
      <w:tr>
        <w:trPr>
          <w:trHeight w:val="167"/>
        </w:trPr>
        <w:tc>
          <w:tcPr>
            <w:tcW w:w="7060" w:type="dxa"/>
            <w:vAlign w:val="bottom"/>
          </w:tcPr>
          <w:p>
            <w:pPr>
              <w:ind w:left="120"/>
              <w:spacing w:after="0"/>
              <w:rPr>
                <w:sz w:val="20"/>
                <w:szCs w:val="20"/>
                <w:color w:val="auto"/>
              </w:rPr>
            </w:pPr>
            <w:r>
              <w:rPr>
                <w:rFonts w:ascii="Arial" w:cs="Arial" w:eastAsia="Arial" w:hAnsi="Arial"/>
                <w:sz w:val="14"/>
                <w:szCs w:val="14"/>
                <w:color w:val="auto"/>
              </w:rPr>
              <w:t>Payments of patent costs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(180,011)</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(258,732)</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60" w:type="dxa"/>
            <w:vAlign w:val="bottom"/>
          </w:tcPr>
          <w:p>
            <w:pPr>
              <w:ind w:left="700"/>
              <w:spacing w:after="0"/>
              <w:rPr>
                <w:sz w:val="20"/>
                <w:szCs w:val="20"/>
                <w:color w:val="auto"/>
              </w:rPr>
            </w:pPr>
            <w:r>
              <w:rPr>
                <w:rFonts w:ascii="Arial" w:cs="Arial" w:eastAsia="Arial" w:hAnsi="Arial"/>
                <w:sz w:val="14"/>
                <w:szCs w:val="14"/>
                <w:color w:val="auto"/>
              </w:rPr>
              <w:t>Net cash provided by investing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19,311,329</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18,431,358</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ind w:left="120"/>
              <w:spacing w:after="0"/>
              <w:rPr>
                <w:sz w:val="20"/>
                <w:szCs w:val="20"/>
                <w:color w:val="auto"/>
              </w:rPr>
            </w:pPr>
            <w:r>
              <w:rPr>
                <w:rFonts w:ascii="Arial" w:cs="Arial" w:eastAsia="Arial" w:hAnsi="Arial"/>
                <w:sz w:val="14"/>
                <w:szCs w:val="14"/>
                <w:color w:val="auto"/>
              </w:rPr>
              <w:t>Proceeds from long-term debt</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250,000</w:t>
            </w:r>
          </w:p>
        </w:tc>
      </w:tr>
      <w:tr>
        <w:trPr>
          <w:trHeight w:val="166"/>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 of long-term debt</w:t>
            </w: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(139,378)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(6,008)</w:t>
            </w:r>
          </w:p>
        </w:tc>
      </w:tr>
      <w:tr>
        <w:trPr>
          <w:trHeight w:val="167"/>
        </w:trPr>
        <w:tc>
          <w:tcPr>
            <w:tcW w:w="7060" w:type="dxa"/>
            <w:vAlign w:val="bottom"/>
          </w:tcPr>
          <w:p>
            <w:pPr>
              <w:ind w:left="120"/>
              <w:spacing w:after="0"/>
              <w:rPr>
                <w:sz w:val="20"/>
                <w:szCs w:val="20"/>
                <w:color w:val="auto"/>
              </w:rPr>
            </w:pPr>
            <w:r>
              <w:rPr>
                <w:rFonts w:ascii="Arial" w:cs="Arial" w:eastAsia="Arial" w:hAnsi="Arial"/>
                <w:sz w:val="14"/>
                <w:szCs w:val="14"/>
                <w:color w:val="auto"/>
              </w:rPr>
              <w:t>Acquisition of treasury stock</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(59,654)</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(36,291)</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60" w:type="dxa"/>
            <w:vAlign w:val="bottom"/>
          </w:tcPr>
          <w:p>
            <w:pPr>
              <w:ind w:left="700"/>
              <w:spacing w:after="0"/>
              <w:rPr>
                <w:sz w:val="20"/>
                <w:szCs w:val="20"/>
                <w:color w:val="auto"/>
              </w:rPr>
            </w:pPr>
            <w:r>
              <w:rPr>
                <w:rFonts w:ascii="Arial" w:cs="Arial" w:eastAsia="Arial" w:hAnsi="Arial"/>
                <w:sz w:val="14"/>
                <w:szCs w:val="14"/>
                <w:color w:val="auto"/>
              </w:rPr>
              <w:t>Net cash (used in) provided by financing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(199,032)</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207,701</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6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(220,130)</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270,582</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ind w:left="700"/>
              <w:spacing w:after="0"/>
              <w:rPr>
                <w:sz w:val="20"/>
                <w:szCs w:val="20"/>
                <w:color w:val="auto"/>
              </w:rPr>
            </w:pPr>
            <w:r>
              <w:rPr>
                <w:rFonts w:ascii="Arial" w:cs="Arial" w:eastAsia="Arial" w:hAnsi="Arial"/>
                <w:sz w:val="14"/>
                <w:szCs w:val="14"/>
                <w:color w:val="auto"/>
              </w:rPr>
              <w:t>Net increase in cash and cash equivalents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4,977,324</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139,539</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06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4,376,136</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4,236,597</w:t>
            </w:r>
          </w:p>
        </w:tc>
      </w:tr>
      <w:tr>
        <w:trPr>
          <w:trHeight w:val="166"/>
        </w:trPr>
        <w:tc>
          <w:tcPr>
            <w:tcW w:w="706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70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9,353,460</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4,376,136</w:t>
            </w:r>
          </w:p>
        </w:tc>
      </w:tr>
      <w:tr>
        <w:trPr>
          <w:trHeight w:val="20"/>
        </w:trPr>
        <w:tc>
          <w:tcPr>
            <w:tcW w:w="7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70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7060" w:type="dxa"/>
            <w:vAlign w:val="bottom"/>
          </w:tcPr>
          <w:p>
            <w:pPr>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7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Capitalized patent costs financed through accounts payable and accrued espenses expenses</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41,722</w:t>
            </w:r>
          </w:p>
        </w:tc>
      </w:tr>
      <w:tr>
        <w:trPr>
          <w:trHeight w:val="175"/>
        </w:trPr>
        <w:tc>
          <w:tcPr>
            <w:tcW w:w="7060" w:type="dxa"/>
            <w:vAlign w:val="bottom"/>
          </w:tcPr>
          <w:p>
            <w:pPr>
              <w:ind w:left="120"/>
              <w:spacing w:after="0"/>
              <w:rPr>
                <w:sz w:val="20"/>
                <w:szCs w:val="20"/>
                <w:color w:val="auto"/>
              </w:rPr>
            </w:pPr>
            <w:r>
              <w:rPr>
                <w:rFonts w:ascii="Arial" w:cs="Arial" w:eastAsia="Arial" w:hAnsi="Arial"/>
                <w:sz w:val="14"/>
                <w:szCs w:val="14"/>
                <w:color w:val="auto"/>
              </w:rPr>
              <w:t>Capitalized purchases of equipment financed through accounts payable and accrued expenses</w:t>
            </w:r>
          </w:p>
        </w:tc>
        <w:tc>
          <w:tcPr>
            <w:tcW w:w="1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42,344</w:t>
            </w: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314,824</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378" w:lineRule="exact"/>
        <w:rPr>
          <w:sz w:val="20"/>
          <w:szCs w:val="20"/>
          <w:color w:val="auto"/>
        </w:rPr>
      </w:pPr>
    </w:p>
    <w:p>
      <w:pPr>
        <w:ind w:left="480" w:hanging="477"/>
        <w:spacing w:after="0"/>
        <w:tabs>
          <w:tab w:leader="none" w:pos="48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Background</w:t>
      </w:r>
    </w:p>
    <w:p>
      <w:pPr>
        <w:spacing w:after="0" w:line="17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Ocean Power Technologies, Inc. (the Company) was incorporated on April 19, 1984 in the State of New Jersey, commenced active operations in 1994 and re-incorporated in the State of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348" w:lineRule="exact"/>
        <w:rPr>
          <w:sz w:val="20"/>
          <w:szCs w:val="20"/>
          <w:color w:val="auto"/>
        </w:rPr>
      </w:pPr>
    </w:p>
    <w:p>
      <w:pPr>
        <w:ind w:left="480" w:hanging="477"/>
        <w:spacing w:after="0"/>
        <w:tabs>
          <w:tab w:leader="none" w:pos="48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361" w:lineRule="exact"/>
        <w:rPr>
          <w:rFonts w:ascii="Arial" w:cs="Arial" w:eastAsia="Arial" w:hAnsi="Arial"/>
          <w:sz w:val="14"/>
          <w:szCs w:val="14"/>
          <w:b w:val="1"/>
          <w:bCs w:val="1"/>
          <w:color w:val="auto"/>
        </w:rPr>
      </w:pPr>
    </w:p>
    <w:p>
      <w:pPr>
        <w:ind w:left="600" w:hanging="493"/>
        <w:spacing w:after="0"/>
        <w:tabs>
          <w:tab w:leader="none" w:pos="600" w:val="left"/>
        </w:tabs>
        <w:numPr>
          <w:ilvl w:val="1"/>
          <w:numId w:val="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 and Cost Method Investment</w:t>
      </w:r>
    </w:p>
    <w:p>
      <w:pPr>
        <w:spacing w:after="0" w:line="171"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 For the years presented in the accompanying consolidated financial statements, there was one noncontrolling interest, consisting of 11.8% of the Company's Australian subsidiary.</w:t>
      </w:r>
    </w:p>
    <w:p>
      <w:pPr>
        <w:spacing w:after="0" w:line="19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For the years presented in the accompanying consolidated financial statements, there were no such entities.</w:t>
      </w:r>
    </w:p>
    <w:p>
      <w:pPr>
        <w:spacing w:after="0" w:line="186" w:lineRule="exact"/>
        <w:rPr>
          <w:sz w:val="20"/>
          <w:szCs w:val="20"/>
          <w:color w:val="auto"/>
        </w:rPr>
      </w:pPr>
    </w:p>
    <w:p>
      <w:pPr>
        <w:jc w:val="both"/>
        <w:ind w:firstLine="373"/>
        <w:spacing w:after="0" w:line="251" w:lineRule="auto"/>
        <w:rPr>
          <w:sz w:val="20"/>
          <w:szCs w:val="20"/>
          <w:color w:val="auto"/>
        </w:rPr>
      </w:pPr>
      <w:r>
        <w:rPr>
          <w:rFonts w:ascii="Arial" w:cs="Arial" w:eastAsia="Arial" w:hAnsi="Arial"/>
          <w:sz w:val="14"/>
          <w:szCs w:val="14"/>
          <w:color w:val="auto"/>
        </w:rPr>
        <w:t>The Company has a 10% investment in Iberdrola Energias Marinas de Cantabria, S.A. (Iberdrola Cantabria). During the fourth quarter of fiscal 2012, the Company evaluated the realizability of this investment and concluded that it was impaired. Representing 100% of the Company’s investment, the amount of the impairment was $0.3 million which was recorded as selling, general, and administrative expense on the accompanying statement of operations. This assessment was based upon the specific business activities currently being performed by Iberdrola Cantabria as well as the current overall economic environment in Europe. Additionally, net accounts receivable and unbilled receivables from Iberdrola Cantabria were $0 and $0.3 million as of April 30, 2012 and 2011, respectively. See Note 13(c). As discussed above, given the uncertainty surrounding this investment, outstanding receivables from Iberdrola Cantabria in the amount of $0.3 million as of April 2012 were fully reserved during the fourth quarter of fiscal 2012.</w:t>
      </w:r>
    </w:p>
    <w:p>
      <w:pPr>
        <w:spacing w:after="0" w:line="359" w:lineRule="exact"/>
        <w:rPr>
          <w:sz w:val="20"/>
          <w:szCs w:val="20"/>
          <w:color w:val="auto"/>
        </w:rPr>
      </w:pPr>
    </w:p>
    <w:p>
      <w:pPr>
        <w:ind w:left="600" w:hanging="493"/>
        <w:spacing w:after="0"/>
        <w:tabs>
          <w:tab w:leader="none" w:pos="600" w:val="left"/>
        </w:tabs>
        <w:numPr>
          <w:ilvl w:val="0"/>
          <w:numId w:val="3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Use of Estimates</w:t>
      </w:r>
    </w:p>
    <w:p>
      <w:pPr>
        <w:spacing w:after="0" w:line="171"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26" w:right="2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2" w:lineRule="exact"/>
        <w:rPr>
          <w:sz w:val="20"/>
          <w:szCs w:val="20"/>
          <w:color w:val="auto"/>
        </w:rPr>
      </w:pPr>
    </w:p>
    <w:p>
      <w:pPr>
        <w:ind w:left="600" w:hanging="493"/>
        <w:spacing w:after="0"/>
        <w:tabs>
          <w:tab w:leader="none" w:pos="600" w:val="left"/>
        </w:tabs>
        <w:numPr>
          <w:ilvl w:val="0"/>
          <w:numId w:val="3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Revenue Recognition</w:t>
      </w:r>
    </w:p>
    <w:p>
      <w:pPr>
        <w:spacing w:after="0" w:line="171"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69" w:lineRule="exact"/>
        <w:rPr>
          <w:sz w:val="20"/>
          <w:szCs w:val="20"/>
          <w:color w:val="auto"/>
        </w:rPr>
      </w:pPr>
    </w:p>
    <w:p>
      <w:pPr>
        <w:jc w:val="both"/>
        <w:ind w:firstLine="373"/>
        <w:spacing w:after="0" w:line="299" w:lineRule="auto"/>
        <w:rPr>
          <w:sz w:val="20"/>
          <w:szCs w:val="20"/>
          <w:color w:val="auto"/>
        </w:rPr>
      </w:pPr>
      <w:r>
        <w:rPr>
          <w:rFonts w:ascii="Arial" w:cs="Arial" w:eastAsia="Arial" w:hAnsi="Arial"/>
          <w:sz w:val="12"/>
          <w:szCs w:val="12"/>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 Accruals related to losses on contracts in the amount of approximately $785,000 are included in accrued expenses in the accompanying consolidated balance sheets as of April 30, 2012 and 2011. During the year ended April 30, 2011, the Company’s revenue was reduced by approximately $243,000 due to a change in estimated revenue to be recognized in connection with the 2006 Spain Construction Agreement.</w:t>
      </w:r>
    </w:p>
    <w:p>
      <w:pPr>
        <w:spacing w:after="0" w:line="166" w:lineRule="exact"/>
        <w:rPr>
          <w:sz w:val="20"/>
          <w:szCs w:val="20"/>
          <w:color w:val="auto"/>
        </w:rPr>
      </w:pPr>
    </w:p>
    <w:p>
      <w:pPr>
        <w:jc w:val="both"/>
        <w:ind w:firstLine="373"/>
        <w:spacing w:after="0" w:line="353" w:lineRule="auto"/>
        <w:rPr>
          <w:sz w:val="20"/>
          <w:szCs w:val="20"/>
          <w:color w:val="auto"/>
        </w:rPr>
      </w:pPr>
      <w:r>
        <w:rPr>
          <w:rFonts w:ascii="Arial" w:cs="Arial" w:eastAsia="Arial" w:hAnsi="Arial"/>
          <w:sz w:val="12"/>
          <w:szCs w:val="12"/>
          <w:color w:val="auto"/>
        </w:rPr>
        <w:t>Under cost plus and firm fixed price contracts there is a profit or loss on the project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33"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 During the year ended April 30, 2012, the Company received a $1.1 million advance payment, which was recorded as unearned revenues, related to a grant from the European Union for the WavePort project in Spain. As of April 30, 2012, $467,000 of the advanced payment remained in unearned revenue.</w:t>
      </w:r>
    </w:p>
    <w:p>
      <w:pPr>
        <w:spacing w:after="0" w:line="356" w:lineRule="exact"/>
        <w:rPr>
          <w:sz w:val="20"/>
          <w:szCs w:val="20"/>
          <w:color w:val="auto"/>
        </w:rPr>
      </w:pPr>
    </w:p>
    <w:p>
      <w:pPr>
        <w:ind w:left="600" w:hanging="493"/>
        <w:spacing w:after="0"/>
        <w:tabs>
          <w:tab w:leader="none" w:pos="600" w:val="left"/>
        </w:tabs>
        <w:numPr>
          <w:ilvl w:val="0"/>
          <w:numId w:val="3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Cash and Cash Equivalents</w:t>
      </w: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Cash equivalents consist of investments in short-term financial instruments with initial maturities of three months or less from the date of purchase. Cash and cash equivalents include the following:</w:t>
      </w:r>
    </w:p>
    <w:p>
      <w:pPr>
        <w:spacing w:after="0" w:line="37"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April 30,</w:t>
      </w:r>
    </w:p>
    <w:p>
      <w:pPr>
        <w:spacing w:after="0" w:line="5"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1320" w:type="dxa"/>
            <w:vAlign w:val="bottom"/>
            <w:tcBorders>
              <w:top w:val="single" w:sz="8" w:color="auto"/>
            </w:tcBorders>
            <w:gridSpan w:val="2"/>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4"/>
                <w:szCs w:val="14"/>
                <w:color w:val="auto"/>
              </w:rPr>
              <w:t>Checking and savings accounts</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2,051,918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3,621,136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Certificates of deposits and US Treasury obligations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5,998,925</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273,000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1,302,617</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482,000</w:t>
            </w: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9,353,460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4,376,136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600" w:hanging="493"/>
        <w:spacing w:after="0"/>
        <w:tabs>
          <w:tab w:leader="none" w:pos="600" w:val="left"/>
        </w:tabs>
        <w:numPr>
          <w:ilvl w:val="0"/>
          <w:numId w:val="3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Marketable Securities</w:t>
      </w:r>
    </w:p>
    <w:p>
      <w:pPr>
        <w:spacing w:after="0" w:line="171"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April 30, 2012 and 2011, all of the Company's investments were classified as held-to-maturity.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2" w:lineRule="exact"/>
        <w:rPr>
          <w:sz w:val="20"/>
          <w:szCs w:val="20"/>
          <w:color w:val="auto"/>
        </w:rPr>
      </w:pPr>
    </w:p>
    <w:p>
      <w:pPr>
        <w:ind w:left="600" w:hanging="493"/>
        <w:spacing w:after="0"/>
        <w:tabs>
          <w:tab w:leader="none" w:pos="600" w:val="left"/>
        </w:tabs>
        <w:numPr>
          <w:ilvl w:val="0"/>
          <w:numId w:val="3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Restricted Cash and Credit Facility</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portion of the Company’s cash is restricted under the terms of two security agreements.</w:t>
      </w:r>
    </w:p>
    <w:p>
      <w:pPr>
        <w:spacing w:after="0" w:line="212"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($1,060,000 at April 30, 2012) credit facility established by Barclays Bank for Ocean Power Technologies Ltd. The credit facility is for the issuance of letters of credit and bank guarantees and carries a fee of 1% per annum of the amount of any such obligations issued by Barclays Bank. As of April 30, 2012, there were €266,000 ($352,000) in letters of credit outstanding under this agreement. The credit facility does not have an expiration date, but is cancelable at the discretion of the bank.</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other agreement is between Ocean Power Technologies, Inc. and the New Jersey Board of Public Utilities (NJBPU). The Company received a $500,000 recoverable grant award from the NJBPU.</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Under this agreement, the Company is required to assign to the NJBPU a certificate of deposit in an amount equal to the outstanding grant balance. See Note 7.</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6420" w:type="dxa"/>
            <w:vAlign w:val="bottom"/>
            <w:gridSpan w:val="2"/>
          </w:tcPr>
          <w:p>
            <w:pPr>
              <w:spacing w:after="0"/>
              <w:rPr>
                <w:sz w:val="20"/>
                <w:szCs w:val="20"/>
                <w:color w:val="auto"/>
              </w:rPr>
            </w:pPr>
            <w:r>
              <w:rPr>
                <w:rFonts w:ascii="Arial" w:cs="Arial" w:eastAsia="Arial" w:hAnsi="Arial"/>
                <w:sz w:val="14"/>
                <w:szCs w:val="14"/>
                <w:color w:val="auto"/>
              </w:rPr>
              <w:t>Cash restricted under security agreements is as follows:</w:t>
            </w:r>
          </w:p>
        </w:tc>
        <w:tc>
          <w:tcPr>
            <w:tcW w:w="240" w:type="dxa"/>
            <w:vAlign w:val="bottom"/>
          </w:tcPr>
          <w:p>
            <w:pPr>
              <w:spacing w:after="0"/>
              <w:rPr>
                <w:sz w:val="15"/>
                <w:szCs w:val="15"/>
                <w:color w:val="auto"/>
              </w:rPr>
            </w:pPr>
          </w:p>
        </w:tc>
        <w:tc>
          <w:tcPr>
            <w:tcW w:w="138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April 30,</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Barclays Bank agreement</w:t>
            </w: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953,712</w:t>
            </w:r>
          </w:p>
        </w:tc>
        <w:tc>
          <w:tcPr>
            <w:tcW w:w="3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1,068,336</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6180" w:type="dxa"/>
            <w:vAlign w:val="bottom"/>
          </w:tcPr>
          <w:p>
            <w:pPr>
              <w:spacing w:after="0"/>
              <w:rPr>
                <w:sz w:val="20"/>
                <w:szCs w:val="20"/>
                <w:color w:val="auto"/>
              </w:rPr>
            </w:pPr>
            <w:r>
              <w:rPr>
                <w:rFonts w:ascii="Arial" w:cs="Arial" w:eastAsia="Arial" w:hAnsi="Arial"/>
                <w:sz w:val="14"/>
                <w:szCs w:val="14"/>
                <w:color w:val="auto"/>
              </w:rPr>
              <w:t>NJBPU agreement</w:t>
            </w:r>
          </w:p>
        </w:tc>
        <w:tc>
          <w:tcPr>
            <w:tcW w:w="2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500,000</w:t>
            </w:r>
          </w:p>
        </w:tc>
        <w:tc>
          <w:tcPr>
            <w:tcW w:w="3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67"/>
        </w:trPr>
        <w:tc>
          <w:tcPr>
            <w:tcW w:w="24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4"/>
                <w:szCs w:val="14"/>
                <w:color w:val="auto"/>
              </w:rPr>
              <w:t>Escrow account</w:t>
            </w:r>
          </w:p>
        </w:tc>
        <w:tc>
          <w:tcPr>
            <w:tcW w:w="24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56,333</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6180" w:type="dxa"/>
            <w:vAlign w:val="bottom"/>
            <w:tcBorders>
              <w:top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1,453,712</w:t>
            </w:r>
          </w:p>
        </w:tc>
        <w:tc>
          <w:tcPr>
            <w:tcW w:w="180" w:type="dxa"/>
            <w:vAlign w:val="bottom"/>
            <w:tcBorders>
              <w:top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1,624,669</w:t>
            </w: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600" w:hanging="493"/>
        <w:spacing w:after="0"/>
        <w:tabs>
          <w:tab w:leader="none" w:pos="600" w:val="left"/>
        </w:tabs>
        <w:numPr>
          <w:ilvl w:val="0"/>
          <w:numId w:val="3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Property and Equipment</w:t>
      </w:r>
    </w:p>
    <w:p>
      <w:pPr>
        <w:spacing w:after="0" w:line="171"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w:t>
      </w:r>
    </w:p>
    <w:p>
      <w:pPr>
        <w:spacing w:after="0" w:line="352" w:lineRule="exact"/>
        <w:rPr>
          <w:sz w:val="20"/>
          <w:szCs w:val="20"/>
          <w:color w:val="auto"/>
        </w:rPr>
      </w:pPr>
    </w:p>
    <w:p>
      <w:pPr>
        <w:ind w:left="600" w:hanging="493"/>
        <w:spacing w:after="0"/>
        <w:tabs>
          <w:tab w:leader="none" w:pos="600" w:val="left"/>
        </w:tabs>
        <w:numPr>
          <w:ilvl w:val="0"/>
          <w:numId w:val="3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Exchange Gains and Losses</w:t>
      </w:r>
    </w:p>
    <w:p>
      <w:pPr>
        <w:spacing w:after="0" w:line="212" w:lineRule="exact"/>
        <w:rPr>
          <w:sz w:val="20"/>
          <w:szCs w:val="20"/>
          <w:color w:val="auto"/>
        </w:rPr>
      </w:pPr>
    </w:p>
    <w:p>
      <w:pPr>
        <w:jc w:val="both"/>
        <w:ind w:firstLine="373"/>
        <w:spacing w:after="0" w:line="287" w:lineRule="auto"/>
        <w:rPr>
          <w:sz w:val="20"/>
          <w:szCs w:val="20"/>
          <w:color w:val="auto"/>
        </w:rPr>
      </w:pPr>
      <w:r>
        <w:rPr>
          <w:rFonts w:ascii="Arial" w:cs="Arial" w:eastAsia="Arial" w:hAnsi="Arial"/>
          <w:sz w:val="13"/>
          <w:szCs w:val="13"/>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Year Ended April 30,</w:t>
            </w:r>
          </w:p>
        </w:tc>
        <w:tc>
          <w:tcPr>
            <w:tcW w:w="2280" w:type="dxa"/>
            <w:vAlign w:val="bottom"/>
          </w:tcPr>
          <w:p>
            <w:pPr>
              <w:spacing w:after="0"/>
              <w:rPr>
                <w:sz w:val="15"/>
                <w:szCs w:val="15"/>
                <w:color w:val="auto"/>
              </w:rPr>
            </w:pPr>
          </w:p>
        </w:tc>
      </w:tr>
      <w:tr>
        <w:trPr>
          <w:trHeight w:val="167"/>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6"/>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Foreign exchange loss</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(104,739)</w:t>
            </w:r>
          </w:p>
        </w:tc>
        <w:tc>
          <w:tcPr>
            <w:tcW w:w="3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(229,415)</w:t>
            </w:r>
          </w:p>
        </w:tc>
        <w:tc>
          <w:tcPr>
            <w:tcW w:w="2280" w:type="dxa"/>
            <w:vAlign w:val="bottom"/>
          </w:tcPr>
          <w:p>
            <w:pPr>
              <w:spacing w:after="0"/>
              <w:rPr>
                <w:sz w:val="16"/>
                <w:szCs w:val="16"/>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80"/>
        </w:trPr>
        <w:tc>
          <w:tcPr>
            <w:tcW w:w="4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4"/>
                <w:szCs w:val="14"/>
                <w:b w:val="1"/>
                <w:bCs w:val="1"/>
                <w:color w:val="auto"/>
                <w:w w:val="94"/>
              </w:rPr>
              <w:t>April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67"/>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6"/>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06"/>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Foreign currency denominated certificates of deposit and cash accounts</w:t>
            </w:r>
          </w:p>
        </w:tc>
        <w:tc>
          <w:tcPr>
            <w:tcW w:w="2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2,826,000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4,793,000</w:t>
            </w:r>
          </w:p>
        </w:tc>
        <w:tc>
          <w:tcPr>
            <w:tcW w:w="10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654"/>
        </w:trPr>
        <w:tc>
          <w:tcPr>
            <w:tcW w:w="478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ind w:left="820"/>
              <w:spacing w:after="0"/>
              <w:rPr>
                <w:sz w:val="20"/>
                <w:szCs w:val="20"/>
                <w:color w:val="auto"/>
              </w:rPr>
            </w:pPr>
            <w:r>
              <w:rPr>
                <w:rFonts w:ascii="Arial" w:cs="Arial" w:eastAsia="Arial" w:hAnsi="Arial"/>
                <w:sz w:val="14"/>
                <w:szCs w:val="14"/>
                <w:color w:val="auto"/>
              </w:rPr>
              <w:t>F-10</w:t>
            </w: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r>
      <w:tr>
        <w:trPr>
          <w:trHeight w:val="90"/>
        </w:trPr>
        <w:tc>
          <w:tcPr>
            <w:tcW w:w="4780" w:type="dxa"/>
            <w:vAlign w:val="bottom"/>
            <w:tcBorders>
              <w:bottom w:val="single" w:sz="8" w:color="808080"/>
            </w:tcBorders>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28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5"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2" w:lineRule="exact"/>
        <w:rPr>
          <w:sz w:val="20"/>
          <w:szCs w:val="20"/>
          <w:color w:val="auto"/>
        </w:rPr>
      </w:pPr>
    </w:p>
    <w:p>
      <w:pPr>
        <w:ind w:left="600" w:hanging="493"/>
        <w:spacing w:after="0"/>
        <w:tabs>
          <w:tab w:leader="none" w:pos="600" w:val="left"/>
        </w:tabs>
        <w:numPr>
          <w:ilvl w:val="0"/>
          <w:numId w:val="3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Patents</w:t>
      </w:r>
    </w:p>
    <w:p>
      <w:pPr>
        <w:spacing w:after="0" w:line="171" w:lineRule="exact"/>
        <w:rPr>
          <w:sz w:val="20"/>
          <w:szCs w:val="20"/>
          <w:color w:val="auto"/>
        </w:rPr>
      </w:pPr>
    </w:p>
    <w:p>
      <w:pPr>
        <w:jc w:val="both"/>
        <w:ind w:firstLine="373"/>
        <w:spacing w:after="0" w:line="297" w:lineRule="auto"/>
        <w:rPr>
          <w:sz w:val="20"/>
          <w:szCs w:val="20"/>
          <w:color w:val="auto"/>
        </w:rPr>
      </w:pPr>
      <w:r>
        <w:rPr>
          <w:rFonts w:ascii="Arial" w:cs="Arial" w:eastAsia="Arial" w:hAnsi="Arial"/>
          <w:sz w:val="12"/>
          <w:szCs w:val="12"/>
          <w:color w:val="auto"/>
        </w:rPr>
        <w:t>Prior to February 1, 2012, external patent costs were amortized on a straight-line basis over a 17-year period commencing with the issuance date of each patent. The Company operates in the renewable energy industry. Wave energy technology is still at an early stage of development, and as a result, it continues to evolve and change as such technology is developed. Costs are expensed when it is no longer probable that such technology will be utilized. Additionally, the Company continually re-assesses the remaining useful lives of its long-lived assets. Patents are reviewed for impairment whenever events or changes in circumstances indicate that the carrying amount of the patent may not be recoverable. In the fourth quarter of fiscal 2012, the Company performed its recurring assessment of the realizability of its patents and recorded impairment expenses of $13,240. Based on the Company’s assessment, the Company also evaluated the remaining useful lives of its existing patents, as of February 1, 2012, and concluded that the remaining amortization should be recorded over periods ranging from three to seven years. Amortization expense was $109,857, and $47,877 for the years ended April 30, 2012 and 2011, respectively. Amortization expense for the next five fiscal years related to amounts capitalized for patents as of April 30, 2012 is estimated to be approximately $207,000 per year. As a result of the change in estimated useful life, amortization expense was higher by approximately $53,000 in fiscal 2012 and estimated to be higher by approximately $150,000 per year for the next five years.</w:t>
      </w:r>
    </w:p>
    <w:p>
      <w:pPr>
        <w:spacing w:after="0" w:line="335" w:lineRule="exact"/>
        <w:rPr>
          <w:sz w:val="20"/>
          <w:szCs w:val="20"/>
          <w:color w:val="auto"/>
        </w:rPr>
      </w:pPr>
    </w:p>
    <w:p>
      <w:pPr>
        <w:ind w:left="600" w:hanging="493"/>
        <w:spacing w:after="0"/>
        <w:tabs>
          <w:tab w:leader="none" w:pos="600" w:val="left"/>
        </w:tabs>
        <w:numPr>
          <w:ilvl w:val="0"/>
          <w:numId w:val="3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Long-Lived Assets</w:t>
      </w:r>
    </w:p>
    <w:p>
      <w:pPr>
        <w:spacing w:after="0" w:line="15" w:lineRule="exact"/>
        <w:rPr>
          <w:sz w:val="20"/>
          <w:szCs w:val="20"/>
          <w:color w:val="auto"/>
        </w:rPr>
      </w:pPr>
    </w:p>
    <w:p>
      <w:pPr>
        <w:ind w:right="120" w:firstLine="373"/>
        <w:spacing w:after="0" w:line="304" w:lineRule="auto"/>
        <w:rPr>
          <w:sz w:val="20"/>
          <w:szCs w:val="20"/>
          <w:color w:val="auto"/>
        </w:rPr>
      </w:pPr>
      <w:r>
        <w:rPr>
          <w:rFonts w:ascii="Arial" w:cs="Arial" w:eastAsia="Arial" w:hAnsi="Arial"/>
          <w:sz w:val="12"/>
          <w:szCs w:val="12"/>
          <w:color w:val="auto"/>
        </w:rPr>
        <w:t>Long-lived assets, such as property and equipment, and patents subject to amortization and cost-basis investments,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for the years ended April 30, 2012 and 2011. The Company recorded impairment charges of $358,447 in the year ended April 30, 2012 related to patents and an investment in a joint venture. The Company determined there was no impairment for the year ended April 30, 2011.</w:t>
      </w:r>
    </w:p>
    <w:p>
      <w:pPr>
        <w:spacing w:after="0" w:line="329" w:lineRule="exact"/>
        <w:rPr>
          <w:sz w:val="20"/>
          <w:szCs w:val="20"/>
          <w:color w:val="auto"/>
        </w:rPr>
      </w:pPr>
    </w:p>
    <w:p>
      <w:pPr>
        <w:ind w:left="600" w:hanging="493"/>
        <w:spacing w:after="0"/>
        <w:tabs>
          <w:tab w:leader="none" w:pos="600" w:val="left"/>
        </w:tabs>
        <w:numPr>
          <w:ilvl w:val="0"/>
          <w:numId w:val="4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Concentration of Credit Risk</w:t>
      </w:r>
    </w:p>
    <w:p>
      <w:pPr>
        <w:spacing w:after="0" w:line="1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8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 table below shows the percentage of the Company's revenues derived from customers whose revenues accounted for at least 10% of the Company's consolidated revenues for at least one of the periods indicated:</w:t>
      </w:r>
    </w:p>
    <w:tbl>
      <w:tblPr>
        <w:tblLayout w:type="fixed"/>
        <w:tblInd w:w="5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Years Ended April 30,</w:t>
            </w:r>
          </w:p>
        </w:tc>
        <w:tc>
          <w:tcPr>
            <w:tcW w:w="8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60" w:type="dxa"/>
            <w:vAlign w:val="bottom"/>
            <w:gridSpan w:val="2"/>
          </w:tcPr>
          <w:p>
            <w:pPr>
              <w:spacing w:after="0"/>
              <w:rPr>
                <w:sz w:val="14"/>
                <w:szCs w:val="14"/>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Department of Energy</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92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US Navy</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c>
          <w:tcPr>
            <w:tcW w:w="92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UK Government's Technology Strategy Board</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920" w:type="dxa"/>
            <w:vAlign w:val="bottom"/>
            <w:shd w:val="clear" w:color="auto" w:fill="CCEEFF"/>
          </w:tcPr>
          <w:p>
            <w:pPr>
              <w:jc w:val="right"/>
              <w:ind w:right="37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Arial" w:cs="Arial" w:eastAsia="Arial" w:hAnsi="Arial"/>
                <w:sz w:val="14"/>
                <w:szCs w:val="14"/>
                <w:color w:val="auto"/>
              </w:rPr>
              <w:t>European Union (WavePort project)</w:t>
            </w:r>
          </w:p>
        </w:tc>
        <w:tc>
          <w:tcPr>
            <w:tcW w:w="320" w:type="dxa"/>
            <w:vAlign w:val="bottom"/>
          </w:tcPr>
          <w:p>
            <w:pPr>
              <w:jc w:val="right"/>
              <w:spacing w:after="0"/>
              <w:rPr>
                <w:sz w:val="20"/>
                <w:szCs w:val="20"/>
                <w:color w:val="auto"/>
              </w:rPr>
            </w:pPr>
            <w:r>
              <w:rPr>
                <w:rFonts w:ascii="Arial" w:cs="Arial" w:eastAsia="Arial" w:hAnsi="Arial"/>
                <w:sz w:val="14"/>
                <w:szCs w:val="14"/>
                <w:color w:val="auto"/>
              </w:rPr>
              <w:t>13</w:t>
            </w:r>
          </w:p>
        </w:tc>
        <w:tc>
          <w:tcPr>
            <w:tcW w:w="92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346" w:lineRule="exact"/>
        <w:rPr>
          <w:sz w:val="20"/>
          <w:szCs w:val="20"/>
          <w:color w:val="auto"/>
        </w:rPr>
      </w:pPr>
    </w:p>
    <w:p>
      <w:pPr>
        <w:ind w:left="600" w:hanging="528"/>
        <w:spacing w:after="0"/>
        <w:tabs>
          <w:tab w:leader="none" w:pos="600" w:val="left"/>
        </w:tabs>
        <w:numPr>
          <w:ilvl w:val="0"/>
          <w:numId w:val="4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Net Loss per Common Share</w:t>
      </w:r>
    </w:p>
    <w:p>
      <w:pPr>
        <w:spacing w:after="0" w:line="1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p>
      <w:pPr>
        <w:ind w:right="100" w:firstLine="318"/>
        <w:spacing w:after="0" w:line="307" w:lineRule="auto"/>
        <w:rPr>
          <w:sz w:val="20"/>
          <w:szCs w:val="20"/>
          <w:color w:val="auto"/>
        </w:rPr>
      </w:pPr>
      <w:r>
        <w:rPr>
          <w:rFonts w:ascii="Arial" w:cs="Arial" w:eastAsia="Arial" w:hAnsi="Arial"/>
          <w:sz w:val="13"/>
          <w:szCs w:val="13"/>
          <w:color w:val="auto"/>
        </w:rPr>
        <w:t>In computing diluted net loss per share, options to purchase shares of common stock and non-vested restricted stock issued to employees and non-employee directors, totaling 1,447,313 and 1,504,888 for the years ended April 30, 2012 and 2011, respectively, were excluded from the computations as the effect would be anti-dilutive due to the Company's losses.</w:t>
      </w:r>
    </w:p>
    <w:p>
      <w:pPr>
        <w:spacing w:after="0" w:line="323" w:lineRule="exact"/>
        <w:rPr>
          <w:sz w:val="20"/>
          <w:szCs w:val="20"/>
          <w:color w:val="auto"/>
        </w:rPr>
      </w:pPr>
    </w:p>
    <w:p>
      <w:pPr>
        <w:ind w:left="600" w:hanging="528"/>
        <w:spacing w:after="0"/>
        <w:tabs>
          <w:tab w:leader="none" w:pos="600" w:val="left"/>
        </w:tabs>
        <w:numPr>
          <w:ilvl w:val="0"/>
          <w:numId w:val="4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Stock-Based Compensation</w:t>
      </w:r>
    </w:p>
    <w:p>
      <w:pPr>
        <w:spacing w:after="0" w:line="171"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recorded in the consolidated statements of operations for the years ended April 30, 2012 and 2011 was approximately $1,121,000 and $1,448,000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Assumptions for Options Granted During the Years Ended April 30, 2012 and 2011</w:t>
      </w:r>
    </w:p>
    <w:p>
      <w:pPr>
        <w:spacing w:after="0" w:line="216"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 xml:space="preserve">The fair value of each stock option granted during the years ended April 30, 2012 and 2011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3"/>
          <w:szCs w:val="13"/>
          <w:i w:val="1"/>
          <w:iCs w:val="1"/>
          <w:color w:val="auto"/>
        </w:rPr>
        <w:t>Share-Based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Payment. </w:t>
      </w:r>
      <w:r>
        <w:rPr>
          <w:rFonts w:ascii="Arial" w:cs="Arial" w:eastAsia="Arial" w:hAnsi="Arial"/>
          <w:sz w:val="13"/>
          <w:szCs w:val="13"/>
          <w:color w:val="auto"/>
        </w:rPr>
        <w:t>Expected volatility was based on historical volatility for a peer group of companies for a period equal to the stock option's expected life, calculated on a daily basis.</w:t>
      </w:r>
    </w:p>
    <w:tbl>
      <w:tblPr>
        <w:tblLayout w:type="fixed"/>
        <w:tblInd w:w="12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7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Years Ended April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Risk-free interest rate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4"/>
                <w:szCs w:val="14"/>
                <w:color w:val="auto"/>
              </w:rPr>
              <w:t>Expected life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5.83 years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6.39 years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20" w:type="dxa"/>
            <w:vAlign w:val="bottom"/>
          </w:tcPr>
          <w:p>
            <w:pPr>
              <w:spacing w:after="0"/>
              <w:rPr>
                <w:sz w:val="20"/>
                <w:szCs w:val="20"/>
                <w:color w:val="auto"/>
              </w:rPr>
            </w:pPr>
            <w:r>
              <w:rPr>
                <w:rFonts w:ascii="Arial" w:cs="Arial" w:eastAsia="Arial" w:hAnsi="Arial"/>
                <w:sz w:val="14"/>
                <w:szCs w:val="14"/>
                <w:color w:val="auto"/>
              </w:rPr>
              <w:t>Expected volatility</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94.5%</w:t>
            </w: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80"/>
        <w:spacing w:after="0"/>
        <w:rPr>
          <w:sz w:val="20"/>
          <w:szCs w:val="20"/>
          <w:color w:val="auto"/>
        </w:rPr>
      </w:pPr>
      <w:r>
        <w:rPr>
          <w:rFonts w:ascii="Arial" w:cs="Arial" w:eastAsia="Arial" w:hAnsi="Arial"/>
          <w:sz w:val="12"/>
          <w:szCs w:val="12"/>
          <w:color w:val="auto"/>
        </w:rPr>
        <w:t>The above assumptions were used to determine the weighted average per share fair value of $2.98 and $4.18 for stock options granted during the years ended April 30, 2012 and 2011 respectively.</w:t>
      </w:r>
    </w:p>
    <w:p>
      <w:pPr>
        <w:spacing w:after="0" w:line="200" w:lineRule="exact"/>
        <w:rPr>
          <w:sz w:val="20"/>
          <w:szCs w:val="20"/>
          <w:color w:val="auto"/>
        </w:rPr>
      </w:pPr>
    </w:p>
    <w:p>
      <w:pPr>
        <w:spacing w:after="0" w:line="201" w:lineRule="exact"/>
        <w:rPr>
          <w:sz w:val="20"/>
          <w:szCs w:val="20"/>
          <w:color w:val="auto"/>
        </w:rPr>
      </w:pPr>
    </w:p>
    <w:p>
      <w:pPr>
        <w:ind w:left="600" w:hanging="493"/>
        <w:spacing w:after="0"/>
        <w:tabs>
          <w:tab w:leader="none" w:pos="600" w:val="left"/>
        </w:tabs>
        <w:numPr>
          <w:ilvl w:val="0"/>
          <w:numId w:val="4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5"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13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w:t>
      </w:r>
    </w:p>
    <w:p>
      <w:pPr>
        <w:spacing w:after="0" w:line="352" w:lineRule="exact"/>
        <w:rPr>
          <w:sz w:val="20"/>
          <w:szCs w:val="20"/>
          <w:color w:val="auto"/>
        </w:rPr>
      </w:pPr>
    </w:p>
    <w:p>
      <w:pPr>
        <w:ind w:left="600" w:hanging="493"/>
        <w:spacing w:after="0"/>
        <w:tabs>
          <w:tab w:leader="none" w:pos="600" w:val="left"/>
        </w:tabs>
        <w:numPr>
          <w:ilvl w:val="0"/>
          <w:numId w:val="4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Accumulated Other Comprehensive Loss</w:t>
      </w:r>
    </w:p>
    <w:p>
      <w:pPr>
        <w:spacing w:after="0" w:line="1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2" w:lineRule="exact"/>
        <w:rPr>
          <w:sz w:val="20"/>
          <w:szCs w:val="20"/>
          <w:color w:val="auto"/>
        </w:rPr>
      </w:pPr>
    </w:p>
    <w:p>
      <w:pPr>
        <w:ind w:left="600" w:hanging="493"/>
        <w:spacing w:after="0"/>
        <w:tabs>
          <w:tab w:leader="none" w:pos="600" w:val="left"/>
        </w:tabs>
        <w:numPr>
          <w:ilvl w:val="0"/>
          <w:numId w:val="4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212" w:lineRule="exact"/>
        <w:rPr>
          <w:sz w:val="20"/>
          <w:szCs w:val="20"/>
          <w:color w:val="auto"/>
        </w:rPr>
      </w:pPr>
    </w:p>
    <w:p>
      <w:pPr>
        <w:jc w:val="both"/>
        <w:ind w:firstLine="299"/>
        <w:spacing w:after="0" w:line="254" w:lineRule="auto"/>
        <w:rPr>
          <w:sz w:val="20"/>
          <w:szCs w:val="20"/>
          <w:color w:val="auto"/>
        </w:rPr>
      </w:pPr>
      <w:r>
        <w:rPr>
          <w:rFonts w:ascii="Arial" w:cs="Arial" w:eastAsia="Arial" w:hAnsi="Arial"/>
          <w:sz w:val="14"/>
          <w:szCs w:val="14"/>
          <w:color w:val="auto"/>
        </w:rPr>
        <w:t>In May 2011, the Financial Accounting Standards Board (FASB) issued additional authoritative guidance related to fair value measurements and disclosures. The new guidance results in a consistent definition of fair value and common requirements for measurement of and disclosure about fair value between accounting principles generally accepted in the United States (US GAAP) and International Financial Reporting Standards (IFRS). The guidance is effective for fiscal years and interim periods within those years beginning after December 15, 2011. The Company is currently assessing the impact of the guidance.</w:t>
      </w:r>
    </w:p>
    <w:p>
      <w:pPr>
        <w:spacing w:after="0" w:line="190" w:lineRule="exact"/>
        <w:rPr>
          <w:sz w:val="20"/>
          <w:szCs w:val="20"/>
          <w:color w:val="auto"/>
        </w:rPr>
      </w:pPr>
    </w:p>
    <w:p>
      <w:pPr>
        <w:jc w:val="both"/>
        <w:ind w:firstLine="373"/>
        <w:spacing w:after="0" w:line="280" w:lineRule="auto"/>
        <w:rPr>
          <w:sz w:val="20"/>
          <w:szCs w:val="20"/>
          <w:color w:val="auto"/>
        </w:rPr>
      </w:pPr>
      <w:r>
        <w:rPr>
          <w:rFonts w:ascii="Arial" w:cs="Arial" w:eastAsia="Arial" w:hAnsi="Arial"/>
          <w:sz w:val="13"/>
          <w:szCs w:val="13"/>
          <w:color w:val="auto"/>
        </w:rPr>
        <w:t>In June 2011, the FASB issued amended guidance on the presentation of comprehensive income in financial statements. This amendment provides companies the option to present the components of net income and other comprehensive income either as one continuous statement of comprehensive income or as two separate but consecutive statements. It eliminates the option to present components of other comprehensive income as part of the statement of changes in stockholders' equity. The guidance is effective for fiscal years and interim periods within those years beginning after December 15, 2011. The adoption of this new guidance will not impact the Company's financial position, results of operations or cash flows.</w:t>
      </w:r>
    </w:p>
    <w:p>
      <w:pPr>
        <w:spacing w:after="0" w:line="200" w:lineRule="exact"/>
        <w:rPr>
          <w:sz w:val="20"/>
          <w:szCs w:val="20"/>
          <w:color w:val="auto"/>
        </w:rPr>
      </w:pPr>
    </w:p>
    <w:p>
      <w:pPr>
        <w:spacing w:after="0" w:line="347" w:lineRule="exact"/>
        <w:rPr>
          <w:sz w:val="20"/>
          <w:szCs w:val="20"/>
          <w:color w:val="auto"/>
        </w:rPr>
      </w:pPr>
    </w:p>
    <w:p>
      <w:pPr>
        <w:ind w:left="600" w:hanging="493"/>
        <w:spacing w:after="0"/>
        <w:tabs>
          <w:tab w:leader="none" w:pos="600" w:val="left"/>
        </w:tabs>
        <w:numPr>
          <w:ilvl w:val="0"/>
          <w:numId w:val="4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Reclassifications</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Certain prior year amounts have been reclassified to conform to the current year presentation.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0" w:type="dxa"/>
            <w:vAlign w:val="bottom"/>
          </w:tcPr>
          <w:p>
            <w:pPr>
              <w:spacing w:after="0"/>
              <w:rPr>
                <w:sz w:val="20"/>
                <w:szCs w:val="20"/>
                <w:color w:val="auto"/>
              </w:rPr>
            </w:pPr>
            <w:r>
              <w:rPr>
                <w:rFonts w:ascii="Arial" w:cs="Arial" w:eastAsia="Arial" w:hAnsi="Arial"/>
                <w:sz w:val="14"/>
                <w:szCs w:val="14"/>
                <w:b w:val="1"/>
                <w:bCs w:val="1"/>
                <w:color w:val="auto"/>
              </w:rPr>
              <w:t>(3)</w:t>
            </w:r>
          </w:p>
        </w:tc>
        <w:tc>
          <w:tcPr>
            <w:tcW w:w="7880" w:type="dxa"/>
            <w:vAlign w:val="bottom"/>
          </w:tcPr>
          <w:p>
            <w:pPr>
              <w:ind w:left="200"/>
              <w:spacing w:after="0"/>
              <w:rPr>
                <w:sz w:val="20"/>
                <w:szCs w:val="20"/>
                <w:color w:val="auto"/>
              </w:rPr>
            </w:pPr>
            <w:r>
              <w:rPr>
                <w:rFonts w:ascii="Arial" w:cs="Arial" w:eastAsia="Arial" w:hAnsi="Arial"/>
                <w:sz w:val="14"/>
                <w:szCs w:val="14"/>
                <w:b w:val="1"/>
                <w:bCs w:val="1"/>
                <w:color w:val="auto"/>
              </w:rPr>
              <w:t>Marketable Securities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2"/>
        </w:trPr>
        <w:tc>
          <w:tcPr>
            <w:tcW w:w="28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4"/>
                <w:szCs w:val="14"/>
                <w:color w:val="auto"/>
              </w:rPr>
              <w:t>Marketable securities are classified as current assets and are summarized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4"/>
        </w:trPr>
        <w:tc>
          <w:tcPr>
            <w:tcW w:w="2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7"/>
        </w:trPr>
        <w:tc>
          <w:tcPr>
            <w:tcW w:w="2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66"/>
        </w:trPr>
        <w:tc>
          <w:tcPr>
            <w:tcW w:w="28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8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Certificates of deposit denominated in Australian Dollars</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556,437</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491,895</w:t>
            </w:r>
          </w:p>
        </w:tc>
      </w:tr>
      <w:tr>
        <w:trPr>
          <w:trHeight w:val="166"/>
        </w:trPr>
        <w:tc>
          <w:tcPr>
            <w:tcW w:w="8160" w:type="dxa"/>
            <w:vAlign w:val="bottom"/>
            <w:gridSpan w:val="2"/>
          </w:tcPr>
          <w:p>
            <w:pPr>
              <w:spacing w:after="0"/>
              <w:rPr>
                <w:sz w:val="20"/>
                <w:szCs w:val="20"/>
                <w:color w:val="auto"/>
              </w:rPr>
            </w:pPr>
            <w:r>
              <w:rPr>
                <w:rFonts w:ascii="Arial" w:cs="Arial" w:eastAsia="Arial" w:hAnsi="Arial"/>
                <w:sz w:val="14"/>
                <w:szCs w:val="14"/>
                <w:color w:val="auto"/>
              </w:rPr>
              <w:t>Certificates of deposit denominated in US Dollars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3,806,808</w:t>
            </w:r>
          </w:p>
        </w:tc>
        <w:tc>
          <w:tcPr>
            <w:tcW w:w="3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8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Treasury obligations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18,006,239</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25,526,699</w:t>
            </w:r>
          </w:p>
        </w:tc>
      </w:tr>
      <w:tr>
        <w:trPr>
          <w:trHeight w:val="166"/>
        </w:trPr>
        <w:tc>
          <w:tcPr>
            <w:tcW w:w="280" w:type="dxa"/>
            <w:vAlign w:val="bottom"/>
            <w:tcBorders>
              <w:top w:val="single" w:sz="8" w:color="CCEEFF"/>
            </w:tcBorders>
          </w:tcPr>
          <w:p>
            <w:pPr>
              <w:spacing w:after="0"/>
              <w:rPr>
                <w:sz w:val="14"/>
                <w:szCs w:val="14"/>
                <w:color w:val="auto"/>
              </w:rPr>
            </w:pPr>
          </w:p>
        </w:tc>
        <w:tc>
          <w:tcPr>
            <w:tcW w:w="788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6"/>
        </w:trPr>
        <w:tc>
          <w:tcPr>
            <w:tcW w:w="280" w:type="dxa"/>
            <w:vAlign w:val="bottom"/>
            <w:tcBorders>
              <w:bottom w:val="single" w:sz="8" w:color="CCEEFF"/>
            </w:tcBorders>
            <w:shd w:val="clear" w:color="auto" w:fill="CCEEFF"/>
          </w:tcPr>
          <w:p>
            <w:pPr>
              <w:spacing w:after="0"/>
              <w:rPr>
                <w:sz w:val="17"/>
                <w:szCs w:val="17"/>
                <w:color w:val="auto"/>
              </w:rPr>
            </w:pPr>
          </w:p>
        </w:tc>
        <w:tc>
          <w:tcPr>
            <w:tcW w:w="78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22,369,484</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26,018,594</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55" w:lineRule="exact"/>
        <w:rPr>
          <w:sz w:val="20"/>
          <w:szCs w:val="20"/>
          <w:color w:val="auto"/>
        </w:rPr>
      </w:pPr>
    </w:p>
    <w:p>
      <w:pPr>
        <w:jc w:val="both"/>
        <w:ind w:firstLine="373"/>
        <w:spacing w:after="0" w:line="307" w:lineRule="auto"/>
        <w:rPr>
          <w:sz w:val="20"/>
          <w:szCs w:val="20"/>
          <w:color w:val="auto"/>
        </w:rPr>
      </w:pPr>
      <w:r>
        <w:rPr>
          <w:rFonts w:ascii="Arial" w:cs="Arial" w:eastAsia="Arial" w:hAnsi="Arial"/>
          <w:sz w:val="13"/>
          <w:szCs w:val="13"/>
          <w:color w:val="auto"/>
        </w:rPr>
        <w:t>The Company had no marketable securities classified as noncurrent assets as of April 30, 2012. Marketable securities classified as noncurrent assets as of April 30, 2011 are summarized below. These marketable securities all mature more than one year from the balance sheet date but less than two years, are all classified as held-to-maturity and are carried at amortized cost.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Gross</w:t>
            </w:r>
          </w:p>
        </w:tc>
        <w:tc>
          <w:tcPr>
            <w:tcW w:w="114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Amortized</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unrealized</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unrealized</w:t>
            </w:r>
          </w:p>
        </w:tc>
        <w:tc>
          <w:tcPr>
            <w:tcW w:w="160" w:type="dxa"/>
            <w:vAlign w:val="bottom"/>
          </w:tcPr>
          <w:p>
            <w:pPr>
              <w:spacing w:after="0"/>
              <w:rPr>
                <w:sz w:val="14"/>
                <w:szCs w:val="1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Market</w:t>
            </w:r>
          </w:p>
        </w:tc>
        <w:tc>
          <w:tcPr>
            <w:tcW w:w="2220" w:type="dxa"/>
            <w:vAlign w:val="bottom"/>
          </w:tcPr>
          <w:p>
            <w:pPr>
              <w:spacing w:after="0"/>
              <w:rPr>
                <w:sz w:val="14"/>
                <w:szCs w:val="14"/>
                <w:color w:val="auto"/>
              </w:rPr>
            </w:pPr>
          </w:p>
        </w:tc>
      </w:tr>
      <w:tr>
        <w:trPr>
          <w:trHeight w:val="177"/>
        </w:trPr>
        <w:tc>
          <w:tcPr>
            <w:tcW w:w="3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cost</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gains</w:t>
            </w:r>
          </w:p>
        </w:tc>
        <w:tc>
          <w:tcPr>
            <w:tcW w:w="1140" w:type="dxa"/>
            <w:vAlign w:val="bottom"/>
          </w:tcPr>
          <w:p>
            <w:pPr>
              <w:jc w:val="center"/>
              <w:spacing w:after="0"/>
              <w:rPr>
                <w:sz w:val="20"/>
                <w:szCs w:val="20"/>
                <w:color w:val="auto"/>
              </w:rPr>
            </w:pPr>
            <w:r>
              <w:rPr>
                <w:rFonts w:ascii="Arial" w:cs="Arial" w:eastAsia="Arial" w:hAnsi="Arial"/>
                <w:sz w:val="14"/>
                <w:szCs w:val="14"/>
                <w:color w:val="auto"/>
                <w:w w:val="80"/>
              </w:rPr>
              <w:t>losses</w:t>
            </w:r>
          </w:p>
        </w:tc>
        <w:tc>
          <w:tcPr>
            <w:tcW w:w="16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color w:val="auto"/>
              </w:rPr>
              <w:t>value</w:t>
            </w:r>
          </w:p>
        </w:tc>
        <w:tc>
          <w:tcPr>
            <w:tcW w:w="2220" w:type="dxa"/>
            <w:vAlign w:val="bottom"/>
          </w:tcPr>
          <w:p>
            <w:pPr>
              <w:spacing w:after="0"/>
              <w:rPr>
                <w:sz w:val="15"/>
                <w:szCs w:val="15"/>
                <w:color w:val="auto"/>
              </w:rPr>
            </w:pPr>
          </w:p>
        </w:tc>
      </w:tr>
      <w:tr>
        <w:trPr>
          <w:trHeight w:val="167"/>
        </w:trPr>
        <w:tc>
          <w:tcPr>
            <w:tcW w:w="380" w:type="dxa"/>
            <w:vAlign w:val="bottom"/>
          </w:tcPr>
          <w:p>
            <w:pPr>
              <w:spacing w:after="0"/>
              <w:rPr>
                <w:sz w:val="14"/>
                <w:szCs w:val="14"/>
                <w:color w:val="auto"/>
              </w:rPr>
            </w:pPr>
          </w:p>
        </w:tc>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April 30, 2011</w:t>
            </w:r>
          </w:p>
        </w:tc>
        <w:tc>
          <w:tcPr>
            <w:tcW w:w="46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3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Treasury obligations</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12,516,208</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164,107</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12,680,315</w:t>
            </w:r>
          </w:p>
        </w:tc>
        <w:tc>
          <w:tcPr>
            <w:tcW w:w="2220" w:type="dxa"/>
            <w:vAlign w:val="bottom"/>
          </w:tcPr>
          <w:p>
            <w:pPr>
              <w:spacing w:after="0"/>
              <w:rPr>
                <w:sz w:val="14"/>
                <w:szCs w:val="14"/>
                <w:color w:val="auto"/>
              </w:rPr>
            </w:pPr>
          </w:p>
        </w:tc>
      </w:tr>
      <w:tr>
        <w:trPr>
          <w:trHeight w:val="167"/>
        </w:trPr>
        <w:tc>
          <w:tcPr>
            <w:tcW w:w="380" w:type="dxa"/>
            <w:vAlign w:val="bottom"/>
          </w:tcPr>
          <w:p>
            <w:pPr>
              <w:spacing w:after="0"/>
              <w:rPr>
                <w:sz w:val="14"/>
                <w:szCs w:val="14"/>
                <w:color w:val="auto"/>
              </w:rPr>
            </w:pPr>
          </w:p>
        </w:tc>
        <w:tc>
          <w:tcPr>
            <w:tcW w:w="3200" w:type="dxa"/>
            <w:vAlign w:val="bottom"/>
          </w:tcPr>
          <w:p>
            <w:pPr>
              <w:ind w:left="40"/>
              <w:spacing w:after="0"/>
              <w:rPr>
                <w:sz w:val="20"/>
                <w:szCs w:val="20"/>
                <w:color w:val="auto"/>
              </w:rPr>
            </w:pPr>
            <w:r>
              <w:rPr>
                <w:rFonts w:ascii="Arial" w:cs="Arial" w:eastAsia="Arial" w:hAnsi="Arial"/>
                <w:sz w:val="14"/>
                <w:szCs w:val="14"/>
                <w:color w:val="auto"/>
              </w:rPr>
              <w:t>Certificate of deposit</w:t>
            </w:r>
          </w:p>
        </w:tc>
        <w:tc>
          <w:tcPr>
            <w:tcW w:w="46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3,806,808</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3,806,808</w:t>
            </w: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16,323,016</w:t>
            </w:r>
          </w:p>
        </w:tc>
        <w:tc>
          <w:tcPr>
            <w:tcW w:w="180" w:type="dxa"/>
            <w:vAlign w:val="bottom"/>
          </w:tcPr>
          <w:p>
            <w:pPr>
              <w:spacing w:after="0"/>
              <w:rPr>
                <w:sz w:val="14"/>
                <w:szCs w:val="1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164,107</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80"/>
              <w:spacing w:after="0"/>
              <w:rPr>
                <w:sz w:val="20"/>
                <w:szCs w:val="20"/>
                <w:color w:val="auto"/>
              </w:rPr>
            </w:pPr>
            <w:r>
              <w:rPr>
                <w:rFonts w:ascii="Arial" w:cs="Arial" w:eastAsia="Arial" w:hAnsi="Arial"/>
                <w:sz w:val="14"/>
                <w:szCs w:val="14"/>
                <w:color w:val="auto"/>
              </w:rPr>
              <w:t>16,487,123</w:t>
            </w:r>
          </w:p>
        </w:tc>
        <w:tc>
          <w:tcPr>
            <w:tcW w:w="222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633"/>
        </w:trPr>
        <w:tc>
          <w:tcPr>
            <w:tcW w:w="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4"/>
                <w:szCs w:val="14"/>
                <w:color w:val="auto"/>
              </w:rPr>
              <w:t>F-13</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90"/>
        </w:trPr>
        <w:tc>
          <w:tcPr>
            <w:tcW w:w="380" w:type="dxa"/>
            <w:vAlign w:val="bottom"/>
            <w:tcBorders>
              <w:bottom w:val="single" w:sz="8" w:color="808080"/>
            </w:tcBorders>
          </w:tcPr>
          <w:p>
            <w:pPr>
              <w:spacing w:after="0"/>
              <w:rPr>
                <w:sz w:val="7"/>
                <w:szCs w:val="7"/>
                <w:color w:val="auto"/>
              </w:rPr>
            </w:pPr>
          </w:p>
        </w:tc>
        <w:tc>
          <w:tcPr>
            <w:tcW w:w="32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22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78" w:lineRule="exact"/>
        <w:rPr>
          <w:sz w:val="20"/>
          <w:szCs w:val="20"/>
          <w:color w:val="auto"/>
        </w:rPr>
      </w:pPr>
    </w:p>
    <w:p>
      <w:pPr>
        <w:ind w:left="480" w:hanging="477"/>
        <w:spacing w:after="0"/>
        <w:tabs>
          <w:tab w:leader="none" w:pos="480" w:val="left"/>
        </w:tabs>
        <w:numPr>
          <w:ilvl w:val="0"/>
          <w:numId w:val="47"/>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6240" w:type="dxa"/>
            <w:vAlign w:val="bottom"/>
          </w:tcPr>
          <w:p>
            <w:pPr>
              <w:ind w:left="200"/>
              <w:spacing w:after="0"/>
              <w:rPr>
                <w:sz w:val="20"/>
                <w:szCs w:val="20"/>
                <w:color w:val="auto"/>
              </w:rPr>
            </w:pPr>
            <w:r>
              <w:rPr>
                <w:rFonts w:ascii="Arial" w:cs="Arial" w:eastAsia="Arial" w:hAnsi="Arial"/>
                <w:sz w:val="14"/>
                <w:szCs w:val="14"/>
                <w:color w:val="auto"/>
              </w:rPr>
              <w:t>The components of property and equipment are as follows: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4"/>
        </w:trPr>
        <w:tc>
          <w:tcPr>
            <w:tcW w:w="1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April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4"/>
          </w:tcPr>
          <w:p>
            <w:pPr>
              <w:ind w:left="32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right"/>
              <w:ind w:right="5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Computers and software</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3 years  $</w:t>
            </w: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696,784</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713,779</w:t>
            </w:r>
          </w:p>
        </w:tc>
        <w:tc>
          <w:tcPr>
            <w:tcW w:w="0" w:type="dxa"/>
            <w:vAlign w:val="bottom"/>
          </w:tcPr>
          <w:p>
            <w:pPr>
              <w:spacing w:after="0"/>
              <w:rPr>
                <w:sz w:val="1"/>
                <w:szCs w:val="1"/>
                <w:color w:val="auto"/>
              </w:rPr>
            </w:pPr>
          </w:p>
        </w:tc>
      </w:tr>
      <w:tr>
        <w:trPr>
          <w:trHeight w:val="166"/>
        </w:trPr>
        <w:tc>
          <w:tcPr>
            <w:tcW w:w="6420" w:type="dxa"/>
            <w:vAlign w:val="bottom"/>
            <w:gridSpan w:val="2"/>
          </w:tcPr>
          <w:p>
            <w:pPr>
              <w:spacing w:after="0"/>
              <w:rPr>
                <w:sz w:val="20"/>
                <w:szCs w:val="20"/>
                <w:color w:val="auto"/>
              </w:rPr>
            </w:pPr>
            <w:r>
              <w:rPr>
                <w:rFonts w:ascii="Arial" w:cs="Arial" w:eastAsia="Arial" w:hAnsi="Arial"/>
                <w:sz w:val="14"/>
                <w:szCs w:val="14"/>
                <w:color w:val="auto"/>
              </w:rPr>
              <w:t>Equipment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5"/>
          </w:tcPr>
          <w:p>
            <w:pPr>
              <w:ind w:left="620"/>
              <w:spacing w:after="0"/>
              <w:rPr>
                <w:sz w:val="20"/>
                <w:szCs w:val="20"/>
                <w:color w:val="auto"/>
              </w:rPr>
            </w:pPr>
            <w:r>
              <w:rPr>
                <w:rFonts w:ascii="Arial" w:cs="Arial" w:eastAsia="Arial" w:hAnsi="Arial"/>
                <w:sz w:val="14"/>
                <w:szCs w:val="14"/>
                <w:color w:val="auto"/>
              </w:rPr>
              <w:t>3 to 7 years</w:t>
            </w:r>
          </w:p>
        </w:tc>
        <w:tc>
          <w:tcPr>
            <w:tcW w:w="1560" w:type="dxa"/>
            <w:vAlign w:val="bottom"/>
            <w:gridSpan w:val="4"/>
          </w:tcPr>
          <w:p>
            <w:pPr>
              <w:jc w:val="right"/>
              <w:ind w:right="220"/>
              <w:spacing w:after="0"/>
              <w:rPr>
                <w:sz w:val="20"/>
                <w:szCs w:val="20"/>
                <w:color w:val="auto"/>
              </w:rPr>
            </w:pPr>
            <w:r>
              <w:rPr>
                <w:rFonts w:ascii="Arial" w:cs="Arial" w:eastAsia="Arial" w:hAnsi="Arial"/>
                <w:sz w:val="14"/>
                <w:szCs w:val="14"/>
                <w:color w:val="auto"/>
              </w:rPr>
              <w:t>1,080,039</w:t>
            </w:r>
          </w:p>
        </w:tc>
        <w:tc>
          <w:tcPr>
            <w:tcW w:w="3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990,283</w:t>
            </w:r>
          </w:p>
        </w:tc>
        <w:tc>
          <w:tcPr>
            <w:tcW w:w="0" w:type="dxa"/>
            <w:vAlign w:val="bottom"/>
          </w:tcPr>
          <w:p>
            <w:pPr>
              <w:spacing w:after="0"/>
              <w:rPr>
                <w:sz w:val="1"/>
                <w:szCs w:val="1"/>
                <w:color w:val="auto"/>
              </w:rPr>
            </w:pPr>
          </w:p>
        </w:tc>
      </w:tr>
      <w:tr>
        <w:trPr>
          <w:trHeight w:val="166"/>
        </w:trPr>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 furniture and equipment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20" w:type="dxa"/>
            <w:vAlign w:val="bottom"/>
            <w:gridSpan w:val="5"/>
            <w:shd w:val="clear" w:color="auto" w:fill="CCEEFF"/>
          </w:tcPr>
          <w:p>
            <w:pPr>
              <w:ind w:left="620"/>
              <w:spacing w:after="0"/>
              <w:rPr>
                <w:sz w:val="20"/>
                <w:szCs w:val="20"/>
                <w:color w:val="auto"/>
              </w:rPr>
            </w:pPr>
            <w:r>
              <w:rPr>
                <w:rFonts w:ascii="Arial" w:cs="Arial" w:eastAsia="Arial" w:hAnsi="Arial"/>
                <w:sz w:val="14"/>
                <w:szCs w:val="14"/>
                <w:color w:val="auto"/>
              </w:rPr>
              <w:t>3 to 7 years</w:t>
            </w: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287,492</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297,612</w:t>
            </w:r>
          </w:p>
        </w:tc>
        <w:tc>
          <w:tcPr>
            <w:tcW w:w="0" w:type="dxa"/>
            <w:vAlign w:val="bottom"/>
          </w:tcPr>
          <w:p>
            <w:pPr>
              <w:spacing w:after="0"/>
              <w:rPr>
                <w:sz w:val="1"/>
                <w:szCs w:val="1"/>
                <w:color w:val="auto"/>
              </w:rPr>
            </w:pPr>
          </w:p>
        </w:tc>
      </w:tr>
      <w:tr>
        <w:trPr>
          <w:trHeight w:val="167"/>
        </w:trPr>
        <w:tc>
          <w:tcPr>
            <w:tcW w:w="642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5"/>
          </w:tcPr>
          <w:p>
            <w:pPr>
              <w:ind w:left="620"/>
              <w:spacing w:after="0"/>
              <w:rPr>
                <w:sz w:val="20"/>
                <w:szCs w:val="20"/>
                <w:color w:val="auto"/>
              </w:rPr>
            </w:pPr>
            <w:r>
              <w:rPr>
                <w:rFonts w:ascii="Arial" w:cs="Arial" w:eastAsia="Arial" w:hAnsi="Arial"/>
                <w:sz w:val="14"/>
                <w:szCs w:val="14"/>
                <w:color w:val="auto"/>
              </w:rPr>
              <w:t>3 to 8 years</w:t>
            </w:r>
          </w:p>
        </w:tc>
        <w:tc>
          <w:tcPr>
            <w:tcW w:w="1560" w:type="dxa"/>
            <w:vAlign w:val="bottom"/>
            <w:gridSpan w:val="4"/>
          </w:tcPr>
          <w:p>
            <w:pPr>
              <w:jc w:val="right"/>
              <w:ind w:right="220"/>
              <w:spacing w:after="0"/>
              <w:rPr>
                <w:sz w:val="20"/>
                <w:szCs w:val="20"/>
                <w:color w:val="auto"/>
              </w:rPr>
            </w:pPr>
            <w:r>
              <w:rPr>
                <w:rFonts w:ascii="Arial" w:cs="Arial" w:eastAsia="Arial" w:hAnsi="Arial"/>
                <w:sz w:val="14"/>
                <w:szCs w:val="14"/>
                <w:color w:val="auto"/>
              </w:rPr>
              <w:t>149,505</w:t>
            </w:r>
          </w:p>
        </w:tc>
        <w:tc>
          <w:tcPr>
            <w:tcW w:w="3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149,505</w:t>
            </w: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220"/>
              <w:spacing w:after="0"/>
              <w:rPr>
                <w:sz w:val="20"/>
                <w:szCs w:val="20"/>
                <w:color w:val="auto"/>
              </w:rPr>
            </w:pPr>
            <w:r>
              <w:rPr>
                <w:rFonts w:ascii="Arial" w:cs="Arial" w:eastAsia="Arial" w:hAnsi="Arial"/>
                <w:sz w:val="14"/>
                <w:szCs w:val="14"/>
                <w:color w:val="auto"/>
              </w:rPr>
              <w:t>2,213,820</w:t>
            </w:r>
          </w:p>
        </w:tc>
        <w:tc>
          <w:tcPr>
            <w:tcW w:w="38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2,151,179</w:t>
            </w:r>
          </w:p>
        </w:tc>
        <w:tc>
          <w:tcPr>
            <w:tcW w:w="0" w:type="dxa"/>
            <w:vAlign w:val="bottom"/>
          </w:tcPr>
          <w:p>
            <w:pPr>
              <w:spacing w:after="0"/>
              <w:rPr>
                <w:sz w:val="1"/>
                <w:szCs w:val="1"/>
                <w:color w:val="auto"/>
              </w:rPr>
            </w:pPr>
          </w:p>
        </w:tc>
      </w:tr>
      <w:tr>
        <w:trPr>
          <w:trHeight w:val="167"/>
        </w:trPr>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accumulated depreciation and amortization</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(1,530,887)</w:t>
            </w:r>
          </w:p>
        </w:tc>
        <w:tc>
          <w:tcPr>
            <w:tcW w:w="3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(1,359,087)</w:t>
            </w:r>
          </w:p>
        </w:tc>
        <w:tc>
          <w:tcPr>
            <w:tcW w:w="0" w:type="dxa"/>
            <w:vAlign w:val="bottom"/>
          </w:tcPr>
          <w:p>
            <w:pPr>
              <w:spacing w:after="0"/>
              <w:rPr>
                <w:sz w:val="1"/>
                <w:szCs w:val="1"/>
                <w:color w:val="auto"/>
              </w:rPr>
            </w:pPr>
          </w:p>
        </w:tc>
      </w:tr>
      <w:tr>
        <w:trPr>
          <w:trHeight w:val="166"/>
        </w:trPr>
        <w:tc>
          <w:tcPr>
            <w:tcW w:w="180" w:type="dxa"/>
            <w:vAlign w:val="bottom"/>
            <w:tcBorders>
              <w:top w:val="single" w:sz="8" w:color="CCEEFF"/>
            </w:tcBorders>
          </w:tcPr>
          <w:p>
            <w:pPr>
              <w:spacing w:after="0"/>
              <w:rPr>
                <w:sz w:val="14"/>
                <w:szCs w:val="14"/>
                <w:color w:val="auto"/>
              </w:rPr>
            </w:pPr>
          </w:p>
        </w:tc>
        <w:tc>
          <w:tcPr>
            <w:tcW w:w="62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6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682,933</w:t>
            </w:r>
          </w:p>
        </w:tc>
        <w:tc>
          <w:tcPr>
            <w:tcW w:w="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792,092</w:t>
            </w:r>
          </w:p>
        </w:tc>
        <w:tc>
          <w:tcPr>
            <w:tcW w:w="0" w:type="dxa"/>
            <w:vAlign w:val="bottom"/>
          </w:tcPr>
          <w:p>
            <w:pPr>
              <w:spacing w:after="0"/>
              <w:rPr>
                <w:sz w:val="1"/>
                <w:szCs w:val="1"/>
                <w:color w:val="auto"/>
              </w:rPr>
            </w:pPr>
          </w:p>
        </w:tc>
      </w:tr>
      <w:tr>
        <w:trPr>
          <w:trHeight w:val="312"/>
        </w:trPr>
        <w:tc>
          <w:tcPr>
            <w:tcW w:w="180" w:type="dxa"/>
            <w:vAlign w:val="bottom"/>
            <w:tcBorders>
              <w:top w:val="single" w:sz="8" w:color="CCEEFF"/>
            </w:tcBorders>
          </w:tcPr>
          <w:p>
            <w:pPr>
              <w:spacing w:after="0"/>
              <w:rPr>
                <w:sz w:val="24"/>
                <w:szCs w:val="24"/>
                <w:color w:val="auto"/>
              </w:rPr>
            </w:pPr>
          </w:p>
        </w:tc>
        <w:tc>
          <w:tcPr>
            <w:tcW w:w="6240" w:type="dxa"/>
            <w:vAlign w:val="bottom"/>
            <w:tcBorders>
              <w:top w:val="single" w:sz="8" w:color="CCEEFF"/>
            </w:tcBorders>
          </w:tcPr>
          <w:p>
            <w:pPr>
              <w:ind w:left="200"/>
              <w:spacing w:after="0"/>
              <w:rPr>
                <w:sz w:val="20"/>
                <w:szCs w:val="20"/>
                <w:color w:val="auto"/>
              </w:rPr>
            </w:pPr>
            <w:r>
              <w:rPr>
                <w:rFonts w:ascii="Arial" w:cs="Arial" w:eastAsia="Arial" w:hAnsi="Arial"/>
                <w:sz w:val="14"/>
                <w:szCs w:val="14"/>
                <w:color w:val="auto"/>
                <w:w w:val="88"/>
              </w:rPr>
              <w:t>Depreciation expense was $326,205 and $310,268 for the years ended April 30, 2012 and 2011, respectively.</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39"/>
        </w:trPr>
        <w:tc>
          <w:tcPr>
            <w:tcW w:w="180" w:type="dxa"/>
            <w:vAlign w:val="bottom"/>
          </w:tcPr>
          <w:p>
            <w:pPr>
              <w:spacing w:after="0"/>
              <w:rPr>
                <w:sz w:val="20"/>
                <w:szCs w:val="20"/>
                <w:color w:val="auto"/>
              </w:rPr>
            </w:pPr>
            <w:r>
              <w:rPr>
                <w:rFonts w:ascii="Arial" w:cs="Arial" w:eastAsia="Arial" w:hAnsi="Arial"/>
                <w:sz w:val="14"/>
                <w:szCs w:val="14"/>
                <w:b w:val="1"/>
                <w:bCs w:val="1"/>
                <w:color w:val="auto"/>
                <w:w w:val="93"/>
              </w:rPr>
              <w:t>(5)</w:t>
            </w:r>
          </w:p>
        </w:tc>
        <w:tc>
          <w:tcPr>
            <w:tcW w:w="6240" w:type="dxa"/>
            <w:vAlign w:val="bottom"/>
          </w:tcPr>
          <w:p>
            <w:pPr>
              <w:ind w:left="300"/>
              <w:spacing w:after="0"/>
              <w:rPr>
                <w:sz w:val="20"/>
                <w:szCs w:val="20"/>
                <w:color w:val="auto"/>
              </w:rPr>
            </w:pPr>
            <w:r>
              <w:rPr>
                <w:rFonts w:ascii="Arial" w:cs="Arial" w:eastAsia="Arial" w:hAnsi="Arial"/>
                <w:sz w:val="14"/>
                <w:szCs w:val="14"/>
                <w:b w:val="1"/>
                <w:bCs w:val="1"/>
                <w:color w:val="auto"/>
              </w:rPr>
              <w:t>Balance Sheet Detail</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Accounts receivable, net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Accounts receivable</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1,369,400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1,285,000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Allowance for doubtful accounts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(304,604)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shd w:val="clear" w:color="auto" w:fill="CCEEFF"/>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1,064,796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1,285,000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Patents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Patents</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1,574,044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1,556,277</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Accumulated amortization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(304,587)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(333,909)</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shd w:val="clear" w:color="auto" w:fill="CCEEFF"/>
          </w:tcPr>
          <w:p>
            <w:pPr>
              <w:spacing w:after="0"/>
              <w:rPr>
                <w:sz w:val="17"/>
                <w:szCs w:val="17"/>
                <w:color w:val="auto"/>
              </w:rPr>
            </w:pPr>
          </w:p>
        </w:tc>
        <w:tc>
          <w:tcPr>
            <w:tcW w:w="6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1,269,457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1,222,368</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420" w:type="dxa"/>
            <w:vAlign w:val="bottom"/>
            <w:tcBorders>
              <w:top w:val="single" w:sz="8" w:color="CCEEFF"/>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42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Accrued expenses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Project costs</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244,892</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1,505,981</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Contract loss reserves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785,000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785,000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Employee incentive payments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661,328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749,464</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185,320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282,999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Employee-related costs</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354,966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364,799</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Payroll tax withholdings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166,092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219,632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Investment in joint venture</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176,110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197,318</w:t>
            </w:r>
          </w:p>
        </w:tc>
        <w:tc>
          <w:tcPr>
            <w:tcW w:w="100" w:type="dxa"/>
            <w:vAlign w:val="bottom"/>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Arial" w:cs="Arial" w:eastAsia="Arial" w:hAnsi="Arial"/>
                <w:sz w:val="14"/>
                <w:szCs w:val="14"/>
                <w:color w:val="auto"/>
              </w:rPr>
              <w:t>Legal and accounting fees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193,720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157,616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80" w:type="dxa"/>
            <w:vAlign w:val="bottom"/>
            <w:shd w:val="clear" w:color="auto" w:fill="CCEEFF"/>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4"/>
                <w:szCs w:val="14"/>
                <w:color w:val="auto"/>
              </w:rPr>
              <w:t>Value-added tax</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40,143</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 w:type="dxa"/>
            <w:vAlign w:val="bottom"/>
            <w:shd w:val="clear" w:color="auto" w:fill="CCEEFF"/>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8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2,770,094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4,302,952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240" w:type="dxa"/>
            <w:vAlign w:val="bottom"/>
            <w:vMerge w:val="restart"/>
          </w:tcPr>
          <w:p>
            <w:pPr>
              <w:ind w:left="5420"/>
              <w:spacing w:after="0"/>
              <w:rPr>
                <w:sz w:val="20"/>
                <w:szCs w:val="20"/>
                <w:color w:val="auto"/>
              </w:rPr>
            </w:pPr>
            <w:r>
              <w:rPr>
                <w:rFonts w:ascii="Arial" w:cs="Arial" w:eastAsia="Arial" w:hAnsi="Arial"/>
                <w:sz w:val="14"/>
                <w:szCs w:val="14"/>
                <w:color w:val="auto"/>
              </w:rPr>
              <w:t>F-14</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18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80" w:type="dxa"/>
            <w:vAlign w:val="bottom"/>
            <w:tcBorders>
              <w:bottom w:val="single" w:sz="8" w:color="808080"/>
            </w:tcBorders>
          </w:tcPr>
          <w:p>
            <w:pPr>
              <w:spacing w:after="0"/>
              <w:rPr>
                <w:sz w:val="7"/>
                <w:szCs w:val="7"/>
                <w:color w:val="auto"/>
              </w:rPr>
            </w:pPr>
          </w:p>
        </w:tc>
        <w:tc>
          <w:tcPr>
            <w:tcW w:w="62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05"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78" w:lineRule="exact"/>
        <w:rPr>
          <w:sz w:val="20"/>
          <w:szCs w:val="20"/>
          <w:color w:val="auto"/>
        </w:rPr>
      </w:pPr>
    </w:p>
    <w:p>
      <w:pPr>
        <w:ind w:left="480" w:hanging="477"/>
        <w:spacing w:after="0"/>
        <w:tabs>
          <w:tab w:leader="none" w:pos="4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175" w:lineRule="exact"/>
        <w:rPr>
          <w:sz w:val="20"/>
          <w:szCs w:val="20"/>
          <w:color w:val="auto"/>
        </w:rPr>
      </w:pPr>
    </w:p>
    <w:p>
      <w:pPr>
        <w:jc w:val="both"/>
        <w:ind w:firstLine="373"/>
        <w:spacing w:after="0" w:line="321" w:lineRule="auto"/>
        <w:rPr>
          <w:sz w:val="20"/>
          <w:szCs w:val="20"/>
          <w:color w:val="auto"/>
        </w:rPr>
      </w:pPr>
      <w:r>
        <w:rPr>
          <w:rFonts w:ascii="Arial" w:cs="Arial" w:eastAsia="Arial" w:hAnsi="Arial"/>
          <w:sz w:val="12"/>
          <w:szCs w:val="12"/>
          <w:color w:val="auto"/>
        </w:rPr>
        <w:t>In August 1999, the Company entered into a consulting agreement with an individual for the provision of marketing services. Currently, this agreement provides for fees at a rate of $950 per day of services provided. The individual became a member of the board of directors in June 2006. In addition, this individual is also the chief executive officer of a company that provides engineering and technical services to the Company. The Company also provides services to the company where this individual is the chief executive officer. Financial details of this relationship are summarized as follows:</w:t>
      </w:r>
    </w:p>
    <w:p>
      <w:pPr>
        <w:spacing w:after="0" w:line="148"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96"/>
              </w:rPr>
              <w:t>Year Ended April 30,</w:t>
            </w:r>
          </w:p>
        </w:tc>
        <w:tc>
          <w:tcPr>
            <w:tcW w:w="9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8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Related party consulting expense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86,000</w:t>
            </w:r>
          </w:p>
        </w:tc>
        <w:tc>
          <w:tcPr>
            <w:tcW w:w="4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Expenses for services provided by related party company</w:t>
            </w:r>
          </w:p>
        </w:tc>
        <w:tc>
          <w:tcPr>
            <w:tcW w:w="520" w:type="dxa"/>
            <w:vAlign w:val="bottom"/>
          </w:tcPr>
          <w:p>
            <w:pPr>
              <w:spacing w:after="0"/>
              <w:rPr>
                <w:sz w:val="14"/>
                <w:szCs w:val="14"/>
                <w:color w:val="auto"/>
              </w:rPr>
            </w:pPr>
          </w:p>
        </w:tc>
        <w:tc>
          <w:tcPr>
            <w:tcW w:w="1740" w:type="dxa"/>
            <w:vAlign w:val="bottom"/>
            <w:gridSpan w:val="2"/>
          </w:tcPr>
          <w:p>
            <w:pPr>
              <w:jc w:val="right"/>
              <w:ind w:right="751"/>
              <w:spacing w:after="0"/>
              <w:rPr>
                <w:sz w:val="20"/>
                <w:szCs w:val="20"/>
                <w:color w:val="auto"/>
              </w:rPr>
            </w:pPr>
            <w:r>
              <w:rPr>
                <w:rFonts w:ascii="Arial" w:cs="Arial" w:eastAsia="Arial" w:hAnsi="Arial"/>
                <w:sz w:val="14"/>
                <w:szCs w:val="14"/>
                <w:color w:val="auto"/>
              </w:rPr>
              <w:t>29,000</w:t>
            </w:r>
          </w:p>
        </w:tc>
        <w:tc>
          <w:tcPr>
            <w:tcW w:w="4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rPr>
              <w:t>207,000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Revenue for services provided to related party company</w:t>
            </w:r>
          </w:p>
        </w:tc>
        <w:tc>
          <w:tcPr>
            <w:tcW w:w="5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126,000</w:t>
            </w:r>
          </w:p>
        </w:tc>
        <w:tc>
          <w:tcPr>
            <w:tcW w:w="4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77,000</w:t>
            </w:r>
          </w:p>
        </w:tc>
        <w:tc>
          <w:tcPr>
            <w:tcW w:w="0" w:type="dxa"/>
            <w:vAlign w:val="bottom"/>
          </w:tcPr>
          <w:p>
            <w:pPr>
              <w:spacing w:after="0"/>
              <w:rPr>
                <w:sz w:val="1"/>
                <w:szCs w:val="1"/>
                <w:color w:val="auto"/>
              </w:rPr>
            </w:pPr>
          </w:p>
        </w:tc>
      </w:tr>
      <w:tr>
        <w:trPr>
          <w:trHeight w:val="333"/>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April 30,</w:t>
            </w:r>
          </w:p>
        </w:tc>
        <w:tc>
          <w:tcPr>
            <w:tcW w:w="9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right"/>
              <w:ind w:right="751"/>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47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Consulting fees payable to related party</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7,000</w:t>
            </w:r>
          </w:p>
        </w:tc>
        <w:tc>
          <w:tcPr>
            <w:tcW w:w="4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Payable to related party company</w:t>
            </w:r>
          </w:p>
        </w:tc>
        <w:tc>
          <w:tcPr>
            <w:tcW w:w="520" w:type="dxa"/>
            <w:vAlign w:val="bottom"/>
          </w:tcPr>
          <w:p>
            <w:pPr>
              <w:spacing w:after="0"/>
              <w:rPr>
                <w:sz w:val="14"/>
                <w:szCs w:val="14"/>
                <w:color w:val="auto"/>
              </w:rPr>
            </w:pPr>
          </w:p>
        </w:tc>
        <w:tc>
          <w:tcPr>
            <w:tcW w:w="1740" w:type="dxa"/>
            <w:vAlign w:val="bottom"/>
            <w:gridSpan w:val="2"/>
          </w:tcPr>
          <w:p>
            <w:pPr>
              <w:jc w:val="right"/>
              <w:ind w:right="751"/>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color w:val="auto"/>
              </w:rPr>
              <w:t>56,000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Receivable from related party company</w:t>
            </w:r>
          </w:p>
        </w:tc>
        <w:tc>
          <w:tcPr>
            <w:tcW w:w="5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480" w:hanging="477"/>
        <w:spacing w:after="0"/>
        <w:tabs>
          <w:tab w:leader="none" w:pos="480" w:val="left"/>
        </w:tabs>
        <w:numPr>
          <w:ilvl w:val="0"/>
          <w:numId w:val="49"/>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175"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was required to repay the amount funded, without interest, by July 15, 2012. The amounts to be repaid each year were determined as a percentage of revenues (as defined in the loan agreement) the Company received that year from its customer contracts that met criteria specified in the loan agreement. The Company has repaid the entire award of $250,000 as of April 30, 2012, with the final payment of $89,378 made in May 2011.</w:t>
      </w:r>
    </w:p>
    <w:p>
      <w:pPr>
        <w:spacing w:after="0" w:line="192" w:lineRule="exact"/>
        <w:rPr>
          <w:sz w:val="20"/>
          <w:szCs w:val="20"/>
          <w:color w:val="auto"/>
        </w:rPr>
      </w:pPr>
    </w:p>
    <w:p>
      <w:pPr>
        <w:jc w:val="both"/>
        <w:ind w:firstLine="325"/>
        <w:spacing w:after="0" w:line="254" w:lineRule="auto"/>
        <w:rPr>
          <w:sz w:val="20"/>
          <w:szCs w:val="20"/>
          <w:color w:val="auto"/>
        </w:rPr>
      </w:pPr>
      <w:r>
        <w:rPr>
          <w:rFonts w:ascii="Arial" w:cs="Arial" w:eastAsia="Arial" w:hAnsi="Arial"/>
          <w:sz w:val="14"/>
          <w:szCs w:val="14"/>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As of April 30, 2012 and April 30, 2011, $100,000 and $50,000, respectively, was included in current portion of long-term debt on the accompanying consolidated balance sheets. The terms also required the Company to assign to the NJBPU a certificate of deposit in an amount equal to the outstanding grant balance. See Note 2(f).</w:t>
      </w:r>
    </w:p>
    <w:p>
      <w:pPr>
        <w:spacing w:after="0" w:line="352" w:lineRule="exact"/>
        <w:rPr>
          <w:sz w:val="20"/>
          <w:szCs w:val="20"/>
          <w:color w:val="auto"/>
        </w:rPr>
      </w:pPr>
    </w:p>
    <w:p>
      <w:pPr>
        <w:ind w:left="480" w:hanging="477"/>
        <w:spacing w:after="0"/>
        <w:tabs>
          <w:tab w:leader="none" w:pos="48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Deferred Credits Payable and Deferred Credits</w:t>
      </w:r>
    </w:p>
    <w:p>
      <w:pPr>
        <w:spacing w:after="0" w:line="175" w:lineRule="exact"/>
        <w:rPr>
          <w:sz w:val="20"/>
          <w:szCs w:val="20"/>
          <w:color w:val="auto"/>
        </w:rPr>
      </w:pPr>
    </w:p>
    <w:p>
      <w:pPr>
        <w:jc w:val="both"/>
        <w:ind w:firstLine="373"/>
        <w:spacing w:after="0" w:line="272" w:lineRule="auto"/>
        <w:rPr>
          <w:sz w:val="20"/>
          <w:szCs w:val="20"/>
          <w:color w:val="auto"/>
        </w:rPr>
      </w:pPr>
      <w:r>
        <w:rPr>
          <w:rFonts w:ascii="Arial" w:cs="Arial" w:eastAsia="Arial" w:hAnsi="Arial"/>
          <w:sz w:val="13"/>
          <w:szCs w:val="13"/>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payable and deferred credits in the accompanying consolidated balance sheets as of April 30, 2012 and April 30, 2011, respectively.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 As of April 30, 2012, the Company has not generated any emissions credits eligible for purchase under the agreement, and the Company does not expect to generate any eligible emissions credits before December 31, 2012. Accordingly, this amount has been classified as a current liability as of April 30, 2012.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78" w:lineRule="exact"/>
        <w:rPr>
          <w:sz w:val="20"/>
          <w:szCs w:val="20"/>
          <w:color w:val="auto"/>
        </w:rPr>
      </w:pPr>
    </w:p>
    <w:p>
      <w:pPr>
        <w:ind w:left="480" w:hanging="477"/>
        <w:spacing w:after="0"/>
        <w:tabs>
          <w:tab w:leader="none" w:pos="4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75"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On April 30, 2007, the Company completed an initial public offering in the United States on the NASDAQ Global Market by issuing 5,000,000 shares of its common stock for a purchase price of $20.00 per share, resulting in net proceeds to the Company of approximately $89,900,000.</w:t>
      </w:r>
    </w:p>
    <w:p>
      <w:pPr>
        <w:spacing w:after="0" w:line="342" w:lineRule="exact"/>
        <w:rPr>
          <w:sz w:val="20"/>
          <w:szCs w:val="20"/>
          <w:color w:val="auto"/>
        </w:rPr>
      </w:pPr>
    </w:p>
    <w:p>
      <w:pPr>
        <w:ind w:left="600" w:hanging="597"/>
        <w:spacing w:after="0"/>
        <w:tabs>
          <w:tab w:leader="none" w:pos="600"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Preferred Stock</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Company has authorized 5,000,000 shares of undesignated preferred stock with a par value of $0.001 per share. At April 30, 2012 and 2011, no shares of preferred stock had been issued.</w:t>
      </w:r>
    </w:p>
    <w:p>
      <w:pPr>
        <w:spacing w:after="0" w:line="386" w:lineRule="exact"/>
        <w:rPr>
          <w:sz w:val="20"/>
          <w:szCs w:val="20"/>
          <w:color w:val="auto"/>
        </w:rPr>
      </w:pPr>
    </w:p>
    <w:p>
      <w:pPr>
        <w:ind w:left="460" w:hanging="457"/>
        <w:spacing w:after="0"/>
        <w:tabs>
          <w:tab w:leader="none" w:pos="46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w:t>
      </w:r>
    </w:p>
    <w:p>
      <w:pPr>
        <w:spacing w:after="0" w:line="175"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In August 2001, the Company approved the 2001 Stock Plan, which provides for the grant of incentive stock options and nonqualified stock options. A total of 1,000,000 shares were authorized for issuance under the 2001 Stock Plan. As of April 30, 2012, the Company had issued or reserved 315,175 shares for issuance under the 2001 Stock Plan. After the effectiveness of the 2006 Stock Incentive Plan, no further options or other awards have been or will be granted under the 2001 Stock Plan.</w:t>
      </w:r>
    </w:p>
    <w:p>
      <w:pPr>
        <w:spacing w:after="0" w:line="186" w:lineRule="exact"/>
        <w:rPr>
          <w:sz w:val="20"/>
          <w:szCs w:val="20"/>
          <w:color w:val="auto"/>
        </w:rPr>
      </w:pPr>
    </w:p>
    <w:p>
      <w:pPr>
        <w:jc w:val="both"/>
        <w:ind w:firstLine="373"/>
        <w:spacing w:after="0" w:line="296" w:lineRule="auto"/>
        <w:rPr>
          <w:sz w:val="20"/>
          <w:szCs w:val="20"/>
          <w:color w:val="auto"/>
        </w:rPr>
      </w:pPr>
      <w:r>
        <w:rPr>
          <w:rFonts w:ascii="Arial" w:cs="Arial" w:eastAsia="Arial" w:hAnsi="Arial"/>
          <w:sz w:val="12"/>
          <w:szCs w:val="12"/>
          <w:color w:val="auto"/>
        </w:rPr>
        <w:t>On April 24, 2007, the Company's 2006 Stock Incentive Plan became effective. A total of 803,215 shares were authorized for issuance under the 2006 Stock Incentive Plan. On October 2, 2009, an amendment to the 2006 Stock Incentive Plan was approved, increasing the aggregate number of shares authorized for issuance by 850,000 shares to 1,653,215. As of April 30, 2012, the Company had issued share-based awards for 1,235,333 shares of common stock and had reserved an additional 417,882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all of the Company's employees, except to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335" w:lineRule="exact"/>
        <w:rPr>
          <w:sz w:val="20"/>
          <w:szCs w:val="20"/>
          <w:color w:val="auto"/>
        </w:rPr>
      </w:pPr>
    </w:p>
    <w:p>
      <w:pPr>
        <w:ind w:left="600" w:hanging="493"/>
        <w:spacing w:after="0"/>
        <w:tabs>
          <w:tab w:leader="none" w:pos="600" w:val="left"/>
        </w:tabs>
        <w:numPr>
          <w:ilvl w:val="0"/>
          <w:numId w:val="5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Stock Options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 summary of stock options under the plans described above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r>
      <w:tr>
        <w:trPr>
          <w:trHeight w:val="166"/>
        </w:trPr>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66"/>
        </w:trPr>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left="331"/>
              <w:spacing w:after="0"/>
              <w:rPr>
                <w:sz w:val="20"/>
                <w:szCs w:val="20"/>
                <w:color w:val="auto"/>
              </w:rPr>
            </w:pPr>
            <w:r>
              <w:rPr>
                <w:rFonts w:ascii="Arial" w:cs="Arial" w:eastAsia="Arial" w:hAnsi="Arial"/>
                <w:sz w:val="14"/>
                <w:szCs w:val="14"/>
                <w:b w:val="1"/>
                <w:bCs w:val="1"/>
                <w:color w:val="auto"/>
                <w:w w:val="88"/>
              </w:rPr>
              <w:t>Weighted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Remaining</w:t>
            </w:r>
          </w:p>
        </w:tc>
      </w:tr>
      <w:tr>
        <w:trPr>
          <w:trHeight w:val="166"/>
        </w:trPr>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 Under</w:t>
            </w:r>
          </w:p>
        </w:tc>
        <w:tc>
          <w:tcPr>
            <w:tcW w:w="1400" w:type="dxa"/>
            <w:vAlign w:val="bottom"/>
          </w:tcPr>
          <w:p>
            <w:pPr>
              <w:jc w:val="center"/>
              <w:ind w:left="331"/>
              <w:spacing w:after="0"/>
              <w:rPr>
                <w:sz w:val="20"/>
                <w:szCs w:val="20"/>
                <w:color w:val="auto"/>
              </w:rPr>
            </w:pPr>
            <w:r>
              <w:rPr>
                <w:rFonts w:ascii="Arial" w:cs="Arial" w:eastAsia="Arial" w:hAnsi="Arial"/>
                <w:sz w:val="14"/>
                <w:szCs w:val="14"/>
                <w:b w:val="1"/>
                <w:bCs w:val="1"/>
                <w:color w:val="auto"/>
                <w:w w:val="86"/>
              </w:rPr>
              <w:t>Average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w:t>
            </w:r>
          </w:p>
        </w:tc>
      </w:tr>
      <w:tr>
        <w:trPr>
          <w:trHeight w:val="181"/>
        </w:trPr>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Option</w:t>
            </w:r>
          </w:p>
        </w:tc>
        <w:tc>
          <w:tcPr>
            <w:tcW w:w="1400" w:type="dxa"/>
            <w:vAlign w:val="bottom"/>
          </w:tcPr>
          <w:p>
            <w:pPr>
              <w:jc w:val="center"/>
              <w:ind w:left="331"/>
              <w:spacing w:after="0"/>
              <w:rPr>
                <w:sz w:val="20"/>
                <w:szCs w:val="20"/>
                <w:color w:val="auto"/>
              </w:rPr>
            </w:pPr>
            <w:r>
              <w:rPr>
                <w:rFonts w:ascii="Arial" w:cs="Arial" w:eastAsia="Arial" w:hAnsi="Arial"/>
                <w:sz w:val="14"/>
                <w:szCs w:val="14"/>
                <w:b w:val="1"/>
                <w:bCs w:val="1"/>
                <w:color w:val="auto"/>
                <w:w w:val="87"/>
              </w:rPr>
              <w:t>Exercise Price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r>
      <w:tr>
        <w:trPr>
          <w:trHeight w:val="179"/>
        </w:trPr>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5"/>
                <w:szCs w:val="15"/>
                <w:color w:val="auto"/>
              </w:rPr>
            </w:pPr>
          </w:p>
        </w:tc>
      </w:tr>
      <w:tr>
        <w:trPr>
          <w:trHeight w:val="319"/>
        </w:trPr>
        <w:tc>
          <w:tcPr>
            <w:tcW w:w="2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2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Outstanding April 30, 2010</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1,375,453</w:t>
            </w:r>
          </w:p>
        </w:tc>
        <w:tc>
          <w:tcPr>
            <w:tcW w:w="14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11.87</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w:t>
            </w:r>
          </w:p>
        </w:tc>
      </w:tr>
      <w:tr>
        <w:trPr>
          <w:trHeight w:val="166"/>
        </w:trPr>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4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(305,223)</w:t>
            </w:r>
          </w:p>
        </w:tc>
        <w:tc>
          <w:tcPr>
            <w:tcW w:w="14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12.79</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24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Granted</w:t>
            </w:r>
          </w:p>
        </w:tc>
        <w:tc>
          <w:tcPr>
            <w:tcW w:w="4320" w:type="dxa"/>
            <w:vAlign w:val="bottom"/>
            <w:gridSpan w:val="3"/>
          </w:tcPr>
          <w:p>
            <w:pPr>
              <w:jc w:val="right"/>
              <w:ind w:right="120"/>
              <w:spacing w:after="0"/>
              <w:rPr>
                <w:sz w:val="20"/>
                <w:szCs w:val="20"/>
                <w:color w:val="auto"/>
              </w:rPr>
            </w:pPr>
            <w:r>
              <w:rPr>
                <w:rFonts w:ascii="Arial" w:cs="Arial" w:eastAsia="Arial" w:hAnsi="Arial"/>
                <w:sz w:val="14"/>
                <w:szCs w:val="14"/>
                <w:color w:val="auto"/>
              </w:rPr>
              <w:t>283,705</w:t>
            </w:r>
          </w:p>
        </w:tc>
        <w:tc>
          <w:tcPr>
            <w:tcW w:w="14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5.36</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40" w:type="dxa"/>
            <w:vAlign w:val="bottom"/>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24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Outstanding April 30, 2011</w:t>
            </w:r>
          </w:p>
        </w:tc>
        <w:tc>
          <w:tcPr>
            <w:tcW w:w="4320" w:type="dxa"/>
            <w:vAlign w:val="bottom"/>
            <w:gridSpan w:val="3"/>
          </w:tcPr>
          <w:p>
            <w:pPr>
              <w:jc w:val="right"/>
              <w:ind w:right="120"/>
              <w:spacing w:after="0"/>
              <w:rPr>
                <w:sz w:val="20"/>
                <w:szCs w:val="20"/>
                <w:color w:val="auto"/>
              </w:rPr>
            </w:pPr>
            <w:r>
              <w:rPr>
                <w:rFonts w:ascii="Arial" w:cs="Arial" w:eastAsia="Arial" w:hAnsi="Arial"/>
                <w:sz w:val="14"/>
                <w:szCs w:val="14"/>
                <w:color w:val="auto"/>
              </w:rPr>
              <w:t>1,353,935</w:t>
            </w:r>
          </w:p>
        </w:tc>
        <w:tc>
          <w:tcPr>
            <w:tcW w:w="14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10.30</w:t>
            </w:r>
          </w:p>
        </w:tc>
        <w:tc>
          <w:tcPr>
            <w:tcW w:w="1540" w:type="dxa"/>
            <w:vAlign w:val="bottom"/>
            <w:gridSpan w:val="2"/>
          </w:tcPr>
          <w:p>
            <w:pPr>
              <w:jc w:val="right"/>
              <w:ind w:right="100"/>
              <w:spacing w:after="0"/>
              <w:rPr>
                <w:sz w:val="20"/>
                <w:szCs w:val="20"/>
                <w:color w:val="auto"/>
              </w:rPr>
            </w:pPr>
            <w:r>
              <w:rPr>
                <w:rFonts w:ascii="Arial" w:cs="Arial" w:eastAsia="Arial" w:hAnsi="Arial"/>
                <w:sz w:val="14"/>
                <w:szCs w:val="14"/>
                <w:color w:val="auto"/>
              </w:rPr>
              <w:t>5.7</w:t>
            </w:r>
          </w:p>
        </w:tc>
      </w:tr>
      <w:tr>
        <w:trPr>
          <w:trHeight w:val="166"/>
        </w:trPr>
        <w:tc>
          <w:tcPr>
            <w:tcW w:w="240" w:type="dxa"/>
            <w:vAlign w:val="bottom"/>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24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Forfeited</w:t>
            </w:r>
          </w:p>
        </w:tc>
        <w:tc>
          <w:tcPr>
            <w:tcW w:w="4320" w:type="dxa"/>
            <w:vAlign w:val="bottom"/>
            <w:gridSpan w:val="3"/>
          </w:tcPr>
          <w:p>
            <w:pPr>
              <w:jc w:val="right"/>
              <w:ind w:right="60"/>
              <w:spacing w:after="0"/>
              <w:rPr>
                <w:sz w:val="20"/>
                <w:szCs w:val="20"/>
                <w:color w:val="auto"/>
              </w:rPr>
            </w:pPr>
            <w:r>
              <w:rPr>
                <w:rFonts w:ascii="Arial" w:cs="Arial" w:eastAsia="Arial" w:hAnsi="Arial"/>
                <w:sz w:val="14"/>
                <w:szCs w:val="14"/>
                <w:color w:val="auto"/>
              </w:rPr>
              <w:t>(268,784)</w:t>
            </w:r>
          </w:p>
        </w:tc>
        <w:tc>
          <w:tcPr>
            <w:tcW w:w="14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10.94</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268,322</w:t>
            </w:r>
          </w:p>
        </w:tc>
        <w:tc>
          <w:tcPr>
            <w:tcW w:w="14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3.97</w:t>
            </w: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6"/>
        </w:trPr>
        <w:tc>
          <w:tcPr>
            <w:tcW w:w="240" w:type="dxa"/>
            <w:vAlign w:val="bottom"/>
          </w:tcPr>
          <w:p>
            <w:pPr>
              <w:spacing w:after="0"/>
              <w:rPr>
                <w:sz w:val="14"/>
                <w:szCs w:val="14"/>
                <w:color w:val="auto"/>
              </w:rPr>
            </w:pPr>
          </w:p>
        </w:tc>
        <w:tc>
          <w:tcPr>
            <w:tcW w:w="3440" w:type="dxa"/>
            <w:vAlign w:val="bottom"/>
            <w:tcBorders>
              <w:top w:val="single" w:sz="8" w:color="CCEEFF"/>
            </w:tcBorders>
          </w:tcPr>
          <w:p>
            <w:pPr>
              <w:spacing w:after="0"/>
              <w:rPr>
                <w:sz w:val="14"/>
                <w:szCs w:val="14"/>
                <w:color w:val="auto"/>
              </w:rPr>
            </w:pPr>
          </w:p>
        </w:tc>
        <w:tc>
          <w:tcPr>
            <w:tcW w:w="2740" w:type="dxa"/>
            <w:vAlign w:val="bottom"/>
            <w:tcBorders>
              <w:top w:val="single" w:sz="8" w:color="CCEEFF"/>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6"/>
        </w:trPr>
        <w:tc>
          <w:tcPr>
            <w:tcW w:w="24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Outstanding April 30, 2012</w:t>
            </w:r>
          </w:p>
        </w:tc>
        <w:tc>
          <w:tcPr>
            <w:tcW w:w="4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1,353,473</w:t>
            </w:r>
          </w:p>
        </w:tc>
        <w:tc>
          <w:tcPr>
            <w:tcW w:w="1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8.92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w:t>
            </w:r>
          </w:p>
        </w:tc>
      </w:tr>
      <w:tr>
        <w:trPr>
          <w:trHeight w:val="147"/>
        </w:trPr>
        <w:tc>
          <w:tcPr>
            <w:tcW w:w="240" w:type="dxa"/>
            <w:vAlign w:val="bottom"/>
          </w:tcPr>
          <w:p>
            <w:pPr>
              <w:spacing w:after="0"/>
              <w:rPr>
                <w:sz w:val="12"/>
                <w:szCs w:val="12"/>
                <w:color w:val="auto"/>
              </w:rPr>
            </w:pPr>
          </w:p>
        </w:tc>
        <w:tc>
          <w:tcPr>
            <w:tcW w:w="3440" w:type="dxa"/>
            <w:vAlign w:val="bottom"/>
            <w:tcBorders>
              <w:top w:val="single" w:sz="8" w:color="CCEEFF"/>
            </w:tcBorders>
          </w:tcPr>
          <w:p>
            <w:pPr>
              <w:spacing w:after="0"/>
              <w:rPr>
                <w:sz w:val="12"/>
                <w:szCs w:val="12"/>
                <w:color w:val="auto"/>
              </w:rPr>
            </w:pPr>
          </w:p>
        </w:tc>
        <w:tc>
          <w:tcPr>
            <w:tcW w:w="2740" w:type="dxa"/>
            <w:vAlign w:val="bottom"/>
            <w:tcBorders>
              <w:top w:val="single" w:sz="8" w:color="CCEEFF"/>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206"/>
        </w:trPr>
        <w:tc>
          <w:tcPr>
            <w:tcW w:w="24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Exercisable April 30, 2012</w:t>
            </w:r>
          </w:p>
        </w:tc>
        <w:tc>
          <w:tcPr>
            <w:tcW w:w="27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789,473</w:t>
            </w:r>
          </w:p>
        </w:tc>
        <w:tc>
          <w:tcPr>
            <w:tcW w:w="14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r>
      <w:tr>
        <w:trPr>
          <w:trHeight w:val="654"/>
        </w:trPr>
        <w:tc>
          <w:tcPr>
            <w:tcW w:w="240" w:type="dxa"/>
            <w:vAlign w:val="bottom"/>
          </w:tcPr>
          <w:p>
            <w:pPr>
              <w:spacing w:after="0"/>
              <w:rPr>
                <w:sz w:val="24"/>
                <w:szCs w:val="24"/>
                <w:color w:val="auto"/>
              </w:rPr>
            </w:pPr>
          </w:p>
        </w:tc>
        <w:tc>
          <w:tcPr>
            <w:tcW w:w="34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tcPr>
          <w:p>
            <w:pPr>
              <w:ind w:left="1920"/>
              <w:spacing w:after="0"/>
              <w:rPr>
                <w:sz w:val="20"/>
                <w:szCs w:val="20"/>
                <w:color w:val="auto"/>
              </w:rPr>
            </w:pPr>
            <w:r>
              <w:rPr>
                <w:rFonts w:ascii="Arial" w:cs="Arial" w:eastAsia="Arial" w:hAnsi="Arial"/>
                <w:sz w:val="14"/>
                <w:szCs w:val="14"/>
                <w:color w:val="auto"/>
              </w:rPr>
              <w:t>F-16</w:t>
            </w: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0"/>
        </w:trPr>
        <w:tc>
          <w:tcPr>
            <w:tcW w:w="240" w:type="dxa"/>
            <w:vAlign w:val="bottom"/>
            <w:tcBorders>
              <w:bottom w:val="single" w:sz="8" w:color="808080"/>
            </w:tcBorders>
          </w:tcPr>
          <w:p>
            <w:pPr>
              <w:spacing w:after="0"/>
              <w:rPr>
                <w:sz w:val="7"/>
                <w:szCs w:val="7"/>
                <w:color w:val="auto"/>
              </w:rPr>
            </w:pPr>
          </w:p>
        </w:tc>
        <w:tc>
          <w:tcPr>
            <w:tcW w:w="3440" w:type="dxa"/>
            <w:vAlign w:val="bottom"/>
            <w:tcBorders>
              <w:bottom w:val="single" w:sz="8" w:color="808080"/>
            </w:tcBorders>
          </w:tcPr>
          <w:p>
            <w:pPr>
              <w:spacing w:after="0"/>
              <w:rPr>
                <w:sz w:val="7"/>
                <w:szCs w:val="7"/>
                <w:color w:val="auto"/>
              </w:rPr>
            </w:pPr>
          </w:p>
        </w:tc>
        <w:tc>
          <w:tcPr>
            <w:tcW w:w="27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0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There was no intrinsic value of outstanding and exercisable options as of April 30, 2012, as the exercise price of the options exceeded the market price of the Company’s common stock. As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April 30, 2012, approximately 564,000 additional options were expected to vest, which have no of intrinsic value and a weighted-average remaining contractual term of 8.1 years. There was $931,553 and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$940,309 of total recognized compensation cost related to employees for stock options during the years ended April 30, 2012 and 2011, respectively. As of April 30, 2012, there was approximately</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$1,446,000 of total unrecognized compensation cost related to non-vested stock options granted under the plans. This cost is expected to be recognized over a weighted-average period of 2.9 years.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Company normally issues new shares to satisfy option exercises under these plans.</w:t>
      </w:r>
    </w:p>
    <w:p>
      <w:pPr>
        <w:spacing w:after="0" w:line="203" w:lineRule="exact"/>
        <w:rPr>
          <w:sz w:val="20"/>
          <w:szCs w:val="20"/>
          <w:color w:val="auto"/>
        </w:rPr>
      </w:pPr>
    </w:p>
    <w:p>
      <w:pPr>
        <w:ind w:firstLine="373"/>
        <w:spacing w:after="0" w:line="307" w:lineRule="auto"/>
        <w:rPr>
          <w:sz w:val="20"/>
          <w:szCs w:val="20"/>
          <w:color w:val="auto"/>
        </w:rPr>
      </w:pPr>
      <w:r>
        <w:rPr>
          <w:rFonts w:ascii="Arial" w:cs="Arial" w:eastAsia="Arial" w:hAnsi="Arial"/>
          <w:sz w:val="13"/>
          <w:szCs w:val="13"/>
          <w:color w:val="auto"/>
        </w:rPr>
        <w:t>Certain options were granted to consultants during the years ended April 30, 2012 and 2011. The Company has charged compensation expense of $76,920 and $23,691 related to these option grants, which has been included in selling, general and administrative costs in the accompanying consolidated statements of operations for the years ended April 30, 2012 and 2011, respectively.</w:t>
      </w:r>
    </w:p>
    <w:p>
      <w:pPr>
        <w:spacing w:after="0" w:line="323" w:lineRule="exact"/>
        <w:rPr>
          <w:sz w:val="20"/>
          <w:szCs w:val="20"/>
          <w:color w:val="auto"/>
        </w:rPr>
      </w:pPr>
    </w:p>
    <w:p>
      <w:pPr>
        <w:ind w:left="600" w:hanging="493"/>
        <w:spacing w:after="0"/>
        <w:tabs>
          <w:tab w:leader="none" w:pos="600" w:val="left"/>
        </w:tabs>
        <w:numPr>
          <w:ilvl w:val="0"/>
          <w:numId w:val="5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Restricted Stock</w:t>
      </w:r>
    </w:p>
    <w:p>
      <w:pPr>
        <w:spacing w:after="0" w:line="212"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Compensation expense for restricted stock is generally recorded based on its market value on the date of grant and recognized ratably over the associated service and performance period. There were 14,634 and 33,620 shares of restricted stock granted to employees and non-employee board members with service and/or performance-based vesting requirements during the years ended April 30, 2012 and 2011, respectively.</w:t>
      </w:r>
    </w:p>
    <w:p>
      <w:pPr>
        <w:spacing w:after="0" w:line="186"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9660" w:type="dxa"/>
            <w:vAlign w:val="bottom"/>
            <w:gridSpan w:val="2"/>
          </w:tcPr>
          <w:p>
            <w:pPr>
              <w:ind w:left="140"/>
              <w:spacing w:after="0"/>
              <w:rPr>
                <w:sz w:val="20"/>
                <w:szCs w:val="20"/>
                <w:color w:val="auto"/>
              </w:rPr>
            </w:pPr>
            <w:r>
              <w:rPr>
                <w:rFonts w:ascii="Arial" w:cs="Arial" w:eastAsia="Arial" w:hAnsi="Arial"/>
                <w:sz w:val="14"/>
                <w:szCs w:val="14"/>
                <w:color w:val="auto"/>
              </w:rPr>
              <w:t>A summary of non-vested restricted stock under the plans is as follows: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8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66"/>
        </w:trPr>
        <w:tc>
          <w:tcPr>
            <w:tcW w:w="8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6"/>
        </w:trPr>
        <w:tc>
          <w:tcPr>
            <w:tcW w:w="8660" w:type="dxa"/>
            <w:vAlign w:val="bottom"/>
          </w:tcPr>
          <w:p>
            <w:pPr>
              <w:spacing w:after="0"/>
              <w:rPr>
                <w:sz w:val="14"/>
                <w:szCs w:val="14"/>
                <w:color w:val="auto"/>
              </w:rPr>
            </w:pPr>
          </w:p>
        </w:tc>
        <w:tc>
          <w:tcPr>
            <w:tcW w:w="1000" w:type="dxa"/>
            <w:vAlign w:val="bottom"/>
          </w:tcPr>
          <w:p>
            <w:pPr>
              <w:jc w:val="center"/>
              <w:ind w:left="371"/>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Price per</w:t>
            </w:r>
          </w:p>
        </w:tc>
        <w:tc>
          <w:tcPr>
            <w:tcW w:w="0" w:type="dxa"/>
            <w:vAlign w:val="bottom"/>
          </w:tcPr>
          <w:p>
            <w:pPr>
              <w:spacing w:after="0"/>
              <w:rPr>
                <w:sz w:val="1"/>
                <w:szCs w:val="1"/>
                <w:color w:val="auto"/>
              </w:rPr>
            </w:pPr>
          </w:p>
        </w:tc>
      </w:tr>
      <w:tr>
        <w:trPr>
          <w:trHeight w:val="181"/>
        </w:trPr>
        <w:tc>
          <w:tcPr>
            <w:tcW w:w="8660" w:type="dxa"/>
            <w:vAlign w:val="bottom"/>
          </w:tcPr>
          <w:p>
            <w:pPr>
              <w:spacing w:after="0"/>
              <w:rPr>
                <w:sz w:val="15"/>
                <w:szCs w:val="15"/>
                <w:color w:val="auto"/>
              </w:rPr>
            </w:pPr>
          </w:p>
        </w:tc>
        <w:tc>
          <w:tcPr>
            <w:tcW w:w="1000" w:type="dxa"/>
            <w:vAlign w:val="bottom"/>
          </w:tcPr>
          <w:p>
            <w:pPr>
              <w:jc w:val="center"/>
              <w:ind w:left="391"/>
              <w:spacing w:after="0"/>
              <w:rPr>
                <w:sz w:val="20"/>
                <w:szCs w:val="20"/>
                <w:color w:val="auto"/>
              </w:rPr>
            </w:pPr>
            <w:r>
              <w:rPr>
                <w:rFonts w:ascii="Arial" w:cs="Arial" w:eastAsia="Arial" w:hAnsi="Arial"/>
                <w:sz w:val="14"/>
                <w:szCs w:val="14"/>
                <w:b w:val="1"/>
                <w:bCs w:val="1"/>
                <w:color w:val="auto"/>
                <w:w w:val="84"/>
              </w:rPr>
              <w:t>of Shares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332"/>
        </w:trPr>
        <w:tc>
          <w:tcPr>
            <w:tcW w:w="86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9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Issued and unvested at April 30, 2010</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157,124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Granted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60" w:type="dxa"/>
            <w:vAlign w:val="bottom"/>
            <w:gridSpan w:val="2"/>
          </w:tcPr>
          <w:p>
            <w:pPr>
              <w:spacing w:after="0"/>
              <w:rPr>
                <w:sz w:val="20"/>
                <w:szCs w:val="20"/>
                <w:color w:val="auto"/>
              </w:rPr>
            </w:pPr>
            <w:r>
              <w:rPr>
                <w:rFonts w:ascii="Arial" w:cs="Arial" w:eastAsia="Arial" w:hAnsi="Arial"/>
                <w:sz w:val="14"/>
                <w:szCs w:val="14"/>
                <w:color w:val="auto"/>
              </w:rPr>
              <w:t>Forfeited</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(5,000)</w:t>
            </w:r>
          </w:p>
        </w:tc>
        <w:tc>
          <w:tcPr>
            <w:tcW w:w="1000" w:type="dxa"/>
            <w:vAlign w:val="bottom"/>
          </w:tcPr>
          <w:p>
            <w:pPr>
              <w:jc w:val="right"/>
              <w:spacing w:after="0"/>
              <w:rPr>
                <w:sz w:val="20"/>
                <w:szCs w:val="20"/>
                <w:color w:val="auto"/>
              </w:rPr>
            </w:pPr>
            <w:r>
              <w:rPr>
                <w:rFonts w:ascii="Arial" w:cs="Arial" w:eastAsia="Arial" w:hAnsi="Arial"/>
                <w:sz w:val="14"/>
                <w:szCs w:val="14"/>
                <w:color w:val="auto"/>
              </w:rPr>
              <w:t>6.40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Vested</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(34,791)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60" w:type="dxa"/>
            <w:vAlign w:val="bottom"/>
            <w:tcBorders>
              <w:top w:val="single" w:sz="8" w:color="CCEEFF"/>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Issued and unvested at April 30, 2011</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150,953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Granted</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14,634</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60" w:type="dxa"/>
            <w:vAlign w:val="bottom"/>
            <w:gridSpan w:val="2"/>
          </w:tcPr>
          <w:p>
            <w:pPr>
              <w:spacing w:after="0"/>
              <w:rPr>
                <w:sz w:val="20"/>
                <w:szCs w:val="20"/>
                <w:color w:val="auto"/>
              </w:rPr>
            </w:pPr>
            <w:r>
              <w:rPr>
                <w:rFonts w:ascii="Arial" w:cs="Arial" w:eastAsia="Arial" w:hAnsi="Arial"/>
                <w:sz w:val="14"/>
                <w:szCs w:val="14"/>
                <w:color w:val="auto"/>
              </w:rPr>
              <w:t>Forfeited</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(26,428)</w:t>
            </w:r>
          </w:p>
        </w:tc>
        <w:tc>
          <w:tcPr>
            <w:tcW w:w="1000" w:type="dxa"/>
            <w:vAlign w:val="bottom"/>
          </w:tcPr>
          <w:p>
            <w:pPr>
              <w:jc w:val="right"/>
              <w:spacing w:after="0"/>
              <w:rPr>
                <w:sz w:val="20"/>
                <w:szCs w:val="20"/>
                <w:color w:val="auto"/>
              </w:rPr>
            </w:pPr>
            <w:r>
              <w:rPr>
                <w:rFonts w:ascii="Arial" w:cs="Arial" w:eastAsia="Arial" w:hAnsi="Arial"/>
                <w:sz w:val="14"/>
                <w:szCs w:val="14"/>
                <w:color w:val="auto"/>
              </w:rPr>
              <w:t>5.93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660" w:type="dxa"/>
            <w:vAlign w:val="bottom"/>
            <w:shd w:val="clear" w:color="auto" w:fill="CCEEFF"/>
          </w:tcPr>
          <w:p>
            <w:pPr>
              <w:spacing w:after="0"/>
              <w:rPr>
                <w:sz w:val="20"/>
                <w:szCs w:val="20"/>
                <w:color w:val="auto"/>
              </w:rPr>
            </w:pPr>
            <w:r>
              <w:rPr>
                <w:rFonts w:ascii="Arial" w:cs="Arial" w:eastAsia="Arial" w:hAnsi="Arial"/>
                <w:sz w:val="14"/>
                <w:szCs w:val="14"/>
                <w:color w:val="auto"/>
              </w:rPr>
              <w:t>Vested</w:t>
            </w:r>
          </w:p>
        </w:tc>
        <w:tc>
          <w:tcPr>
            <w:tcW w:w="10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(45,319)</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60" w:type="dxa"/>
            <w:vAlign w:val="bottom"/>
            <w:tcBorders>
              <w:top w:val="single" w:sz="8" w:color="CCEEFF"/>
            </w:tcBorders>
          </w:tcPr>
          <w:p>
            <w:pPr>
              <w:spacing w:after="0"/>
              <w:rPr>
                <w:sz w:val="20"/>
                <w:szCs w:val="20"/>
                <w:color w:val="auto"/>
              </w:rPr>
            </w:pPr>
            <w:r>
              <w:rPr>
                <w:rFonts w:ascii="Arial" w:cs="Arial" w:eastAsia="Arial" w:hAnsi="Arial"/>
                <w:sz w:val="14"/>
                <w:szCs w:val="14"/>
                <w:color w:val="auto"/>
              </w:rPr>
              <w:t>Issued and unvested at April 30, 2012</w:t>
            </w:r>
          </w:p>
        </w:tc>
        <w:tc>
          <w:tcPr>
            <w:tcW w:w="10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93,840</w:t>
            </w:r>
          </w:p>
        </w:tc>
        <w:tc>
          <w:tcPr>
            <w:tcW w:w="10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There was $99,658 and $476,789 of total recognized compensation cost relating to restricted stock granted to employees during the years ended April 30, 2012 and 2011, respectively. Certain shares of restricted stock were granted to non-employee directors during the years ended April 30, 2012 and 2011, respectively. The Company recorded compensation expenses of $13,385 and $7,497 in 2012 and 2011, respectively. As of April 30, 2012, there was approximately $134,000 of total unrecognized compensation cost related to non-vested restricted stock granted under the plans. This cost is expected to be recognized over a weighted-average period of 2 years.</w:t>
      </w:r>
    </w:p>
    <w:p>
      <w:pPr>
        <w:spacing w:after="0" w:line="356" w:lineRule="exact"/>
        <w:rPr>
          <w:sz w:val="20"/>
          <w:szCs w:val="20"/>
          <w:color w:val="auto"/>
        </w:rPr>
      </w:pPr>
    </w:p>
    <w:p>
      <w:pPr>
        <w:ind w:left="600" w:hanging="493"/>
        <w:spacing w:after="0"/>
        <w:tabs>
          <w:tab w:leader="none" w:pos="600"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Treasury Stock</w:t>
      </w:r>
    </w:p>
    <w:p>
      <w:pPr>
        <w:spacing w:after="0" w:line="212"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During the years ended April 30, 2012 and 2011, 15,859 and 6,613 shares of common stock, respectively, were purchased by the Company from employees to pay taxes related to the vesting of restricted stock.</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12" w:lineRule="exact"/>
        <w:rPr>
          <w:sz w:val="20"/>
          <w:szCs w:val="20"/>
          <w:color w:val="auto"/>
        </w:rPr>
      </w:pPr>
    </w:p>
    <w:p>
      <w:pPr>
        <w:ind w:left="600" w:hanging="597"/>
        <w:spacing w:after="0"/>
        <w:tabs>
          <w:tab w:leader="none" w:pos="60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Tax Rate Reconciliation</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effective income tax rate differed from the percentages computed by applying the US federal income tax rate of 34% to loss before income taxes as a result of the following:</w:t>
      </w:r>
    </w:p>
    <w:p>
      <w:pPr>
        <w:spacing w:after="0" w:line="208"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Years Ended April 30,</w:t>
      </w:r>
    </w:p>
    <w:p>
      <w:pPr>
        <w:spacing w:after="0" w:line="18" w:lineRule="exact"/>
        <w:rPr>
          <w:sz w:val="20"/>
          <w:szCs w:val="20"/>
          <w:color w:val="auto"/>
        </w:rPr>
      </w:pPr>
    </w:p>
    <w:tbl>
      <w:tblPr>
        <w:tblLayout w:type="fixed"/>
        <w:tblInd w:w="380" w:type="dxa"/>
        <w:tblCellMar>
          <w:top w:w="0" w:type="dxa"/>
          <w:left w:w="0" w:type="dxa"/>
          <w:bottom w:w="0" w:type="dxa"/>
          <w:right w:w="0" w:type="dxa"/>
        </w:tblCellMar>
      </w:tblPr>
      <w:tr>
        <w:trPr>
          <w:trHeight w:val="169"/>
        </w:trPr>
        <w:tc>
          <w:tcPr>
            <w:tcW w:w="6180" w:type="dxa"/>
            <w:vAlign w:val="bottom"/>
            <w:gridSpan w:val="2"/>
          </w:tcPr>
          <w:p>
            <w:pPr>
              <w:spacing w:after="0"/>
              <w:rPr>
                <w:sz w:val="14"/>
                <w:szCs w:val="14"/>
                <w:color w:val="auto"/>
              </w:rPr>
            </w:pP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Computed "expected" tax benefit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(reduction) in income taxes resulting from:</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State income taxes, net of federal benefit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research and development tax credits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rate differential</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non-deductible expenses</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Increase in valuation allowance</w:t>
            </w: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180" w:type="dxa"/>
            <w:vAlign w:val="bottom"/>
            <w:gridSpan w:val="2"/>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w:t>
            </w:r>
          </w:p>
        </w:tc>
        <w:tc>
          <w:tcPr>
            <w:tcW w:w="8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Significant Components of Deferred Taxes</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tax effects of temporary differences and carryforwards that give rise to the Company's deferred tax assets and deferred tax liabilities are presented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April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vMerge w:val="restart"/>
          </w:tcPr>
          <w:p>
            <w:pPr>
              <w:spacing w:after="0"/>
              <w:rPr>
                <w:sz w:val="14"/>
                <w:szCs w:val="14"/>
                <w:color w:val="auto"/>
              </w:rPr>
            </w:pPr>
          </w:p>
        </w:tc>
        <w:tc>
          <w:tcPr>
            <w:tcW w:w="4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vMerge w:val="continue"/>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Federal net operating loss carryforwards</w:t>
            </w:r>
          </w:p>
        </w:tc>
        <w:tc>
          <w:tcPr>
            <w:tcW w:w="2160" w:type="dxa"/>
            <w:vAlign w:val="bottom"/>
            <w:gridSpan w:val="3"/>
          </w:tcPr>
          <w:p>
            <w:pPr>
              <w:jc w:val="right"/>
              <w:ind w:right="91"/>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27,788,000</w:t>
            </w:r>
          </w:p>
        </w:tc>
        <w:tc>
          <w:tcPr>
            <w:tcW w:w="2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23,978,000</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Foreign net operating loss carryforwards</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4,875,000</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4,905,000</w:t>
            </w: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New Jersey state operating loss carryforwards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3,567,000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3,587,000</w:t>
            </w: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Federal research and development tax credits</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2,149,000</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1,914,000</w:t>
            </w: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Foreign research and development tax credits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715,000</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731,000</w:t>
            </w: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Stock compensation</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2,548,000</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2,548,000</w:t>
            </w: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Capitalized research and development costs, net of amortization</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676,000</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766,000</w:t>
            </w: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Unrealized foreign exchange loss</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291,000</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333,000</w:t>
            </w: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380" w:type="dxa"/>
            <w:vAlign w:val="bottom"/>
          </w:tcPr>
          <w:p>
            <w:pPr>
              <w:spacing w:after="0"/>
              <w:rPr>
                <w:sz w:val="20"/>
                <w:szCs w:val="20"/>
                <w:color w:val="auto"/>
              </w:rPr>
            </w:pPr>
            <w:r>
              <w:rPr>
                <w:rFonts w:ascii="Arial" w:cs="Arial" w:eastAsia="Arial" w:hAnsi="Arial"/>
                <w:sz w:val="14"/>
                <w:szCs w:val="14"/>
                <w:color w:val="auto"/>
              </w:rPr>
              <w:t>Accrued expenses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726,000</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737,000</w:t>
            </w: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342,000</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407,000</w:t>
            </w:r>
          </w:p>
        </w:tc>
        <w:tc>
          <w:tcPr>
            <w:tcW w:w="80" w:type="dxa"/>
            <w:vAlign w:val="bottom"/>
            <w:shd w:val="clear" w:color="auto" w:fill="CCEEFF"/>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vMerge w:val="restart"/>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1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vMerge w:val="continue"/>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Gross deferred tax assets</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43,677,000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39,906,000</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vMerge w:val="restart"/>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1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vMerge w:val="continue"/>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(43,677,000)</w:t>
            </w: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(39,906,000)</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0" w:type="dxa"/>
            <w:vAlign w:val="bottom"/>
            <w:vMerge w:val="restart"/>
          </w:tcPr>
          <w:p>
            <w:pPr>
              <w:spacing w:after="0"/>
              <w:rPr>
                <w:sz w:val="14"/>
                <w:szCs w:val="14"/>
                <w:color w:val="auto"/>
              </w:rPr>
            </w:pPr>
          </w:p>
        </w:tc>
        <w:tc>
          <w:tcPr>
            <w:tcW w:w="4380" w:type="dxa"/>
            <w:vAlign w:val="bottom"/>
            <w:tcBorders>
              <w:top w:val="single" w:sz="8" w:color="CCEEFF"/>
            </w:tcBorders>
          </w:tcPr>
          <w:p>
            <w:pPr>
              <w:spacing w:after="0"/>
              <w:rPr>
                <w:sz w:val="14"/>
                <w:szCs w:val="14"/>
                <w:color w:val="auto"/>
              </w:rPr>
            </w:pPr>
          </w:p>
        </w:tc>
        <w:tc>
          <w:tcPr>
            <w:tcW w:w="18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0" w:type="dxa"/>
            <w:vAlign w:val="bottom"/>
            <w:vMerge w:val="continue"/>
          </w:tcPr>
          <w:p>
            <w:pPr>
              <w:spacing w:after="0"/>
              <w:rPr>
                <w:sz w:val="17"/>
                <w:szCs w:val="17"/>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deferred tax assets</w:t>
            </w:r>
          </w:p>
        </w:tc>
        <w:tc>
          <w:tcPr>
            <w:tcW w:w="192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3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60" w:type="dxa"/>
            <w:vAlign w:val="bottom"/>
            <w:gridSpan w:val="3"/>
          </w:tcPr>
          <w:p>
            <w:pPr>
              <w:jc w:val="right"/>
              <w:ind w:right="991"/>
              <w:spacing w:after="0"/>
              <w:rPr>
                <w:sz w:val="20"/>
                <w:szCs w:val="20"/>
                <w:color w:val="auto"/>
              </w:rPr>
            </w:pPr>
            <w:r>
              <w:rPr>
                <w:rFonts w:ascii="Arial" w:cs="Arial" w:eastAsia="Arial" w:hAnsi="Arial"/>
                <w:sz w:val="14"/>
                <w:szCs w:val="14"/>
                <w:color w:val="auto"/>
              </w:rPr>
              <w:t>F-18</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80" w:type="dxa"/>
            <w:vAlign w:val="bottom"/>
            <w:tcBorders>
              <w:bottom w:val="single" w:sz="8" w:color="808080"/>
            </w:tcBorders>
          </w:tcPr>
          <w:p>
            <w:pPr>
              <w:spacing w:after="0"/>
              <w:rPr>
                <w:sz w:val="7"/>
                <w:szCs w:val="7"/>
                <w:color w:val="auto"/>
              </w:rPr>
            </w:pPr>
          </w:p>
        </w:tc>
        <w:tc>
          <w:tcPr>
            <w:tcW w:w="4380" w:type="dxa"/>
            <w:vAlign w:val="bottom"/>
            <w:tcBorders>
              <w:bottom w:val="single" w:sz="8" w:color="808080"/>
            </w:tcBorders>
          </w:tcPr>
          <w:p>
            <w:pPr>
              <w:spacing w:after="0"/>
              <w:rPr>
                <w:sz w:val="7"/>
                <w:szCs w:val="7"/>
                <w:color w:val="auto"/>
              </w:rPr>
            </w:pPr>
          </w:p>
        </w:tc>
        <w:tc>
          <w:tcPr>
            <w:tcW w:w="18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22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216"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As of April 30, 2012 and 2011, based upon the level of historical taxable losses, valuation allowances of $43,677,000 and $39,906,000, respectively, were recorded to fully offset deferred tax assets. The valuation allowance increased $3,771,000 and $6,807,000 during the years ended April 30, 2012 and 2011, respectively.</w:t>
      </w:r>
    </w:p>
    <w:p>
      <w:pPr>
        <w:spacing w:after="0" w:line="190" w:lineRule="exact"/>
        <w:rPr>
          <w:sz w:val="20"/>
          <w:szCs w:val="20"/>
          <w:color w:val="auto"/>
        </w:rPr>
      </w:pPr>
    </w:p>
    <w:p>
      <w:pPr>
        <w:jc w:val="both"/>
        <w:ind w:firstLine="373"/>
        <w:spacing w:after="0" w:line="271" w:lineRule="auto"/>
        <w:rPr>
          <w:sz w:val="20"/>
          <w:szCs w:val="20"/>
          <w:color w:val="auto"/>
        </w:rPr>
      </w:pPr>
      <w:r>
        <w:rPr>
          <w:rFonts w:ascii="Arial" w:cs="Arial" w:eastAsia="Arial" w:hAnsi="Arial"/>
          <w:sz w:val="13"/>
          <w:szCs w:val="13"/>
          <w:color w:val="auto"/>
        </w:rPr>
        <w:t>As of April 30, 2012, the Company had net operating loss carryforwards for federal income tax purposes of approximately $81,700,000, which begin to expire in 2013. The Company also had federal research and experimental tax credit carryforwards of approximately $2,149,000 as of April 30, 2012, which begin to expire in 2013. The Tax Reform Act of 1986 contains provisions that limit the utilization of net operating loss and tax credit carryforwards if there has been an ownership change, as defined. The Company has determined that such an ownership change, as described in Section 382 of the Internal Revenue Code, occurred in conjunction with the Company's US initial public offering in April 2007. The Company's annual Section 382 limitation is approximately $3,300,000. The Section 382 limitation is cumulative from year to year, and thus, to the extent net operating loss or other credit carryforwards are not utilized up to the amount of the available annual limitation, the limitation is carried forward and added to the following year's available limitation. The Company has not performed additional analysis on ownership changes that may have occurred subsequently to further limit the ability to utilize net tax attributes. As of April 30, 2012, the Company had state net operating loss carryforwards of approximately $57,700,000, which begin to expire in 2026, which also may be limited to utilization limitations. As of April 30, 2012, the Company had foreign net operating loss carryforwards of approximately $18,300,000, which begin to expire in 2024. The ability to utilize these carryforwards may also be limited in the event of a historic ownership change.</w:t>
      </w:r>
    </w:p>
    <w:p>
      <w:pPr>
        <w:spacing w:after="0" w:line="182"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4"/>
          <w:szCs w:val="14"/>
          <w:color w:val="auto"/>
        </w:rPr>
        <w:t>During the years ended April 30, 2012 and 2011, the Company sold New Jersey State net operating losses in the amount of $12,862,000 and $4,446,000, respectively, resulting in the recognition of income tax benefits of $1,053,427 and $364,105, respectively, recorded in the Company’s Statement of Operations.</w:t>
      </w:r>
    </w:p>
    <w:p>
      <w:pPr>
        <w:spacing w:after="0" w:line="180"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April 30, 2012 and 2011,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2007 and fiscal 2010, respectively. Net operating loss and credit carryforwards since inception remain open to examination by taxing authorities, and will continue to remain open for a period of time after utilization.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does not have any interest or penalties accrued related to uncertain tax positions as it does not have any unrecognized tax benefits.</w:t>
      </w:r>
    </w:p>
    <w:p>
      <w:pPr>
        <w:spacing w:after="0" w:line="374" w:lineRule="exact"/>
        <w:rPr>
          <w:sz w:val="20"/>
          <w:szCs w:val="20"/>
          <w:color w:val="auto"/>
        </w:rPr>
      </w:pPr>
    </w:p>
    <w:p>
      <w:pPr>
        <w:ind w:left="600" w:hanging="597"/>
        <w:spacing w:after="0"/>
        <w:tabs>
          <w:tab w:leader="none" w:pos="600"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361" w:lineRule="exact"/>
        <w:rPr>
          <w:rFonts w:ascii="Arial" w:cs="Arial" w:eastAsia="Arial" w:hAnsi="Arial"/>
          <w:sz w:val="14"/>
          <w:szCs w:val="14"/>
          <w:b w:val="1"/>
          <w:bCs w:val="1"/>
          <w:color w:val="auto"/>
        </w:rPr>
      </w:pPr>
    </w:p>
    <w:p>
      <w:pPr>
        <w:ind w:left="600" w:hanging="493"/>
        <w:spacing w:after="0"/>
        <w:tabs>
          <w:tab w:leader="none" w:pos="600" w:val="left"/>
        </w:tabs>
        <w:numPr>
          <w:ilvl w:val="1"/>
          <w:numId w:val="5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Operating Lease Commitments</w:t>
      </w:r>
    </w:p>
    <w:p>
      <w:pPr>
        <w:spacing w:after="0" w:line="171" w:lineRule="exact"/>
        <w:rPr>
          <w:sz w:val="20"/>
          <w:szCs w:val="20"/>
          <w:color w:val="auto"/>
        </w:rPr>
      </w:pPr>
    </w:p>
    <w:p>
      <w:pPr>
        <w:jc w:val="both"/>
        <w:ind w:firstLine="373"/>
        <w:spacing w:after="0" w:line="258" w:lineRule="auto"/>
        <w:rPr>
          <w:sz w:val="20"/>
          <w:szCs w:val="20"/>
          <w:color w:val="auto"/>
        </w:rPr>
      </w:pPr>
      <w:r>
        <w:rPr>
          <w:rFonts w:ascii="Arial" w:cs="Arial" w:eastAsia="Arial" w:hAnsi="Arial"/>
          <w:sz w:val="14"/>
          <w:szCs w:val="14"/>
          <w:color w:val="auto"/>
        </w:rPr>
        <w:t>The Company leases office, laboratory, manufacturing and other space in Pennington, New Jersey and Warwick, United Kingdom, under operating leases that expire on various dates through April 30, 2013. Rent expense under operating leases was approximately $507,000 and $525,000 for the years ended April 30, 2012 and 2011, respectively. The Company’s operating leases expire within one year and future minimum lease payments under these leases as of April 30, 2012 are $276,000.</w:t>
      </w:r>
    </w:p>
    <w:p>
      <w:pPr>
        <w:spacing w:after="0" w:line="352" w:lineRule="exact"/>
        <w:rPr>
          <w:sz w:val="20"/>
          <w:szCs w:val="20"/>
          <w:color w:val="auto"/>
        </w:rPr>
      </w:pPr>
    </w:p>
    <w:p>
      <w:pPr>
        <w:ind w:left="600" w:hanging="493"/>
        <w:spacing w:after="0"/>
        <w:tabs>
          <w:tab w:leader="none" w:pos="600" w:val="left"/>
        </w:tabs>
        <w:numPr>
          <w:ilvl w:val="0"/>
          <w:numId w:val="5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Litigation</w:t>
      </w:r>
    </w:p>
    <w:p>
      <w:pPr>
        <w:spacing w:after="0" w:line="171"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8472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720" cy="19050"/>
                    </a:xfrm>
                    <a:prstGeom prst="rect">
                      <a:avLst/>
                    </a:prstGeom>
                    <a:noFill/>
                  </pic:spPr>
                </pic:pic>
              </a:graphicData>
            </a:graphic>
          </wp:anchor>
        </w:drawing>
      </w:r>
    </w:p>
    <w:p>
      <w:pPr>
        <w:sectPr>
          <w:pgSz w:w="11900" w:h="16838" w:orient="portrait"/>
          <w:cols w:equalWidth="0" w:num="1">
            <w:col w:w="11460"/>
          </w:cols>
          <w:pgMar w:left="220" w:top="467" w:right="2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OCEAN POWER TECHNOLOGIES, INC. AND SUBSIDIARIES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 — (Continued)</w:t>
      </w:r>
    </w:p>
    <w:p>
      <w:pPr>
        <w:spacing w:after="0" w:line="382" w:lineRule="exact"/>
        <w:rPr>
          <w:sz w:val="20"/>
          <w:szCs w:val="20"/>
          <w:color w:val="auto"/>
        </w:rPr>
      </w:pPr>
    </w:p>
    <w:p>
      <w:pPr>
        <w:ind w:left="600" w:hanging="493"/>
        <w:spacing w:after="0"/>
        <w:tabs>
          <w:tab w:leader="none" w:pos="600" w:val="left"/>
        </w:tabs>
        <w:numPr>
          <w:ilvl w:val="0"/>
          <w:numId w:val="6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2006 Spain Construction Agreement</w:t>
      </w:r>
    </w:p>
    <w:p>
      <w:pPr>
        <w:spacing w:after="0" w:line="171" w:lineRule="exact"/>
        <w:rPr>
          <w:sz w:val="20"/>
          <w:szCs w:val="20"/>
          <w:color w:val="auto"/>
        </w:rPr>
      </w:pPr>
    </w:p>
    <w:p>
      <w:pPr>
        <w:jc w:val="both"/>
        <w:ind w:firstLine="373"/>
        <w:spacing w:after="0" w:line="252" w:lineRule="auto"/>
        <w:rPr>
          <w:sz w:val="20"/>
          <w:szCs w:val="20"/>
          <w:color w:val="auto"/>
        </w:rPr>
      </w:pPr>
      <w:r>
        <w:rPr>
          <w:rFonts w:ascii="Arial" w:cs="Arial" w:eastAsia="Arial" w:hAnsi="Arial"/>
          <w:sz w:val="14"/>
          <w:szCs w:val="14"/>
          <w:color w:val="auto"/>
        </w:rPr>
        <w:t>The Company is currently engaged in discussions with Iberdrola Cantabria (see Note 2(a)) regarding modifications to its agreement for the first phase of the construction of a wave power station off the coast of Spain. This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April 30, 2012, the Company does not believe that the outcome of this matter will have a material adverse effect on the Company's financial position or results of operations.</w:t>
      </w:r>
    </w:p>
    <w:p>
      <w:pPr>
        <w:spacing w:after="0" w:line="200" w:lineRule="exact"/>
        <w:rPr>
          <w:sz w:val="20"/>
          <w:szCs w:val="20"/>
          <w:color w:val="auto"/>
        </w:rPr>
      </w:pPr>
    </w:p>
    <w:p>
      <w:pPr>
        <w:spacing w:after="0" w:line="361" w:lineRule="exact"/>
        <w:rPr>
          <w:sz w:val="20"/>
          <w:szCs w:val="20"/>
          <w:color w:val="auto"/>
        </w:rPr>
      </w:pPr>
    </w:p>
    <w:p>
      <w:pPr>
        <w:ind w:left="600" w:hanging="597"/>
        <w:spacing w:after="0"/>
        <w:tabs>
          <w:tab w:leader="none" w:pos="600"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Operating Segments and Geographic Information</w:t>
      </w:r>
    </w:p>
    <w:p>
      <w:pPr>
        <w:spacing w:after="0" w:line="175" w:lineRule="exact"/>
        <w:rPr>
          <w:sz w:val="20"/>
          <w:szCs w:val="20"/>
          <w:color w:val="auto"/>
        </w:rPr>
      </w:pPr>
    </w:p>
    <w:p>
      <w:pPr>
        <w:ind w:firstLine="373"/>
        <w:spacing w:after="0" w:line="268" w:lineRule="auto"/>
        <w:rPr>
          <w:sz w:val="20"/>
          <w:szCs w:val="20"/>
          <w:color w:val="auto"/>
        </w:rPr>
      </w:pPr>
      <w:r>
        <w:rPr>
          <w:rFonts w:ascii="Arial" w:cs="Arial" w:eastAsia="Arial" w:hAnsi="Arial"/>
          <w:sz w:val="14"/>
          <w:szCs w:val="14"/>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Geographic information is as follows:</w:t>
      </w:r>
    </w:p>
    <w:p>
      <w:pPr>
        <w:spacing w:after="0" w:line="14"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3"/>
          </w:tcPr>
          <w:p>
            <w:pPr>
              <w:jc w:val="right"/>
              <w:ind w:right="1171"/>
              <w:spacing w:after="0"/>
              <w:rPr>
                <w:sz w:val="20"/>
                <w:szCs w:val="20"/>
                <w:color w:val="auto"/>
              </w:rPr>
            </w:pPr>
            <w:r>
              <w:rPr>
                <w:rFonts w:ascii="Arial" w:cs="Arial" w:eastAsia="Arial" w:hAnsi="Arial"/>
                <w:sz w:val="14"/>
                <w:szCs w:val="14"/>
                <w:b w:val="1"/>
                <w:bCs w:val="1"/>
                <w:color w:val="auto"/>
              </w:rPr>
              <w:t>Year Ended April 30, 2012</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Europe</w:t>
            </w:r>
          </w:p>
        </w:tc>
        <w:tc>
          <w:tcPr>
            <w:tcW w:w="840" w:type="dxa"/>
            <w:vAlign w:val="bottom"/>
          </w:tcPr>
          <w:p>
            <w:pPr>
              <w:spacing w:after="0"/>
              <w:rPr>
                <w:sz w:val="14"/>
                <w:szCs w:val="14"/>
                <w:color w:val="auto"/>
              </w:rPr>
            </w:pP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Asia and Australia</w:t>
            </w: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7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from</w:t>
            </w: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external</w:t>
            </w: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customers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4,603,652</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1,134,854</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5,738,506</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line="155"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5"/>
        </w:trPr>
        <w:tc>
          <w:tcPr>
            <w:tcW w:w="740" w:type="dxa"/>
            <w:vAlign w:val="bottom"/>
            <w:gridSpan w:val="2"/>
          </w:tcPr>
          <w:p>
            <w:pPr>
              <w:spacing w:after="0"/>
              <w:rPr>
                <w:sz w:val="20"/>
                <w:szCs w:val="20"/>
                <w:color w:val="auto"/>
              </w:rPr>
            </w:pPr>
            <w:r>
              <w:rPr>
                <w:rFonts w:ascii="Arial" w:cs="Arial" w:eastAsia="Arial" w:hAnsi="Arial"/>
                <w:sz w:val="14"/>
                <w:szCs w:val="14"/>
                <w:color w:val="auto"/>
              </w:rPr>
              <w:t>loss</w:t>
            </w:r>
          </w:p>
        </w:tc>
        <w:tc>
          <w:tcPr>
            <w:tcW w:w="300" w:type="dxa"/>
            <w:vAlign w:val="bottom"/>
          </w:tcPr>
          <w:p>
            <w:pPr>
              <w:spacing w:after="0"/>
              <w:rPr>
                <w:sz w:val="15"/>
                <w:szCs w:val="15"/>
                <w:color w:val="auto"/>
              </w:rPr>
            </w:pPr>
          </w:p>
        </w:tc>
        <w:tc>
          <w:tcPr>
            <w:tcW w:w="1660" w:type="dxa"/>
            <w:vAlign w:val="bottom"/>
          </w:tcPr>
          <w:p>
            <w:pPr>
              <w:jc w:val="right"/>
              <w:ind w:right="131"/>
              <w:spacing w:after="0"/>
              <w:rPr>
                <w:sz w:val="20"/>
                <w:szCs w:val="20"/>
                <w:color w:val="auto"/>
              </w:rPr>
            </w:pPr>
            <w:r>
              <w:rPr>
                <w:rFonts w:ascii="Arial" w:cs="Arial" w:eastAsia="Arial" w:hAnsi="Arial"/>
                <w:sz w:val="14"/>
                <w:szCs w:val="14"/>
                <w:color w:val="auto"/>
              </w:rPr>
              <w:t>(14,432,825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(1,672,636</w:t>
            </w:r>
          </w:p>
        </w:tc>
        <w:tc>
          <w:tcPr>
            <w:tcW w:w="84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(451,284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80" w:type="dxa"/>
            <w:vAlign w:val="bottom"/>
            <w:gridSpan w:val="3"/>
          </w:tcPr>
          <w:p>
            <w:pPr>
              <w:jc w:val="right"/>
              <w:ind w:right="200"/>
              <w:spacing w:after="0"/>
              <w:rPr>
                <w:sz w:val="20"/>
                <w:szCs w:val="20"/>
                <w:color w:val="auto"/>
              </w:rPr>
            </w:pPr>
            <w:r>
              <w:rPr>
                <w:rFonts w:ascii="Arial" w:cs="Arial" w:eastAsia="Arial" w:hAnsi="Arial"/>
                <w:sz w:val="14"/>
                <w:szCs w:val="14"/>
                <w:color w:val="auto"/>
              </w:rPr>
              <w:t>(16,556,745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Long-</w:t>
            </w:r>
          </w:p>
        </w:tc>
        <w:tc>
          <w:tcPr>
            <w:tcW w:w="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lived</w:t>
            </w: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585,818</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97,115</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682,933</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5"/>
        </w:trPr>
        <w:tc>
          <w:tcPr>
            <w:tcW w:w="740" w:type="dxa"/>
            <w:vAlign w:val="bottom"/>
            <w:gridSpan w:val="2"/>
          </w:tcPr>
          <w:p>
            <w:pPr>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5"/>
                <w:szCs w:val="15"/>
                <w:color w:val="auto"/>
              </w:rPr>
            </w:pPr>
          </w:p>
        </w:tc>
        <w:tc>
          <w:tcPr>
            <w:tcW w:w="1660" w:type="dxa"/>
            <w:vAlign w:val="bottom"/>
          </w:tcPr>
          <w:p>
            <w:pPr>
              <w:jc w:val="right"/>
              <w:ind w:right="131"/>
              <w:spacing w:after="0"/>
              <w:rPr>
                <w:sz w:val="20"/>
                <w:szCs w:val="20"/>
                <w:color w:val="auto"/>
              </w:rPr>
            </w:pPr>
            <w:r>
              <w:rPr>
                <w:rFonts w:ascii="Arial" w:cs="Arial" w:eastAsia="Arial" w:hAnsi="Arial"/>
                <w:sz w:val="14"/>
                <w:szCs w:val="14"/>
                <w:color w:val="auto"/>
              </w:rPr>
              <w:t>35,181,637</w:t>
            </w:r>
          </w:p>
        </w:tc>
        <w:tc>
          <w:tcPr>
            <w:tcW w:w="24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1,619,973</w:t>
            </w:r>
          </w:p>
        </w:tc>
        <w:tc>
          <w:tcPr>
            <w:tcW w:w="840" w:type="dxa"/>
            <w:vAlign w:val="bottom"/>
          </w:tcPr>
          <w:p>
            <w:pPr>
              <w:spacing w:after="0"/>
              <w:rPr>
                <w:sz w:val="15"/>
                <w:szCs w:val="15"/>
                <w:color w:val="auto"/>
              </w:rPr>
            </w:pP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640,027</w:t>
            </w:r>
          </w:p>
        </w:tc>
        <w:tc>
          <w:tcPr>
            <w:tcW w:w="160" w:type="dxa"/>
            <w:vAlign w:val="bottom"/>
          </w:tcPr>
          <w:p>
            <w:pPr>
              <w:spacing w:after="0"/>
              <w:rPr>
                <w:sz w:val="15"/>
                <w:szCs w:val="15"/>
                <w:color w:val="auto"/>
              </w:rPr>
            </w:pPr>
          </w:p>
        </w:tc>
        <w:tc>
          <w:tcPr>
            <w:tcW w:w="2080" w:type="dxa"/>
            <w:vAlign w:val="bottom"/>
            <w:gridSpan w:val="3"/>
          </w:tcPr>
          <w:p>
            <w:pPr>
              <w:jc w:val="right"/>
              <w:ind w:right="200"/>
              <w:spacing w:after="0"/>
              <w:rPr>
                <w:sz w:val="20"/>
                <w:szCs w:val="20"/>
                <w:color w:val="auto"/>
              </w:rPr>
            </w:pPr>
            <w:r>
              <w:rPr>
                <w:rFonts w:ascii="Arial" w:cs="Arial" w:eastAsia="Arial" w:hAnsi="Arial"/>
                <w:sz w:val="14"/>
                <w:szCs w:val="14"/>
                <w:color w:val="auto"/>
              </w:rPr>
              <w:t>37,441,637</w:t>
            </w:r>
          </w:p>
        </w:tc>
        <w:tc>
          <w:tcPr>
            <w:tcW w:w="240" w:type="dxa"/>
            <w:vAlign w:val="bottom"/>
          </w:tcPr>
          <w:p>
            <w:pPr>
              <w:spacing w:after="0"/>
              <w:rPr>
                <w:sz w:val="15"/>
                <w:szCs w:val="15"/>
                <w:color w:val="auto"/>
              </w:rPr>
            </w:pPr>
          </w:p>
        </w:tc>
      </w:tr>
    </w:tbl>
    <w:p>
      <w:pPr>
        <w:spacing w:after="0" w:line="153"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3"/>
          </w:tcPr>
          <w:p>
            <w:pPr>
              <w:jc w:val="right"/>
              <w:ind w:right="1171"/>
              <w:spacing w:after="0"/>
              <w:rPr>
                <w:sz w:val="20"/>
                <w:szCs w:val="20"/>
                <w:color w:val="auto"/>
              </w:rPr>
            </w:pPr>
            <w:r>
              <w:rPr>
                <w:rFonts w:ascii="Arial" w:cs="Arial" w:eastAsia="Arial" w:hAnsi="Arial"/>
                <w:sz w:val="14"/>
                <w:szCs w:val="14"/>
                <w:b w:val="1"/>
                <w:bCs w:val="1"/>
                <w:color w:val="auto"/>
              </w:rPr>
              <w:t>Year Ended April 30, 2011</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North America</w:t>
            </w:r>
          </w:p>
        </w:tc>
        <w:tc>
          <w:tcPr>
            <w:tcW w:w="2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Europe</w:t>
            </w:r>
          </w:p>
        </w:tc>
        <w:tc>
          <w:tcPr>
            <w:tcW w:w="840" w:type="dxa"/>
            <w:vAlign w:val="bottom"/>
          </w:tcPr>
          <w:p>
            <w:pPr>
              <w:spacing w:after="0"/>
              <w:rPr>
                <w:sz w:val="14"/>
                <w:szCs w:val="14"/>
                <w:color w:val="auto"/>
              </w:rPr>
            </w:pPr>
          </w:p>
        </w:tc>
        <w:tc>
          <w:tcPr>
            <w:tcW w:w="1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Asia and Australia</w:t>
            </w:r>
          </w:p>
        </w:tc>
        <w:tc>
          <w:tcPr>
            <w:tcW w:w="1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7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from</w:t>
            </w: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66"/>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external</w:t>
            </w: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customers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5,609,789</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853,939</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227,354</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6,691,082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line="155" w:lineRule="exact"/>
              <w:rPr>
                <w:sz w:val="20"/>
                <w:szCs w:val="20"/>
                <w:color w:val="auto"/>
              </w:rPr>
            </w:pPr>
            <w:r>
              <w:rPr>
                <w:rFonts w:ascii="Arial" w:cs="Arial" w:eastAsia="Arial" w:hAnsi="Arial"/>
                <w:sz w:val="14"/>
                <w:szCs w:val="14"/>
                <w:color w:val="auto"/>
              </w:rPr>
              <w:t>Operating</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5"/>
        </w:trPr>
        <w:tc>
          <w:tcPr>
            <w:tcW w:w="740" w:type="dxa"/>
            <w:vAlign w:val="bottom"/>
            <w:gridSpan w:val="2"/>
          </w:tcPr>
          <w:p>
            <w:pPr>
              <w:spacing w:after="0"/>
              <w:rPr>
                <w:sz w:val="20"/>
                <w:szCs w:val="20"/>
                <w:color w:val="auto"/>
              </w:rPr>
            </w:pPr>
            <w:r>
              <w:rPr>
                <w:rFonts w:ascii="Arial" w:cs="Arial" w:eastAsia="Arial" w:hAnsi="Arial"/>
                <w:sz w:val="14"/>
                <w:szCs w:val="14"/>
                <w:color w:val="auto"/>
              </w:rPr>
              <w:t>loss</w:t>
            </w:r>
          </w:p>
        </w:tc>
        <w:tc>
          <w:tcPr>
            <w:tcW w:w="300" w:type="dxa"/>
            <w:vAlign w:val="bottom"/>
          </w:tcPr>
          <w:p>
            <w:pPr>
              <w:spacing w:after="0"/>
              <w:rPr>
                <w:sz w:val="15"/>
                <w:szCs w:val="15"/>
                <w:color w:val="auto"/>
              </w:rPr>
            </w:pPr>
          </w:p>
        </w:tc>
        <w:tc>
          <w:tcPr>
            <w:tcW w:w="1660" w:type="dxa"/>
            <w:vAlign w:val="bottom"/>
          </w:tcPr>
          <w:p>
            <w:pPr>
              <w:jc w:val="right"/>
              <w:ind w:right="131"/>
              <w:spacing w:after="0"/>
              <w:rPr>
                <w:sz w:val="20"/>
                <w:szCs w:val="20"/>
                <w:color w:val="auto"/>
              </w:rPr>
            </w:pPr>
            <w:r>
              <w:rPr>
                <w:rFonts w:ascii="Arial" w:cs="Arial" w:eastAsia="Arial" w:hAnsi="Arial"/>
                <w:sz w:val="14"/>
                <w:szCs w:val="14"/>
                <w:color w:val="auto"/>
              </w:rPr>
              <w:t>(19,443,565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(1,676,354</w:t>
            </w:r>
          </w:p>
        </w:tc>
        <w:tc>
          <w:tcPr>
            <w:tcW w:w="84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(162,871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080" w:type="dxa"/>
            <w:vAlign w:val="bottom"/>
            <w:gridSpan w:val="3"/>
          </w:tcPr>
          <w:p>
            <w:pPr>
              <w:jc w:val="right"/>
              <w:ind w:right="200"/>
              <w:spacing w:after="0"/>
              <w:rPr>
                <w:sz w:val="20"/>
                <w:szCs w:val="20"/>
                <w:color w:val="auto"/>
              </w:rPr>
            </w:pPr>
            <w:r>
              <w:rPr>
                <w:rFonts w:ascii="Arial" w:cs="Arial" w:eastAsia="Arial" w:hAnsi="Arial"/>
                <w:sz w:val="14"/>
                <w:szCs w:val="14"/>
                <w:color w:val="auto"/>
              </w:rPr>
              <w:t>(21,282,790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57"/>
        </w:trPr>
        <w:tc>
          <w:tcPr>
            <w:tcW w:w="20" w:type="dxa"/>
            <w:vAlign w:val="bottom"/>
          </w:tcPr>
          <w:p>
            <w:pPr>
              <w:spacing w:after="0"/>
              <w:rPr>
                <w:sz w:val="13"/>
                <w:szCs w:val="13"/>
                <w:color w:val="auto"/>
              </w:rPr>
            </w:pPr>
          </w:p>
        </w:tc>
        <w:tc>
          <w:tcPr>
            <w:tcW w:w="7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Long-</w:t>
            </w:r>
          </w:p>
        </w:tc>
        <w:tc>
          <w:tcPr>
            <w:tcW w:w="3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66"/>
        </w:trPr>
        <w:tc>
          <w:tcPr>
            <w:tcW w:w="20" w:type="dxa"/>
            <w:vAlign w:val="bottom"/>
          </w:tcPr>
          <w:p>
            <w:pPr>
              <w:spacing w:after="0"/>
              <w:rPr>
                <w:sz w:val="14"/>
                <w:szCs w:val="14"/>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lived</w:t>
            </w:r>
          </w:p>
        </w:tc>
        <w:tc>
          <w:tcPr>
            <w:tcW w:w="3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619,861</w:t>
            </w:r>
          </w:p>
        </w:tc>
        <w:tc>
          <w:tcPr>
            <w:tcW w:w="2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172,231</w:t>
            </w:r>
          </w:p>
        </w:tc>
        <w:tc>
          <w:tcPr>
            <w:tcW w:w="8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792,092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7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5"/>
        </w:trPr>
        <w:tc>
          <w:tcPr>
            <w:tcW w:w="740" w:type="dxa"/>
            <w:vAlign w:val="bottom"/>
            <w:gridSpan w:val="2"/>
          </w:tcPr>
          <w:p>
            <w:pPr>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5"/>
                <w:szCs w:val="15"/>
                <w:color w:val="auto"/>
              </w:rPr>
            </w:pPr>
          </w:p>
        </w:tc>
        <w:tc>
          <w:tcPr>
            <w:tcW w:w="1660" w:type="dxa"/>
            <w:vAlign w:val="bottom"/>
          </w:tcPr>
          <w:p>
            <w:pPr>
              <w:jc w:val="right"/>
              <w:ind w:right="131"/>
              <w:spacing w:after="0"/>
              <w:rPr>
                <w:sz w:val="20"/>
                <w:szCs w:val="20"/>
                <w:color w:val="auto"/>
              </w:rPr>
            </w:pPr>
            <w:r>
              <w:rPr>
                <w:rFonts w:ascii="Arial" w:cs="Arial" w:eastAsia="Arial" w:hAnsi="Arial"/>
                <w:sz w:val="14"/>
                <w:szCs w:val="14"/>
                <w:color w:val="auto"/>
              </w:rPr>
              <w:t>47,697,028</w:t>
            </w:r>
          </w:p>
        </w:tc>
        <w:tc>
          <w:tcPr>
            <w:tcW w:w="24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4,935,922</w:t>
            </w:r>
          </w:p>
        </w:tc>
        <w:tc>
          <w:tcPr>
            <w:tcW w:w="840" w:type="dxa"/>
            <w:vAlign w:val="bottom"/>
          </w:tcPr>
          <w:p>
            <w:pPr>
              <w:spacing w:after="0"/>
              <w:rPr>
                <w:sz w:val="15"/>
                <w:szCs w:val="15"/>
                <w:color w:val="auto"/>
              </w:rPr>
            </w:pP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919,628</w:t>
            </w:r>
          </w:p>
        </w:tc>
        <w:tc>
          <w:tcPr>
            <w:tcW w:w="160" w:type="dxa"/>
            <w:vAlign w:val="bottom"/>
          </w:tcPr>
          <w:p>
            <w:pPr>
              <w:spacing w:after="0"/>
              <w:rPr>
                <w:sz w:val="15"/>
                <w:szCs w:val="15"/>
                <w:color w:val="auto"/>
              </w:rPr>
            </w:pPr>
          </w:p>
        </w:tc>
        <w:tc>
          <w:tcPr>
            <w:tcW w:w="2080" w:type="dxa"/>
            <w:vAlign w:val="bottom"/>
            <w:gridSpan w:val="3"/>
          </w:tcPr>
          <w:p>
            <w:pPr>
              <w:jc w:val="right"/>
              <w:ind w:right="200"/>
              <w:spacing w:after="0"/>
              <w:rPr>
                <w:sz w:val="20"/>
                <w:szCs w:val="20"/>
                <w:color w:val="auto"/>
              </w:rPr>
            </w:pPr>
            <w:r>
              <w:rPr>
                <w:rFonts w:ascii="Arial" w:cs="Arial" w:eastAsia="Arial" w:hAnsi="Arial"/>
                <w:sz w:val="14"/>
                <w:szCs w:val="14"/>
                <w:color w:val="auto"/>
              </w:rPr>
              <w:t>53,552,578</w:t>
            </w:r>
          </w:p>
        </w:tc>
        <w:tc>
          <w:tcPr>
            <w:tcW w:w="240" w:type="dxa"/>
            <w:vAlign w:val="bottom"/>
          </w:tcPr>
          <w:p>
            <w:pPr>
              <w:spacing w:after="0"/>
              <w:rPr>
                <w:sz w:val="15"/>
                <w:szCs w:val="15"/>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60"/>
          </w:cols>
          <w:pgMar w:left="220" w:top="426" w:right="2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9"/>
        </w:trPr>
        <w:tc>
          <w:tcPr>
            <w:tcW w:w="8680" w:type="dxa"/>
            <w:vAlign w:val="bottom"/>
          </w:tcPr>
          <w:p>
            <w:pPr>
              <w:spacing w:after="0"/>
              <w:rPr>
                <w:sz w:val="15"/>
                <w:szCs w:val="15"/>
                <w:color w:val="auto"/>
              </w:rPr>
            </w:pPr>
          </w:p>
        </w:tc>
        <w:tc>
          <w:tcPr>
            <w:tcW w:w="2780" w:type="dxa"/>
            <w:vAlign w:val="bottom"/>
          </w:tcPr>
          <w:p>
            <w:pPr>
              <w:ind w:left="2080"/>
              <w:spacing w:after="0"/>
              <w:rPr>
                <w:sz w:val="20"/>
                <w:szCs w:val="20"/>
                <w:color w:val="auto"/>
              </w:rPr>
            </w:pPr>
            <w:r>
              <w:rPr>
                <w:rFonts w:ascii="Arial" w:cs="Arial" w:eastAsia="Arial" w:hAnsi="Arial"/>
                <w:sz w:val="14"/>
                <w:szCs w:val="14"/>
                <w:b w:val="1"/>
                <w:bCs w:val="1"/>
                <w:color w:val="auto"/>
                <w:w w:val="87"/>
              </w:rPr>
              <w:t>Exhibit 21.1</w:t>
            </w:r>
          </w:p>
        </w:tc>
      </w:tr>
      <w:tr>
        <w:trPr>
          <w:trHeight w:val="345"/>
        </w:trPr>
        <w:tc>
          <w:tcPr>
            <w:tcW w:w="868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Jurisdiction of Incorporation</w:t>
            </w:r>
          </w:p>
        </w:tc>
      </w:tr>
      <w:tr>
        <w:trPr>
          <w:trHeight w:val="166"/>
        </w:trPr>
        <w:tc>
          <w:tcPr>
            <w:tcW w:w="868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66"/>
        </w:trPr>
        <w:tc>
          <w:tcPr>
            <w:tcW w:w="8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Ocean Power Technologies Ltd</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United Kingdom</w:t>
            </w:r>
          </w:p>
        </w:tc>
      </w:tr>
      <w:tr>
        <w:trPr>
          <w:trHeight w:val="166"/>
        </w:trPr>
        <w:tc>
          <w:tcPr>
            <w:tcW w:w="8680" w:type="dxa"/>
            <w:vAlign w:val="bottom"/>
          </w:tcPr>
          <w:p>
            <w:pPr>
              <w:ind w:left="260"/>
              <w:spacing w:after="0"/>
              <w:rPr>
                <w:sz w:val="20"/>
                <w:szCs w:val="20"/>
                <w:color w:val="auto"/>
              </w:rPr>
            </w:pPr>
            <w:r>
              <w:rPr>
                <w:rFonts w:ascii="Arial" w:cs="Arial" w:eastAsia="Arial" w:hAnsi="Arial"/>
                <w:sz w:val="14"/>
                <w:szCs w:val="14"/>
                <w:color w:val="auto"/>
              </w:rPr>
              <w:t>Ocean Power Technologies (Australasia) Pty Ltd</w:t>
            </w:r>
          </w:p>
        </w:tc>
        <w:tc>
          <w:tcPr>
            <w:tcW w:w="2780" w:type="dxa"/>
            <w:vAlign w:val="bottom"/>
          </w:tcPr>
          <w:p>
            <w:pPr>
              <w:jc w:val="center"/>
              <w:spacing w:after="0"/>
              <w:rPr>
                <w:sz w:val="20"/>
                <w:szCs w:val="20"/>
                <w:color w:val="auto"/>
              </w:rPr>
            </w:pPr>
            <w:r>
              <w:rPr>
                <w:rFonts w:ascii="Arial" w:cs="Arial" w:eastAsia="Arial" w:hAnsi="Arial"/>
                <w:sz w:val="14"/>
                <w:szCs w:val="14"/>
                <w:color w:val="auto"/>
                <w:w w:val="91"/>
              </w:rPr>
              <w:t>Australia</w:t>
            </w:r>
          </w:p>
        </w:tc>
      </w:tr>
      <w:tr>
        <w:trPr>
          <w:trHeight w:val="166"/>
        </w:trPr>
        <w:tc>
          <w:tcPr>
            <w:tcW w:w="8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Reedsport OPT Wave Park LLC</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Oregon</w:t>
            </w:r>
          </w:p>
        </w:tc>
      </w:tr>
      <w:tr>
        <w:trPr>
          <w:trHeight w:val="166"/>
        </w:trPr>
        <w:tc>
          <w:tcPr>
            <w:tcW w:w="8680" w:type="dxa"/>
            <w:vAlign w:val="bottom"/>
          </w:tcPr>
          <w:p>
            <w:pPr>
              <w:ind w:left="260"/>
              <w:spacing w:after="0"/>
              <w:rPr>
                <w:sz w:val="20"/>
                <w:szCs w:val="20"/>
                <w:color w:val="auto"/>
              </w:rPr>
            </w:pPr>
            <w:r>
              <w:rPr>
                <w:rFonts w:ascii="Arial" w:cs="Arial" w:eastAsia="Arial" w:hAnsi="Arial"/>
                <w:sz w:val="14"/>
                <w:szCs w:val="14"/>
                <w:color w:val="auto"/>
              </w:rPr>
              <w:t>Oregon Wave Energy Partners I, LLC</w:t>
            </w:r>
          </w:p>
        </w:tc>
        <w:tc>
          <w:tcPr>
            <w:tcW w:w="2780" w:type="dxa"/>
            <w:vAlign w:val="bottom"/>
          </w:tcPr>
          <w:p>
            <w:pPr>
              <w:jc w:val="center"/>
              <w:spacing w:after="0"/>
              <w:rPr>
                <w:sz w:val="20"/>
                <w:szCs w:val="20"/>
                <w:color w:val="auto"/>
              </w:rPr>
            </w:pPr>
            <w:r>
              <w:rPr>
                <w:rFonts w:ascii="Arial" w:cs="Arial" w:eastAsia="Arial" w:hAnsi="Arial"/>
                <w:sz w:val="14"/>
                <w:szCs w:val="14"/>
                <w:color w:val="auto"/>
                <w:w w:val="87"/>
              </w:rPr>
              <w:t>Delaware</w:t>
            </w:r>
          </w:p>
        </w:tc>
      </w:tr>
      <w:tr>
        <w:trPr>
          <w:trHeight w:val="166"/>
        </w:trPr>
        <w:tc>
          <w:tcPr>
            <w:tcW w:w="8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Victorian Wave Partners Pty Ltd</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Australia</w:t>
            </w:r>
          </w:p>
        </w:tc>
      </w:tr>
    </w:tbl>
    <w:p>
      <w:pPr>
        <w:sectPr>
          <w:pgSz w:w="11900" w:h="16838" w:orient="portrait"/>
          <w:cols w:equalWidth="0" w:num="1">
            <w:col w:w="11460"/>
          </w:cols>
          <w:pgMar w:left="220" w:top="125" w:right="219" w:bottom="1440" w:gutter="0" w:footer="0" w:header="0"/>
        </w:sectPr>
      </w:pPr>
    </w:p>
    <w:bookmarkStart w:id="67" w:name="page68"/>
    <w:bookmarkEnd w:id="67"/>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Ocean Power Technologies, Inc.:</w:t>
      </w:r>
    </w:p>
    <w:p>
      <w:pPr>
        <w:spacing w:after="0" w:line="203" w:lineRule="exact"/>
        <w:rPr>
          <w:sz w:val="20"/>
          <w:szCs w:val="20"/>
          <w:color w:val="auto"/>
        </w:rPr>
      </w:pPr>
    </w:p>
    <w:p>
      <w:pPr>
        <w:jc w:val="both"/>
        <w:ind w:right="100"/>
        <w:spacing w:after="0" w:line="254" w:lineRule="auto"/>
        <w:rPr>
          <w:sz w:val="20"/>
          <w:szCs w:val="20"/>
          <w:color w:val="auto"/>
        </w:rPr>
      </w:pPr>
      <w:r>
        <w:rPr>
          <w:rFonts w:ascii="Arial" w:cs="Arial" w:eastAsia="Arial" w:hAnsi="Arial"/>
          <w:sz w:val="14"/>
          <w:szCs w:val="14"/>
          <w:color w:val="auto"/>
        </w:rPr>
        <w:t>We consent to the incorporation by reference in the registration statements (No. 333-142547 and No. 333-165856) on Form S-8 of Ocean Power Technologies, Inc. of our reports dated July 13, 2012, with respect to the consolidated balance sheets of Ocean Power Technologies, Inc. and subsidiaries as of April 30, 2012 and 2011, and the related consolidated statements of operations, stockholders' equity and comprehensive loss, and cash flows for each of the years in the two-year period ended April 30, 2012, which report appears in the April 30, 2012 annual report on Form 10-K of Ocean Power Technologies, Inc.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July 13, 2012</w:t>
      </w:r>
    </w:p>
    <w:p>
      <w:pPr>
        <w:sectPr>
          <w:pgSz w:w="11900" w:h="16838" w:orient="portrait"/>
          <w:cols w:equalWidth="0" w:num="1">
            <w:col w:w="11460"/>
          </w:cols>
          <w:pgMar w:left="220" w:top="125"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I, Charles F. Dunleavy, certify that:</w:t>
      </w:r>
    </w:p>
    <w:p>
      <w:pPr>
        <w:spacing w:after="0" w:line="378" w:lineRule="exact"/>
        <w:rPr>
          <w:sz w:val="20"/>
          <w:szCs w:val="20"/>
          <w:color w:val="auto"/>
        </w:rPr>
      </w:pPr>
    </w:p>
    <w:p>
      <w:pPr>
        <w:ind w:left="840" w:hanging="360"/>
        <w:spacing w:after="0"/>
        <w:tabs>
          <w:tab w:leader="none" w:pos="8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Ocean Power Technologies, Inc.;</w:t>
      </w:r>
    </w:p>
    <w:p>
      <w:pPr>
        <w:spacing w:after="0" w:line="170" w:lineRule="exact"/>
        <w:rPr>
          <w:rFonts w:ascii="Arial" w:cs="Arial" w:eastAsia="Arial" w:hAnsi="Arial"/>
          <w:sz w:val="14"/>
          <w:szCs w:val="14"/>
          <w:color w:val="auto"/>
        </w:rPr>
      </w:pPr>
    </w:p>
    <w:p>
      <w:pPr>
        <w:ind w:left="840" w:hanging="360"/>
        <w:spacing w:after="0" w:line="268" w:lineRule="auto"/>
        <w:tabs>
          <w:tab w:leader="none" w:pos="8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left="840" w:right="60" w:hanging="360"/>
        <w:spacing w:after="0" w:line="268" w:lineRule="auto"/>
        <w:tabs>
          <w:tab w:leader="none" w:pos="8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ind w:left="840" w:right="160" w:hanging="360"/>
        <w:spacing w:after="0" w:line="268" w:lineRule="auto"/>
        <w:tabs>
          <w:tab w:leader="none" w:pos="8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5" w:lineRule="exact"/>
        <w:rPr>
          <w:rFonts w:ascii="Arial" w:cs="Arial" w:eastAsia="Arial" w:hAnsi="Arial"/>
          <w:sz w:val="14"/>
          <w:szCs w:val="14"/>
          <w:color w:val="auto"/>
        </w:rPr>
      </w:pPr>
    </w:p>
    <w:p>
      <w:pPr>
        <w:jc w:val="both"/>
        <w:ind w:left="1440" w:right="340" w:hanging="483"/>
        <w:spacing w:after="0" w:line="258" w:lineRule="auto"/>
        <w:tabs>
          <w:tab w:leader="none" w:pos="14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1" w:lineRule="exact"/>
        <w:rPr>
          <w:rFonts w:ascii="Arial" w:cs="Arial" w:eastAsia="Arial" w:hAnsi="Arial"/>
          <w:sz w:val="14"/>
          <w:szCs w:val="14"/>
          <w:color w:val="auto"/>
        </w:rPr>
      </w:pPr>
    </w:p>
    <w:p>
      <w:pPr>
        <w:jc w:val="both"/>
        <w:ind w:left="1440" w:right="560" w:hanging="483"/>
        <w:spacing w:after="0" w:line="258" w:lineRule="auto"/>
        <w:tabs>
          <w:tab w:leader="none" w:pos="14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1" w:lineRule="exact"/>
        <w:rPr>
          <w:rFonts w:ascii="Arial" w:cs="Arial" w:eastAsia="Arial" w:hAnsi="Arial"/>
          <w:sz w:val="14"/>
          <w:szCs w:val="14"/>
          <w:color w:val="auto"/>
        </w:rPr>
      </w:pPr>
    </w:p>
    <w:p>
      <w:pPr>
        <w:ind w:left="1440" w:right="160" w:hanging="483"/>
        <w:spacing w:after="0" w:line="268" w:lineRule="auto"/>
        <w:tabs>
          <w:tab w:leader="none" w:pos="14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5" w:lineRule="exact"/>
        <w:rPr>
          <w:rFonts w:ascii="Arial" w:cs="Arial" w:eastAsia="Arial" w:hAnsi="Arial"/>
          <w:sz w:val="14"/>
          <w:szCs w:val="14"/>
          <w:color w:val="auto"/>
        </w:rPr>
      </w:pPr>
    </w:p>
    <w:p>
      <w:pPr>
        <w:ind w:left="1440" w:right="180" w:hanging="483"/>
        <w:spacing w:after="0" w:line="353" w:lineRule="auto"/>
        <w:tabs>
          <w:tab w:leader="none" w:pos="1440" w:val="left"/>
        </w:tabs>
        <w:numPr>
          <w:ilvl w:val="1"/>
          <w:numId w:val="6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8" w:lineRule="exact"/>
        <w:rPr>
          <w:rFonts w:ascii="Arial" w:cs="Arial" w:eastAsia="Arial" w:hAnsi="Arial"/>
          <w:sz w:val="12"/>
          <w:szCs w:val="12"/>
          <w:color w:val="auto"/>
        </w:rPr>
      </w:pPr>
    </w:p>
    <w:p>
      <w:pPr>
        <w:ind w:left="840" w:right="40" w:hanging="360"/>
        <w:spacing w:after="0" w:line="268" w:lineRule="auto"/>
        <w:tabs>
          <w:tab w:leader="none" w:pos="8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325" w:lineRule="exact"/>
        <w:rPr>
          <w:rFonts w:ascii="Arial" w:cs="Arial" w:eastAsia="Arial" w:hAnsi="Arial"/>
          <w:sz w:val="14"/>
          <w:szCs w:val="14"/>
          <w:color w:val="auto"/>
        </w:rPr>
      </w:pPr>
    </w:p>
    <w:p>
      <w:pPr>
        <w:ind w:left="1440" w:right="500" w:hanging="483"/>
        <w:spacing w:after="0" w:line="268" w:lineRule="auto"/>
        <w:tabs>
          <w:tab w:leader="none" w:pos="1440" w:val="left"/>
        </w:tabs>
        <w:numPr>
          <w:ilvl w:val="1"/>
          <w:numId w:val="6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5" w:lineRule="exact"/>
        <w:rPr>
          <w:rFonts w:ascii="Arial" w:cs="Arial" w:eastAsia="Arial" w:hAnsi="Arial"/>
          <w:sz w:val="14"/>
          <w:szCs w:val="14"/>
          <w:color w:val="auto"/>
        </w:rPr>
      </w:pPr>
    </w:p>
    <w:p>
      <w:pPr>
        <w:ind w:left="1440" w:hanging="483"/>
        <w:spacing w:after="0"/>
        <w:tabs>
          <w:tab w:leader="none" w:pos="1440" w:val="left"/>
        </w:tabs>
        <w:numPr>
          <w:ilvl w:val="1"/>
          <w:numId w:val="6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4889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889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Charles F. Dunleavy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Dated: July 13, 2012</w:t>
      </w:r>
    </w:p>
    <w:p>
      <w:pPr>
        <w:sectPr>
          <w:pgSz w:w="11900" w:h="16838" w:orient="portrait"/>
          <w:cols w:equalWidth="0" w:num="1">
            <w:col w:w="11460"/>
          </w:cols>
          <w:pgMar w:left="220" w:top="125" w:right="21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I, Brian M. Posner, certify that:</w:t>
      </w:r>
    </w:p>
    <w:p>
      <w:pPr>
        <w:spacing w:after="0" w:line="378" w:lineRule="exact"/>
        <w:rPr>
          <w:sz w:val="20"/>
          <w:szCs w:val="20"/>
          <w:color w:val="auto"/>
        </w:rPr>
      </w:pPr>
    </w:p>
    <w:p>
      <w:pPr>
        <w:ind w:left="840" w:hanging="360"/>
        <w:spacing w:after="0"/>
        <w:tabs>
          <w:tab w:leader="none" w:pos="8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Ocean Power Technologies, Inc.;</w:t>
      </w:r>
    </w:p>
    <w:p>
      <w:pPr>
        <w:spacing w:after="0" w:line="170" w:lineRule="exact"/>
        <w:rPr>
          <w:rFonts w:ascii="Arial" w:cs="Arial" w:eastAsia="Arial" w:hAnsi="Arial"/>
          <w:sz w:val="14"/>
          <w:szCs w:val="14"/>
          <w:color w:val="auto"/>
        </w:rPr>
      </w:pPr>
    </w:p>
    <w:p>
      <w:pPr>
        <w:ind w:left="840" w:hanging="360"/>
        <w:spacing w:after="0" w:line="268" w:lineRule="auto"/>
        <w:tabs>
          <w:tab w:leader="none" w:pos="8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4"/>
          <w:szCs w:val="14"/>
          <w:color w:val="auto"/>
        </w:rPr>
      </w:pPr>
    </w:p>
    <w:p>
      <w:pPr>
        <w:ind w:left="840" w:right="60" w:hanging="360"/>
        <w:spacing w:after="0" w:line="268" w:lineRule="auto"/>
        <w:tabs>
          <w:tab w:leader="none" w:pos="8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8" w:lineRule="exact"/>
        <w:rPr>
          <w:rFonts w:ascii="Arial" w:cs="Arial" w:eastAsia="Arial" w:hAnsi="Arial"/>
          <w:sz w:val="14"/>
          <w:szCs w:val="14"/>
          <w:color w:val="auto"/>
        </w:rPr>
      </w:pPr>
    </w:p>
    <w:p>
      <w:pPr>
        <w:ind w:left="840" w:right="160" w:hanging="360"/>
        <w:spacing w:after="0" w:line="268" w:lineRule="auto"/>
        <w:tabs>
          <w:tab w:leader="none" w:pos="8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5" w:lineRule="exact"/>
        <w:rPr>
          <w:rFonts w:ascii="Arial" w:cs="Arial" w:eastAsia="Arial" w:hAnsi="Arial"/>
          <w:sz w:val="14"/>
          <w:szCs w:val="14"/>
          <w:color w:val="auto"/>
        </w:rPr>
      </w:pPr>
    </w:p>
    <w:p>
      <w:pPr>
        <w:jc w:val="both"/>
        <w:ind w:left="1440" w:right="340" w:hanging="483"/>
        <w:spacing w:after="0" w:line="258" w:lineRule="auto"/>
        <w:tabs>
          <w:tab w:leader="none" w:pos="1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31" w:lineRule="exact"/>
        <w:rPr>
          <w:rFonts w:ascii="Arial" w:cs="Arial" w:eastAsia="Arial" w:hAnsi="Arial"/>
          <w:sz w:val="14"/>
          <w:szCs w:val="14"/>
          <w:color w:val="auto"/>
        </w:rPr>
      </w:pPr>
    </w:p>
    <w:p>
      <w:pPr>
        <w:jc w:val="both"/>
        <w:ind w:left="1440" w:right="560" w:hanging="483"/>
        <w:spacing w:after="0" w:line="258" w:lineRule="auto"/>
        <w:tabs>
          <w:tab w:leader="none" w:pos="1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1" w:lineRule="exact"/>
        <w:rPr>
          <w:rFonts w:ascii="Arial" w:cs="Arial" w:eastAsia="Arial" w:hAnsi="Arial"/>
          <w:sz w:val="14"/>
          <w:szCs w:val="14"/>
          <w:color w:val="auto"/>
        </w:rPr>
      </w:pPr>
    </w:p>
    <w:p>
      <w:pPr>
        <w:ind w:left="1440" w:right="160" w:hanging="483"/>
        <w:spacing w:after="0" w:line="268" w:lineRule="auto"/>
        <w:tabs>
          <w:tab w:leader="none" w:pos="1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5" w:lineRule="exact"/>
        <w:rPr>
          <w:rFonts w:ascii="Arial" w:cs="Arial" w:eastAsia="Arial" w:hAnsi="Arial"/>
          <w:sz w:val="14"/>
          <w:szCs w:val="14"/>
          <w:color w:val="auto"/>
        </w:rPr>
      </w:pPr>
    </w:p>
    <w:p>
      <w:pPr>
        <w:ind w:left="1440" w:hanging="483"/>
        <w:spacing w:after="0" w:line="353" w:lineRule="auto"/>
        <w:tabs>
          <w:tab w:leader="none" w:pos="1440" w:val="left"/>
        </w:tabs>
        <w:numPr>
          <w:ilvl w:val="1"/>
          <w:numId w:val="6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8" w:lineRule="exact"/>
        <w:rPr>
          <w:rFonts w:ascii="Arial" w:cs="Arial" w:eastAsia="Arial" w:hAnsi="Arial"/>
          <w:sz w:val="12"/>
          <w:szCs w:val="12"/>
          <w:color w:val="auto"/>
        </w:rPr>
      </w:pPr>
    </w:p>
    <w:p>
      <w:pPr>
        <w:ind w:left="840" w:right="40" w:hanging="360"/>
        <w:spacing w:after="0" w:line="268" w:lineRule="auto"/>
        <w:tabs>
          <w:tab w:leader="none" w:pos="8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325" w:lineRule="exact"/>
        <w:rPr>
          <w:rFonts w:ascii="Arial" w:cs="Arial" w:eastAsia="Arial" w:hAnsi="Arial"/>
          <w:sz w:val="14"/>
          <w:szCs w:val="14"/>
          <w:color w:val="auto"/>
        </w:rPr>
      </w:pPr>
    </w:p>
    <w:p>
      <w:pPr>
        <w:ind w:left="1440" w:right="500" w:hanging="483"/>
        <w:spacing w:after="0" w:line="268" w:lineRule="auto"/>
        <w:tabs>
          <w:tab w:leader="none" w:pos="1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5" w:lineRule="exact"/>
        <w:rPr>
          <w:rFonts w:ascii="Arial" w:cs="Arial" w:eastAsia="Arial" w:hAnsi="Arial"/>
          <w:sz w:val="14"/>
          <w:szCs w:val="14"/>
          <w:color w:val="auto"/>
        </w:rPr>
      </w:pPr>
    </w:p>
    <w:p>
      <w:pPr>
        <w:ind w:left="1440" w:hanging="483"/>
        <w:spacing w:after="0"/>
        <w:tabs>
          <w:tab w:leader="none" w:pos="1440"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4889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4889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Brian M. Posner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Dated: July 13, 2012</w:t>
      </w:r>
    </w:p>
    <w:p>
      <w:pPr>
        <w:sectPr>
          <w:pgSz w:w="11900" w:h="16838" w:orient="portrait"/>
          <w:cols w:equalWidth="0" w:num="1">
            <w:col w:w="11460"/>
          </w:cols>
          <w:pgMar w:left="220" w:top="125"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In connection with the Annual Report on Form 10-K of Ocean Power Technologies, Inc. (the “Company”) for the year ended April 30, 2012 as filed with the Securities and Exchange Commission on the date hereof (the “Report”), the undersigned, Charles F. Dunleavy, Chief Executive Officer of the Company, hereby certifies, pursuant to 18 U.S.C. Section 1350, that:</w:t>
      </w:r>
    </w:p>
    <w:p>
      <w:pPr>
        <w:spacing w:after="0" w:line="346" w:lineRule="exact"/>
        <w:rPr>
          <w:sz w:val="20"/>
          <w:szCs w:val="20"/>
          <w:color w:val="auto"/>
        </w:rPr>
      </w:pPr>
    </w:p>
    <w:p>
      <w:pPr>
        <w:ind w:left="960" w:hanging="480"/>
        <w:spacing w:after="0"/>
        <w:tabs>
          <w:tab w:leader="none" w:pos="9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0" w:lineRule="exact"/>
        <w:rPr>
          <w:rFonts w:ascii="Arial" w:cs="Arial" w:eastAsia="Arial" w:hAnsi="Arial"/>
          <w:sz w:val="14"/>
          <w:szCs w:val="14"/>
          <w:color w:val="auto"/>
        </w:rPr>
      </w:pPr>
    </w:p>
    <w:p>
      <w:pPr>
        <w:ind w:left="960" w:hanging="480"/>
        <w:spacing w:after="0"/>
        <w:tabs>
          <w:tab w:leader="none" w:pos="9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4889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889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Charles F. Dunleavy</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Date: July 13, 2012</w:t>
      </w:r>
    </w:p>
    <w:p>
      <w:pPr>
        <w:sectPr>
          <w:pgSz w:w="11900" w:h="16838" w:orient="portrait"/>
          <w:cols w:equalWidth="0" w:num="1">
            <w:col w:w="11460"/>
          </w:cols>
          <w:pgMar w:left="220" w:top="125"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In connection with the Annual Report on Form 10-K of Ocean Power Technologies, Inc. (the "Company") for the year ended April 30, 2012 as filed with the Securities and Exchange Commission on the date hereof (the "Report"), the undersigned, Brian M. Posner, Chief Financial Officer of the Company, hereby certifies, pursuant to 18 U.S.C. Section 1350, that:</w:t>
      </w:r>
    </w:p>
    <w:p>
      <w:pPr>
        <w:spacing w:after="0" w:line="346" w:lineRule="exact"/>
        <w:rPr>
          <w:sz w:val="20"/>
          <w:szCs w:val="20"/>
          <w:color w:val="auto"/>
        </w:rPr>
      </w:pPr>
    </w:p>
    <w:p>
      <w:pPr>
        <w:ind w:left="960" w:hanging="480"/>
        <w:spacing w:after="0"/>
        <w:tabs>
          <w:tab w:leader="none" w:pos="9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70" w:lineRule="exact"/>
        <w:rPr>
          <w:rFonts w:ascii="Arial" w:cs="Arial" w:eastAsia="Arial" w:hAnsi="Arial"/>
          <w:sz w:val="14"/>
          <w:szCs w:val="14"/>
          <w:color w:val="auto"/>
        </w:rPr>
      </w:pPr>
    </w:p>
    <w:p>
      <w:pPr>
        <w:ind w:left="960" w:hanging="480"/>
        <w:spacing w:after="0"/>
        <w:tabs>
          <w:tab w:leader="none" w:pos="9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54889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48890" cy="133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Brian M. Posner</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Date: July 13, 2012</w:t>
      </w:r>
    </w:p>
    <w:sectPr>
      <w:pgSz w:w="11900" w:h="16838" w:orient="portrait"/>
      <w:cols w:equalWidth="0" w:num="1">
        <w:col w:w="11460"/>
      </w:cols>
      <w:pgMar w:left="22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o"/>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lowerLetter"/>
      <w:start w:val="1"/>
    </w:lvl>
  </w:abstractNum>
  <w:abstractNum w:abstractNumId="24">
    <w:nsid w:val="57E4CCAF"/>
    <w:multiLevelType w:val="hybridMultilevel"/>
    <w:lvl w:ilvl="0">
      <w:lvlJc w:val="left"/>
      <w:lvlText w:val="*"/>
      <w:numFmt w:val="bullet"/>
      <w:start w:val="1"/>
    </w:lvl>
    <w:lvl w:ilvl="1">
      <w:lvlJc w:val="left"/>
      <w:lvlText w:val="%2"/>
      <w:numFmt w:val="decimal"/>
      <w:start w:val="10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2"/>
    </w:lvl>
    <w:lvl w:ilvl="1">
      <w:lvlJc w:val="left"/>
      <w:lvlText w:val="(%2)"/>
      <w:numFmt w:val="lowerLetter"/>
      <w:start w:val="1"/>
    </w:lvl>
  </w:abstractNum>
  <w:abstractNum w:abstractNumId="30">
    <w:nsid w:val="7644A45C"/>
    <w:multiLevelType w:val="hybridMultilevel"/>
    <w:lvl w:ilvl="0">
      <w:lvlJc w:val="left"/>
      <w:lvlText w:val="(%1)"/>
      <w:numFmt w:val="lowerLetter"/>
      <w:start w:val="2"/>
    </w:lvl>
  </w:abstractNum>
  <w:abstractNum w:abstractNumId="31">
    <w:nsid w:val="32FFF902"/>
    <w:multiLevelType w:val="hybridMultilevel"/>
    <w:lvl w:ilvl="0">
      <w:lvlJc w:val="left"/>
      <w:lvlText w:val="(%1)"/>
      <w:numFmt w:val="lowerLetter"/>
      <w:start w:val="3"/>
    </w:lvl>
  </w:abstractNum>
  <w:abstractNum w:abstractNumId="32">
    <w:nsid w:val="684A481A"/>
    <w:multiLevelType w:val="hybridMultilevel"/>
    <w:lvl w:ilvl="0">
      <w:lvlJc w:val="left"/>
      <w:lvlText w:val="(%1)"/>
      <w:numFmt w:val="lowerLetter"/>
      <w:start w:val="4"/>
    </w:lvl>
  </w:abstractNum>
  <w:abstractNum w:abstractNumId="33">
    <w:nsid w:val="579478FE"/>
    <w:multiLevelType w:val="hybridMultilevel"/>
    <w:lvl w:ilvl="0">
      <w:lvlJc w:val="left"/>
      <w:lvlText w:val="(%1)"/>
      <w:numFmt w:val="lowerLetter"/>
      <w:start w:val="5"/>
    </w:lvl>
  </w:abstractNum>
  <w:abstractNum w:abstractNumId="34">
    <w:nsid w:val="749ABB43"/>
    <w:multiLevelType w:val="hybridMultilevel"/>
    <w:lvl w:ilvl="0">
      <w:lvlJc w:val="left"/>
      <w:lvlText w:val="(%1)"/>
      <w:numFmt w:val="lowerLetter"/>
      <w:start w:val="6"/>
    </w:lvl>
  </w:abstractNum>
  <w:abstractNum w:abstractNumId="35">
    <w:nsid w:val="3DC240FB"/>
    <w:multiLevelType w:val="hybridMultilevel"/>
    <w:lvl w:ilvl="0">
      <w:lvlJc w:val="left"/>
      <w:lvlText w:val="(%1)"/>
      <w:numFmt w:val="lowerLetter"/>
      <w:start w:val="7"/>
    </w:lvl>
  </w:abstractNum>
  <w:abstractNum w:abstractNumId="36">
    <w:nsid w:val="1BA026FA"/>
    <w:multiLevelType w:val="hybridMultilevel"/>
    <w:lvl w:ilvl="0">
      <w:lvlJc w:val="left"/>
      <w:lvlText w:val="(%1)"/>
      <w:numFmt w:val="lowerLetter"/>
      <w:start w:val="8"/>
    </w:lvl>
  </w:abstractNum>
  <w:abstractNum w:abstractNumId="37">
    <w:nsid w:val="79A1DEAA"/>
    <w:multiLevelType w:val="hybridMultilevel"/>
    <w:lvl w:ilvl="0">
      <w:lvlJc w:val="left"/>
      <w:lvlText w:val="(%1)"/>
      <w:numFmt w:val="lowerRoman"/>
      <w:start w:val="1"/>
    </w:lvl>
  </w:abstractNum>
  <w:abstractNum w:abstractNumId="38">
    <w:nsid w:val="75C6C33A"/>
    <w:multiLevelType w:val="hybridMultilevel"/>
    <w:lvl w:ilvl="0">
      <w:lvlJc w:val="left"/>
      <w:lvlText w:val="(%1)"/>
      <w:numFmt w:val="lowerLetter"/>
      <w:start w:val="10"/>
    </w:lvl>
  </w:abstractNum>
  <w:abstractNum w:abstractNumId="39">
    <w:nsid w:val="12E685FB"/>
    <w:multiLevelType w:val="hybridMultilevel"/>
    <w:lvl w:ilvl="0">
      <w:lvlJc w:val="left"/>
      <w:lvlText w:val="(%1)"/>
      <w:numFmt w:val="lowerLetter"/>
      <w:start w:val="11"/>
    </w:lvl>
  </w:abstractNum>
  <w:abstractNum w:abstractNumId="40">
    <w:nsid w:val="70C6A529"/>
    <w:multiLevelType w:val="hybridMultilevel"/>
    <w:lvl w:ilvl="0">
      <w:lvlJc w:val="left"/>
      <w:lvlText w:val="(%1)"/>
      <w:numFmt w:val="lowerLetter"/>
      <w:start w:val="12"/>
    </w:lvl>
  </w:abstractNum>
  <w:abstractNum w:abstractNumId="41">
    <w:nsid w:val="520EEDD1"/>
    <w:multiLevelType w:val="hybridMultilevel"/>
    <w:lvl w:ilvl="0">
      <w:lvlJc w:val="left"/>
      <w:lvlText w:val="(%1)"/>
      <w:numFmt w:val="lowerLetter"/>
      <w:start w:val="13"/>
    </w:lvl>
  </w:abstractNum>
  <w:abstractNum w:abstractNumId="42">
    <w:nsid w:val="374A3FE6"/>
    <w:multiLevelType w:val="hybridMultilevel"/>
    <w:lvl w:ilvl="0">
      <w:lvlJc w:val="left"/>
      <w:lvlText w:val="(%1)"/>
      <w:numFmt w:val="lowerLetter"/>
      <w:start w:val="14"/>
    </w:lvl>
  </w:abstractNum>
  <w:abstractNum w:abstractNumId="43">
    <w:nsid w:val="4F4EF005"/>
    <w:multiLevelType w:val="hybridMultilevel"/>
    <w:lvl w:ilvl="0">
      <w:lvlJc w:val="left"/>
      <w:lvlText w:val="(%1)"/>
      <w:numFmt w:val="lowerLetter"/>
      <w:start w:val="15"/>
    </w:lvl>
  </w:abstractNum>
  <w:abstractNum w:abstractNumId="44">
    <w:nsid w:val="23F9C13C"/>
    <w:multiLevelType w:val="hybridMultilevel"/>
    <w:lvl w:ilvl="0">
      <w:lvlJc w:val="left"/>
      <w:lvlText w:val="(%1)"/>
      <w:numFmt w:val="lowerLetter"/>
      <w:start w:val="16"/>
    </w:lvl>
  </w:abstractNum>
  <w:abstractNum w:abstractNumId="45">
    <w:nsid w:val="649BB77C"/>
    <w:multiLevelType w:val="hybridMultilevel"/>
    <w:lvl w:ilvl="0">
      <w:lvlJc w:val="left"/>
      <w:lvlText w:val="(%1)"/>
      <w:numFmt w:val="lowerLetter"/>
      <w:start w:val="17"/>
    </w:lvl>
  </w:abstractNum>
  <w:abstractNum w:abstractNumId="46">
    <w:nsid w:val="275AC794"/>
    <w:multiLevelType w:val="hybridMultilevel"/>
    <w:lvl w:ilvl="0">
      <w:lvlJc w:val="left"/>
      <w:lvlText w:val="(%1)"/>
      <w:numFmt w:val="decimal"/>
      <w:start w:val="4"/>
    </w:lvl>
  </w:abstractNum>
  <w:abstractNum w:abstractNumId="47">
    <w:nsid w:val="39386575"/>
    <w:multiLevelType w:val="hybridMultilevel"/>
    <w:lvl w:ilvl="0">
      <w:lvlJc w:val="left"/>
      <w:lvlText w:val="(%1)"/>
      <w:numFmt w:val="decimal"/>
      <w:start w:val="6"/>
    </w:lvl>
  </w:abstractNum>
  <w:abstractNum w:abstractNumId="48">
    <w:nsid w:val="1CF10FD8"/>
    <w:multiLevelType w:val="hybridMultilevel"/>
    <w:lvl w:ilvl="0">
      <w:lvlJc w:val="left"/>
      <w:lvlText w:val="(%1)"/>
      <w:numFmt w:val="decimal"/>
      <w:start w:val="7"/>
    </w:lvl>
  </w:abstractNum>
  <w:abstractNum w:abstractNumId="49">
    <w:nsid w:val="180115BE"/>
    <w:multiLevelType w:val="hybridMultilevel"/>
    <w:lvl w:ilvl="0">
      <w:lvlJc w:val="left"/>
      <w:lvlText w:val="(%1)"/>
      <w:numFmt w:val="decimal"/>
      <w:start w:val="8"/>
    </w:lvl>
  </w:abstractNum>
  <w:abstractNum w:abstractNumId="50">
    <w:nsid w:val="235BA861"/>
    <w:multiLevelType w:val="hybridMultilevel"/>
    <w:lvl w:ilvl="0">
      <w:lvlJc w:val="left"/>
      <w:lvlText w:val="(%1)"/>
      <w:numFmt w:val="decimal"/>
      <w:start w:val="9"/>
    </w:lvl>
  </w:abstractNum>
  <w:abstractNum w:abstractNumId="51">
    <w:nsid w:val="47398C89"/>
    <w:multiLevelType w:val="hybridMultilevel"/>
    <w:lvl w:ilvl="0">
      <w:lvlJc w:val="left"/>
      <w:lvlText w:val="(%1)"/>
      <w:numFmt w:val="decimal"/>
      <w:start w:val="10"/>
    </w:lvl>
  </w:abstractNum>
  <w:abstractNum w:abstractNumId="52">
    <w:nsid w:val="354FE9F9"/>
    <w:multiLevelType w:val="hybridMultilevel"/>
    <w:lvl w:ilvl="0">
      <w:lvlJc w:val="left"/>
      <w:lvlText w:val="(%1)"/>
      <w:numFmt w:val="decimal"/>
      <w:start w:val="1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2"/>
    </w:lvl>
  </w:abstractNum>
  <w:abstractNum w:abstractNumId="55">
    <w:nsid w:val="D34B6A8"/>
    <w:multiLevelType w:val="hybridMultilevel"/>
    <w:lvl w:ilvl="0">
      <w:lvlJc w:val="left"/>
      <w:lvlText w:val="(%1)"/>
      <w:numFmt w:val="lowerLetter"/>
      <w:start w:val="3"/>
    </w:lvl>
  </w:abstractNum>
  <w:abstractNum w:abstractNumId="56">
    <w:nsid w:val="10233C99"/>
    <w:multiLevelType w:val="hybridMultilevel"/>
    <w:lvl w:ilvl="0">
      <w:lvlJc w:val="left"/>
      <w:lvlText w:val="(%1)"/>
      <w:numFmt w:val="decimal"/>
      <w:start w:val="12"/>
    </w:lvl>
  </w:abstractNum>
  <w:abstractNum w:abstractNumId="57">
    <w:nsid w:val="3F6AB60F"/>
    <w:multiLevelType w:val="hybridMultilevel"/>
    <w:lvl w:ilvl="0">
      <w:lvlJc w:val="left"/>
      <w:lvlText w:val="(%1)"/>
      <w:numFmt w:val="decimal"/>
      <w:start w:val="13"/>
    </w:lvl>
    <w:lvl w:ilvl="1">
      <w:lvlJc w:val="left"/>
      <w:lvlText w:val="(%2)"/>
      <w:numFmt w:val="lowerLetter"/>
      <w:start w:val="1"/>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decimal"/>
      <w:start w:val="14"/>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2019-12-09T19:09:58Z</dcterms:created>
  <dcterms:modified xsi:type="dcterms:W3CDTF">2019-12-09T19:09:58Z</dcterms:modified>
</cp:coreProperties>
</file>