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31, 2009</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001-33417</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OCEAN POWER TECHNOLOGIES,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580" w:type="dxa"/>
        <w:tblCellMar>
          <w:top w:w="0" w:type="dxa"/>
          <w:left w:w="0" w:type="dxa"/>
          <w:bottom w:w="0" w:type="dxa"/>
          <w:right w:w="0" w:type="dxa"/>
        </w:tblCellMar>
      </w:tblPr>
      <w:tr>
        <w:trPr>
          <w:trHeight w:val="220"/>
        </w:trPr>
        <w:tc>
          <w:tcPr>
            <w:tcW w:w="4360" w:type="dxa"/>
            <w:vAlign w:val="bottom"/>
          </w:tcPr>
          <w:p>
            <w:pPr>
              <w:jc w:val="center"/>
              <w:ind w:right="199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2050"/>
              <w:spacing w:after="0"/>
              <w:rPr>
                <w:sz w:val="20"/>
                <w:szCs w:val="20"/>
                <w:color w:val="auto"/>
              </w:rPr>
            </w:pPr>
            <w:r>
              <w:rPr>
                <w:rFonts w:ascii="Arial" w:cs="Arial" w:eastAsia="Arial" w:hAnsi="Arial"/>
                <w:sz w:val="18"/>
                <w:szCs w:val="18"/>
                <w:i w:val="1"/>
                <w:iCs w:val="1"/>
                <w:color w:val="auto"/>
                <w:w w:val="93"/>
              </w:rPr>
              <w:t>(State or Other Jurisdiction of</w:t>
            </w:r>
          </w:p>
        </w:tc>
        <w:tc>
          <w:tcPr>
            <w:tcW w:w="3440" w:type="dxa"/>
            <w:vAlign w:val="bottom"/>
          </w:tcPr>
          <w:p>
            <w:pPr>
              <w:jc w:val="center"/>
              <w:ind w:left="19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990"/>
              <w:spacing w:after="0"/>
              <w:rPr>
                <w:sz w:val="20"/>
                <w:szCs w:val="20"/>
                <w:color w:val="auto"/>
              </w:rPr>
            </w:pPr>
            <w:r>
              <w:rPr>
                <w:rFonts w:ascii="Arial" w:cs="Arial" w:eastAsia="Arial" w:hAnsi="Arial"/>
                <w:sz w:val="18"/>
                <w:szCs w:val="18"/>
                <w:i w:val="1"/>
                <w:iCs w:val="1"/>
                <w:color w:val="auto"/>
                <w:w w:val="95"/>
              </w:rPr>
              <w:t>Incorporation or Organization)</w:t>
            </w:r>
          </w:p>
        </w:tc>
        <w:tc>
          <w:tcPr>
            <w:tcW w:w="3440" w:type="dxa"/>
            <w:vAlign w:val="bottom"/>
          </w:tcPr>
          <w:p>
            <w:pPr>
              <w:jc w:val="center"/>
              <w:ind w:left="201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sectPr>
      </w:pPr>
    </w:p>
    <w:p>
      <w:pPr>
        <w:spacing w:after="0" w:line="1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460"/>
            <w:col w:w="2260"/>
          </w:cols>
          <w:pgMar w:left="240" w:top="122" w:right="259" w:bottom="1440" w:gutter="0" w:footer="0" w:header="0"/>
          <w:type w:val="continuous"/>
        </w:sectPr>
      </w:pPr>
    </w:p>
    <w:p>
      <w:pPr>
        <w:ind w:left="240"/>
        <w:spacing w:after="0" w:line="196" w:lineRule="exact"/>
        <w:tabs>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00"/>
          </w:cols>
          <w:pgMar w:left="240" w:top="122" w:right="259" w:bottom="1440" w:gutter="0" w:footer="0" w:header="0"/>
          <w:type w:val="continuous"/>
        </w:sectPr>
      </w:pPr>
    </w:p>
    <w:p>
      <w:pPr>
        <w:spacing w:after="0" w:line="16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August 31, 2009, the number of outstanding shares of common stock of the registrant was 10,210,354.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JULY 31,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26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3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3260" w:type="dxa"/>
            <w:vAlign w:val="bottom"/>
            <w:tcBorders>
              <w:bottom w:val="single" w:sz="8" w:color="0000EE"/>
            </w:tcBorders>
            <w:gridSpan w:val="12"/>
            <w:vMerge w:val="continue"/>
          </w:tcPr>
          <w:p>
            <w:pPr>
              <w:spacing w:after="0"/>
              <w:rPr>
                <w:sz w:val="14"/>
                <w:szCs w:val="14"/>
                <w:color w:val="auto"/>
              </w:rPr>
            </w:pPr>
          </w:p>
        </w:tc>
        <w:tc>
          <w:tcPr>
            <w:tcW w:w="738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 (unaudited):</w:t>
              </w:r>
            </w:hyperlink>
          </w:p>
        </w:tc>
        <w:tc>
          <w:tcPr>
            <w:tcW w:w="74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April 30, 2009 and July 31, 2009</w:t>
              </w:r>
            </w:hyperlink>
          </w:p>
        </w:tc>
        <w:tc>
          <w:tcPr>
            <w:tcW w:w="5320" w:type="dxa"/>
            <w:vAlign w:val="bottom"/>
            <w:gridSpan w:val="4"/>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July 31, 2009 and 2008</w:t>
              </w:r>
            </w:hyperlink>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Three Months Ended July 31, 2009 and 2008</w:t>
              </w:r>
            </w:hyperlink>
          </w:p>
        </w:tc>
        <w:tc>
          <w:tcPr>
            <w:tcW w:w="3540" w:type="dxa"/>
            <w:vAlign w:val="bottom"/>
            <w:gridSpan w:val="2"/>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420" w:type="dxa"/>
            <w:vAlign w:val="bottom"/>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Item 4. Controls and Procedures</w:t>
              </w:r>
            </w:hyperlink>
          </w:p>
        </w:tc>
        <w:tc>
          <w:tcPr>
            <w:tcW w:w="8100" w:type="dxa"/>
            <w:vAlign w:val="bottom"/>
            <w:gridSpan w:val="13"/>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9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768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Item 1. Legal Proceedings</w:t>
              </w:r>
            </w:hyperlink>
          </w:p>
        </w:tc>
        <w:tc>
          <w:tcPr>
            <w:tcW w:w="8540" w:type="dxa"/>
            <w:vAlign w:val="bottom"/>
            <w:gridSpan w:val="14"/>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5520" w:type="dxa"/>
            <w:vAlign w:val="bottom"/>
            <w:gridSpan w:val="6"/>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9900" w:type="dxa"/>
            <w:vAlign w:val="bottom"/>
            <w:gridSpan w:val="18"/>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1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38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Submission of Matters to a Vote of Security Holders</w:t>
              </w:r>
            </w:hyperlink>
          </w:p>
        </w:tc>
        <w:tc>
          <w:tcPr>
            <w:tcW w:w="6100" w:type="dxa"/>
            <w:vAlign w:val="bottom"/>
            <w:gridSpan w:val="7"/>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13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8560" w:type="dxa"/>
            <w:vAlign w:val="bottom"/>
            <w:gridSpan w:val="15"/>
          </w:tcPr>
          <w:p>
            <w:pPr>
              <w:spacing w:after="0"/>
              <w:rPr>
                <w:sz w:val="17"/>
                <w:szCs w:val="17"/>
                <w:color w:val="auto"/>
              </w:rPr>
            </w:pPr>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9900" w:type="dxa"/>
            <w:vAlign w:val="bottom"/>
            <w:gridSpan w:val="18"/>
          </w:tcPr>
          <w:p>
            <w:pPr>
              <w:ind w:left="20"/>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680" w:type="dxa"/>
            <w:vAlign w:val="bottom"/>
          </w:tcPr>
          <w:p>
            <w:pPr>
              <w:jc w:val="right"/>
              <w:ind w:right="132"/>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EX-31.1: CERTIFICATION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EX-31.2: CERTIFICATION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EX-32.1: CERTIFICATION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EX-32.2: CERTIFICATION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PowerBuoy</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80" w:firstLine="222"/>
        <w:spacing w:after="0" w:line="297" w:lineRule="auto"/>
        <w:rPr>
          <w:sz w:val="20"/>
          <w:szCs w:val="20"/>
          <w:color w:val="auto"/>
        </w:rPr>
      </w:pPr>
      <w:r>
        <w:rPr>
          <w:rFonts w:ascii="Arial" w:cs="Arial" w:eastAsia="Arial" w:hAnsi="Arial"/>
          <w:sz w:val="16"/>
          <w:szCs w:val="16"/>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50"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2009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57" w:lineRule="exact"/>
        <w:rPr>
          <w:sz w:val="20"/>
          <w:szCs w:val="20"/>
          <w:color w:val="auto"/>
        </w:rPr>
      </w:pPr>
    </w:p>
    <w:p>
      <w:pPr>
        <w:ind w:right="220" w:firstLine="218"/>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2"/>
              </w:rPr>
              <w:t>July 31, 2009</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April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5,336,756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44,940,113</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40,849,736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939,294</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Unbilled receivables</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949,202</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703,645</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52,869,010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56,173,829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29,409,756</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1,262,392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942,787</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Patents, net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928,038</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1,374,749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86,786,732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816,346</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2,707,683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3,853,437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revenues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411,601</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3,935,630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5,043,844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107,555</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345,386</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16,237</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Deferred credits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5,004,808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6,010,879</w:t>
            </w:r>
          </w:p>
        </w:tc>
        <w:tc>
          <w:tcPr>
            <w:tcW w:w="0" w:type="dxa"/>
            <w:vAlign w:val="bottom"/>
          </w:tcPr>
          <w:p>
            <w:pPr>
              <w:spacing w:after="0"/>
              <w:rPr>
                <w:sz w:val="1"/>
                <w:szCs w:val="1"/>
                <w:color w:val="auto"/>
              </w:rPr>
            </w:pPr>
          </w:p>
        </w:tc>
      </w:tr>
      <w:tr>
        <w:trPr>
          <w:trHeight w:val="223"/>
        </w:trPr>
        <w:tc>
          <w:tcPr>
            <w:tcW w:w="86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Common stock, $0.001 par value; authorized 105,000,000 shares, issued and outstanding 10,210,354 shares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10,210</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154,917,130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154,568,931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4"/>
              </w:rPr>
              <w:t>(73,341,268)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(71,242,791)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144,795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81,730,867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Noncontrolling interest in Ocean Power Technologies (Australasia) Pty Ltd. (note 2(r))</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51,057</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81,781,924</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82,783,027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86,786,732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1,310,937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1,024,227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1,948,146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286,710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(161,518)</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1,361,400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Selling, general and administrative costs</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2,166,271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2,551,816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3,527,671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4,254,765</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(3,240,961)</w:t>
            </w:r>
          </w:p>
        </w:tc>
        <w:tc>
          <w:tcPr>
            <w:tcW w:w="6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(4,416,283)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285,220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506,630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401,691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(2,047,420)</w:t>
            </w:r>
          </w:p>
        </w:tc>
        <w:tc>
          <w:tcPr>
            <w:tcW w:w="6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(3,893,164)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Less: Net income attributable to the noncontrolling interest in Ocean Power Technologies (Australasia) Pty Ltd.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(51,057)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(2,098,477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(3,893,164)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10,210,354</w:t>
            </w:r>
          </w:p>
        </w:tc>
        <w:tc>
          <w:tcPr>
            <w:tcW w:w="6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10,210,354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800" w:type="dxa"/>
            <w:vAlign w:val="bottom"/>
          </w:tcPr>
          <w:p>
            <w:pPr>
              <w:ind w:left="3040"/>
              <w:spacing w:after="0"/>
              <w:rPr>
                <w:sz w:val="20"/>
                <w:szCs w:val="20"/>
                <w:color w:val="auto"/>
              </w:rPr>
            </w:pPr>
            <w:r>
              <w:rPr>
                <w:rFonts w:ascii="Arial" w:cs="Arial" w:eastAsia="Arial" w:hAnsi="Arial"/>
                <w:sz w:val="18"/>
                <w:szCs w:val="18"/>
                <w:color w:val="auto"/>
                <w:w w:val="96"/>
              </w:rPr>
              <w:t>See accompanying notes to consolidated financial statements (unaudited).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20" w:type="dxa"/>
            <w:vAlign w:val="bottom"/>
            <w:gridSpan w:val="2"/>
          </w:tcPr>
          <w:p>
            <w:pPr>
              <w:ind w:left="56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(2,098,477)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(3,893,164)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Foreign exchange (gain) loss</w:t>
            </w: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(401,691)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88,567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Treasury note premium/discount amortization, net</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49,837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48,632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(gain) on disposals of property, plant and equipment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348,199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460,446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(5,412)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51,057</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89,052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1,228,508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119,031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(822,876)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401,607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(459,808)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(34,953)</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104,831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(17,973)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483,097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(1,275,636)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Unearned revenues</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130,031</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(187,924)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(2,451,930)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(4,202,987)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(24,228,410)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(10,629,383)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19,357,547</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Purchases of equipment</w:t>
            </w: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(102,046)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(234,705)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patent costs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(38,405)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4"/>
                <w:szCs w:val="2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(5,261,314)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(10,925,451)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24"/>
                <w:szCs w:val="2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issuance costs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(93,398)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24"/>
                <w:szCs w:val="2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(93,398)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(42,801)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875,568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4"/>
                <w:szCs w:val="2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(6,931,074)</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(15,191,655)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12,267,830</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88,836,304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5,336,756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73,644,649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Capitalized patent costs financed through 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13,239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fixed asset costs financed through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21,955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76,628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121" w:lineRule="exact"/>
        <w:rPr>
          <w:sz w:val="20"/>
          <w:szCs w:val="20"/>
          <w:color w:val="auto"/>
        </w:rPr>
      </w:pPr>
    </w:p>
    <w:p>
      <w:pPr>
        <w:ind w:right="520" w:firstLine="225"/>
        <w:spacing w:after="0" w:line="286" w:lineRule="auto"/>
        <w:rPr>
          <w:sz w:val="20"/>
          <w:szCs w:val="20"/>
          <w:color w:val="auto"/>
        </w:rPr>
      </w:pPr>
      <w:r>
        <w:rPr>
          <w:rFonts w:ascii="Arial" w:cs="Arial" w:eastAsia="Arial" w:hAnsi="Arial"/>
          <w:sz w:val="17"/>
          <w:szCs w:val="17"/>
          <w:color w:val="auto"/>
        </w:rPr>
        <w:t>Ocean Power Technologies, Inc. (the Company) was incorporated on April 19, 1984 in New Jersey, commenced active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5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2009 filed with the Securities and Exchange Commission (SEC) and elsewhere in this Form 10-Q.</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117"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in the caption “Noncontrolling interest” in the Company’s Consolidated Balance Sheets and Statements of Operations. Noncontrolling interest adjusts the Company’s consolidated results of operations to reflect only the Company’s share of the earnings or losses of the consolidated subsidiary.</w:t>
      </w:r>
    </w:p>
    <w:p>
      <w:pPr>
        <w:spacing w:after="0" w:line="8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In addition, the Company evaluates its relationships with other entities to identify whether they are variable interest entities as defined by Financial Accounting Standards Board (FASB) Interpretation No.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(FIN 46R), and to assess whether it is the primary beneficiary of such entities. If the determination is made that the Company is the primary beneficiary, then that entity is included in the consolidated financial statements in accordance with FIN 46R. As of July 31, 2009, there are no such entities.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117"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During the three months ended July 31, 2009, the Company’s provisions related to anticipated losses on contracts decreased by $48,000. Accruals related to losses on contracts in the amounts of approximately $1,104,000 and $1,152,000 are included in accrued expenses in the accompanying consolidated balance sheets as of July 31, 2009 and April 30, 2009, respectively. Modifications to contract provisions, such as those currently being discussed in connection with the Company’s Spain construction agreement (see Note 9), as well as modifications in contract loss estimates, may require changes in accruals established for anticipated contract losses.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117"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Cash equivalents consist of investments in short-term financial instruments with initial maturities of three months or less from the date of purchase. Cash and cash equivalents include $3,198,000 and $4,337,000 of certificates of deposit with an initial term of less than three months at July 31, 2009 and April 30, 2009, respectively, and $14,000 and $6,530,000 invested in a money market fund as of July 31, 2009 and April 30, 2009,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11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Marketable securities with initial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held-to-maturity and are reported at amortized cost. The difference between the acquisition cost and face values of held-to-maturity securities is amortized over the remaining term of the security and added to or subtracted from the acquisition cost and interest income. As of July 31, 2009 and April 30, 2009, all of the Company’s marketable securities were classified as held-to-maturity.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 had $1,262,392 and $951,552 of restricted cash as of July 31, 2009 and April 30, 2009, respectively. The cash is restricted under the terms of two security agreements.</w:t>
      </w:r>
    </w:p>
    <w:p>
      <w:pPr>
        <w:spacing w:after="0" w:line="62"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The credit facility does not have an expiration date, but is cancelable at the discretion of the bank. As of July 31, 2009, approximately €720,000 is included in restricted cash.</w:t>
      </w:r>
    </w:p>
    <w:p>
      <w:pPr>
        <w:spacing w:after="0" w:line="50"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other agreement is between Ocean Power Technologies, Inc. and the New Jersey Board of Public Utilities (NJBPU). During the year ended April 30, 2009, the Company received a recoverable grant award from the NJBPU. Under this agreement, the Company is required to assign to the NJBPU a certificate of deposit in an amount equal to the outstanding grant balance, which was $250,000 as of July 31,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117"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Depreciation was $78,490 and $60,602 for the three months ended July 31, 2009 and 2008,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Other Income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Other income consists of transactions that the Company considers to be outside the normal scope of its operations and operating activities. In the three months ended July 31, 2009, the Company recognized other income of $506,630 in connection with the settlement of a claim that it had against a supplier that provided engineering services to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Foreign Exchange Gains and Losses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 sterling, Euros and Australian dollars. Such certificates of deposit and cash accounts had a balance of approximately $9,905,000 and $8,541,000 as of July 31, 2009 and April 30, 2009, respectively. Such positions may result in realized and unrealized foreign exchange gains or losses from exchange rate fluctuations, which are included in foreign exchange gain (loss) in the accompanying consolidated statements of operations. Foreign exchange gain (loss) was $401,691 and $(24,473) for the three months ended July 31, 2009 and 2008,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Patents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External costs related to the filing of patents, including legal and filing fees, are capitalized. Amortization is calculated using the straight-line method over the life of the patents (17 years). Expenses for the development of technology are charged to operations as incurred. Amortization expense was $10,077 and $8,875 for the three months ended July 31, 2009 and 2008, respectively. Amortization expense for the next five fiscal years related to amounts capitalized for patents as of July 31, 2009 is estimated to be approximately $55,000 per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Long-Lived Assets</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In accordance with Statement of Financial Accounting Standards (SFAS) No.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xml:space="preserve"> (SFAS No. 144), 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in accordance with SFAS No. 144 and determined there was no impairment for the three months ended July 31, 2009.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Concentration of Credit Risk</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a money market fund) and does not believe that it is exposed to any significant risks related to its cash accounts, money market fund or certificates of deposit.</w:t>
      </w:r>
    </w:p>
    <w:p>
      <w:pPr>
        <w:spacing w:after="0" w:line="79"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w:t>
            </w: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9120" w:type="dxa"/>
            <w:vAlign w:val="bottom"/>
            <w:gridSpan w:val="3"/>
            <w:vMerge w:val="continue"/>
          </w:tcPr>
          <w:p>
            <w:pPr>
              <w:spacing w:after="0"/>
              <w:rPr>
                <w:sz w:val="12"/>
                <w:szCs w:val="12"/>
                <w:color w:val="auto"/>
              </w:rPr>
            </w:pPr>
          </w:p>
        </w:tc>
        <w:tc>
          <w:tcPr>
            <w:tcW w:w="8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2009(1)</w:t>
            </w:r>
          </w:p>
        </w:tc>
        <w:tc>
          <w:tcPr>
            <w:tcW w:w="144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 Navy</w:t>
            </w:r>
          </w:p>
        </w:tc>
        <w:tc>
          <w:tcPr>
            <w:tcW w:w="560" w:type="dxa"/>
            <w:vAlign w:val="bottom"/>
          </w:tcPr>
          <w:p>
            <w:pPr>
              <w:spacing w:after="0"/>
              <w:rPr>
                <w:sz w:val="16"/>
                <w:szCs w:val="16"/>
                <w:color w:val="auto"/>
              </w:rPr>
            </w:pPr>
          </w:p>
        </w:tc>
        <w:tc>
          <w:tcPr>
            <w:tcW w:w="860" w:type="dxa"/>
            <w:vAlign w:val="bottom"/>
            <w:tcBorders>
              <w:top w:val="single" w:sz="8" w:color="auto"/>
            </w:tcBorders>
          </w:tcPr>
          <w:p>
            <w:pPr>
              <w:jc w:val="right"/>
              <w:ind w:right="96"/>
              <w:spacing w:after="0" w:line="195" w:lineRule="exact"/>
              <w:rPr>
                <w:sz w:val="20"/>
                <w:szCs w:val="20"/>
                <w:color w:val="auto"/>
              </w:rPr>
            </w:pPr>
            <w:r>
              <w:rPr>
                <w:rFonts w:ascii="Arial" w:cs="Arial" w:eastAsia="Arial" w:hAnsi="Arial"/>
                <w:sz w:val="18"/>
                <w:szCs w:val="18"/>
                <w:color w:val="auto"/>
              </w:rPr>
              <w:t>92%</w:t>
            </w:r>
          </w:p>
        </w:tc>
        <w:tc>
          <w:tcPr>
            <w:tcW w:w="580" w:type="dxa"/>
            <w:vAlign w:val="bottom"/>
          </w:tcPr>
          <w:p>
            <w:pPr>
              <w:spacing w:after="0"/>
              <w:rPr>
                <w:sz w:val="16"/>
                <w:szCs w:val="16"/>
                <w:color w:val="auto"/>
              </w:rPr>
            </w:pPr>
          </w:p>
        </w:tc>
        <w:tc>
          <w:tcPr>
            <w:tcW w:w="86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Iberdrola and Total</w:t>
            </w:r>
          </w:p>
        </w:tc>
        <w:tc>
          <w:tcPr>
            <w:tcW w:w="860" w:type="dxa"/>
            <w:vAlign w:val="bottom"/>
          </w:tcPr>
          <w:p>
            <w:pPr>
              <w:jc w:val="right"/>
              <w:ind w:right="96"/>
              <w:spacing w:after="0"/>
              <w:rPr>
                <w:sz w:val="20"/>
                <w:szCs w:val="20"/>
                <w:color w:val="auto"/>
              </w:rPr>
            </w:pPr>
            <w:r>
              <w:rPr>
                <w:rFonts w:ascii="Arial" w:cs="Arial" w:eastAsia="Arial" w:hAnsi="Arial"/>
                <w:sz w:val="18"/>
                <w:szCs w:val="18"/>
                <w:color w:val="auto"/>
              </w:rPr>
              <w:t>9%</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90"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equals 101% due to a negative revenue adjustment made to another customer.</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Net Loss per Common Share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were excluded from the diluted loss per share calculation due to their anti-dilutive effect.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In computing diluted net loss per share, 1,789,405 and 1,667,663 options to purchase shares of common stock, non-vested restricted stock and shares to be issued to non-employee directors were excluded from the computations for the three months ended July 31, 2009 and 2008,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Stock-Based Compensation</w:t>
      </w:r>
    </w:p>
    <w:p>
      <w:pPr>
        <w:spacing w:after="0" w:line="117"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On May 1, 2006, the Company adopted the provisions of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which requires that the costs resulting from all share-based payment transactions be recognized in the consolidated financial statements at their fair values. The Company adopted SFAS No. 123R using the modified prospective application method under which the provisions of SFAS No. 123R apply to new awards and to awards modified, repurchased, or canceled after the adoption date. Additionally,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recorded in the consolidated statements of operations for the three months ended July 31, 2009 and 2008 under SFAS No. 123R was approximately $348,000 and $460,000,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Three Months Ended July 31, 2009 and 2008.</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 xml:space="preserve">The fair value of each stock option granted during the three months ended July 31, 2009 and 2008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w:t>
      </w:r>
      <w:r>
        <w:rPr>
          <w:rFonts w:ascii="Arial" w:cs="Arial" w:eastAsia="Arial" w:hAnsi="Arial"/>
          <w:sz w:val="18"/>
          <w:szCs w:val="18"/>
          <w:color w:val="auto"/>
        </w:rPr>
        <w:t>Expected volatility was based on historical volatility for a peer group of companies for a period equal to the stock option’s expected life,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on a daily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282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rPr>
              <w:t>Three Months Ended July 31,</w:t>
            </w:r>
          </w:p>
        </w:tc>
      </w:tr>
      <w:tr>
        <w:trPr>
          <w:trHeight w:val="142"/>
        </w:trPr>
        <w:tc>
          <w:tcPr>
            <w:tcW w:w="8600" w:type="dxa"/>
            <w:vAlign w:val="bottom"/>
          </w:tcPr>
          <w:p>
            <w:pPr>
              <w:spacing w:after="0"/>
              <w:rPr>
                <w:sz w:val="12"/>
                <w:szCs w:val="12"/>
                <w:color w:val="auto"/>
              </w:rPr>
            </w:pPr>
          </w:p>
        </w:tc>
        <w:tc>
          <w:tcPr>
            <w:tcW w:w="1400" w:type="dxa"/>
            <w:vAlign w:val="bottom"/>
          </w:tcPr>
          <w:p>
            <w:pPr>
              <w:jc w:val="right"/>
              <w:ind w:right="616"/>
              <w:spacing w:after="0" w:line="142" w:lineRule="exact"/>
              <w:rPr>
                <w:sz w:val="20"/>
                <w:szCs w:val="20"/>
                <w:color w:val="auto"/>
              </w:rPr>
            </w:pPr>
            <w:r>
              <w:rPr>
                <w:rFonts w:ascii="Arial" w:cs="Arial" w:eastAsia="Arial" w:hAnsi="Arial"/>
                <w:sz w:val="14"/>
                <w:szCs w:val="14"/>
                <w:b w:val="1"/>
                <w:bCs w:val="1"/>
                <w:color w:val="auto"/>
              </w:rPr>
              <w:t>2009</w:t>
            </w:r>
          </w:p>
        </w:tc>
        <w:tc>
          <w:tcPr>
            <w:tcW w:w="14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3.3%</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0.0%</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4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6.5 years</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6.3 years</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75.4%</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79.4%</w:t>
            </w:r>
          </w:p>
        </w:tc>
      </w:tr>
    </w:tbl>
    <w:p>
      <w:pPr>
        <w:spacing w:after="0" w:line="79"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$4.82 and $6.81 for stock options granted during the three months ended July 31, 2009 and 2008,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Accounting for Income Taxes</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5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Due to our history of operating losses, the Company has recorded a full valuation allowance against the deferred tax assets, including net operating loss carryforwards, where management believes it is more likely than not that the Company will not have sufficient taxable income to utilize these assets before they expire.</w:t>
      </w:r>
    </w:p>
    <w:p>
      <w:pPr>
        <w:spacing w:after="0" w:line="64"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As of July 31, 2009, the Company had net operating loss carryforwards for Federal income tax purposes of approximately $46,000,000, which begin to expire in 2010. The Company also had Federal research and development tax credit carryforwards as of July 31, 2009, which begin to expire in 2012.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thus, to the extent net operating loss or other credit carryforwards are not utilized up to the amount of the available annual limitation, the limitation is carried forward and added to the following year’s available limitation. The Company had foreign loss before income taxes for the periods ended July 31, 2009 and July 31, 2008. As of July 31, 2009, the Company had foreign net operating loss carryforwards, which begin to expire in 2024. The ability to utilize these carryforwards may be limited in the event of an ownership change.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Accumulated Other Comprehensive Loss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income (loss) within stockholders’ equity.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Recent Accounting Pronouncements</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In September 2006, the FASB issued SFAS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which establishes a framework for reporting fair value and expands disclosures about fair value measurements. SFAS No. 157 as issued is effective for fiscal years beginning after November 15, 2007. On February 12, 2008, FASB Staff Position (FSP) FAS 157-2, </w:t>
      </w:r>
      <w:r>
        <w:rPr>
          <w:rFonts w:ascii="Arial" w:cs="Arial" w:eastAsia="Arial" w:hAnsi="Arial"/>
          <w:sz w:val="17"/>
          <w:szCs w:val="17"/>
          <w:i w:val="1"/>
          <w:iCs w:val="1"/>
          <w:color w:val="auto"/>
        </w:rPr>
        <w:t>Effective Date of FASB Statement No. 157,</w:t>
      </w:r>
      <w:r>
        <w:rPr>
          <w:rFonts w:ascii="Arial" w:cs="Arial" w:eastAsia="Arial" w:hAnsi="Arial"/>
          <w:sz w:val="17"/>
          <w:szCs w:val="17"/>
          <w:color w:val="auto"/>
        </w:rPr>
        <w:t xml:space="preserve"> was issued, which delays the effective date to fiscal years beginning after November 15, 2008 for certain nonfinancial assets and liabilities. The Company adopted SFAS No. 157 on May 1, 2008, except for the items covered by FSP FAS 157-2. The adoption of SFAS No. 157 did not have any impact on the Company’s consolidated financial statements.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SFAS No. 157 establishes a three-tier fair value hierarchy, which prioritizes the inputs used in measuring fair value as follows:</w:t>
      </w:r>
    </w:p>
    <w:p>
      <w:pPr>
        <w:spacing w:after="0" w:line="117"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in active markets for identical assets or liabilities;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the quoted prices in active markets, that are observable either directly or indirectly;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in which there is little or no market data, which require the reporting entity to develop its own assumptions.</w:t>
      </w:r>
    </w:p>
    <w:p>
      <w:pPr>
        <w:spacing w:after="0" w:line="117"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 xml:space="preserve">In February 2008, the FASB issued FSP FAS 157-1, </w:t>
      </w:r>
      <w:r>
        <w:rPr>
          <w:rFonts w:ascii="Arial" w:cs="Arial" w:eastAsia="Arial" w:hAnsi="Arial"/>
          <w:sz w:val="17"/>
          <w:szCs w:val="17"/>
          <w:i w:val="1"/>
          <w:iCs w:val="1"/>
          <w:color w:val="auto"/>
        </w:rPr>
        <w:t>Application of FASB Statement No. 157 to FASB Statement No. 13 and Other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Pronouncements That Address Fair Value Measurements for Purposes of Lease Classification or Measurement under Statement 13</w:t>
      </w:r>
      <w:r>
        <w:rPr>
          <w:rFonts w:ascii="Arial" w:cs="Arial" w:eastAsia="Arial" w:hAnsi="Arial"/>
          <w:sz w:val="17"/>
          <w:szCs w:val="17"/>
          <w:color w:val="auto"/>
        </w:rPr>
        <w:t>. FSP FAS 157-1 amends</w:t>
      </w:r>
      <w:r>
        <w:rPr>
          <w:rFonts w:ascii="Arial" w:cs="Arial" w:eastAsia="Arial" w:hAnsi="Arial"/>
          <w:sz w:val="17"/>
          <w:szCs w:val="17"/>
          <w:i w:val="1"/>
          <w:iCs w:val="1"/>
          <w:color w:val="auto"/>
        </w:rPr>
        <w:t xml:space="preserve"> </w:t>
      </w:r>
      <w:r>
        <w:rPr>
          <w:rFonts w:ascii="Arial" w:cs="Arial" w:eastAsia="Arial" w:hAnsi="Arial"/>
          <w:sz w:val="17"/>
          <w:szCs w:val="17"/>
          <w:color w:val="auto"/>
        </w:rPr>
        <w:t>SFAS No. 157 to exclude certain leasing transactions accounted for under previously existing accounting guidance. This exclusion, however, does not apply to assets acquired and liabilities assumed in a business combination, regardless of whether those assets and liabilities are related to leases. The adoption of FSP FAS 157-1 did not have any impact on the Company’s consolidated financial statements.</w:t>
      </w:r>
    </w:p>
    <w:p>
      <w:pPr>
        <w:spacing w:after="0" w:line="64"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 xml:space="preserve">In October 2008, the FASB issued FSP FAS 157-3, </w:t>
      </w:r>
      <w:r>
        <w:rPr>
          <w:rFonts w:ascii="Arial" w:cs="Arial" w:eastAsia="Arial" w:hAnsi="Arial"/>
          <w:sz w:val="18"/>
          <w:szCs w:val="18"/>
          <w:i w:val="1"/>
          <w:iCs w:val="1"/>
          <w:color w:val="auto"/>
        </w:rPr>
        <w:t>Determining the Fair Value of a Financial Asset When the Market for That Asset Is Not Active</w:t>
      </w:r>
      <w:r>
        <w:rPr>
          <w:rFonts w:ascii="Arial" w:cs="Arial" w:eastAsia="Arial" w:hAnsi="Arial"/>
          <w:sz w:val="18"/>
          <w:szCs w:val="18"/>
          <w:color w:val="auto"/>
        </w:rPr>
        <w:t>. FSP FAS 157-3 clarifies the application of SFAS No. 157 when the market for a financial asset is not active. FSP FAS 157-3 was effective upon issuance, including reporting for prior periods for which financial statements have not been issued. The adoption of FSP FAS 157-3 did not have any impact on the Company’s consolidated financial statements.</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xml:space="preserve"> SFAS No. 159 allows companies to elect to measure certain assets and liabilities at fair value and is effective for fiscal years beginning after November 15, 2007. The adoption of SFAS No. 159 on May 1, 2008 did not have any impact on the Company’s consolidated financial statements.</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 141R), which establishes the principles and requirements for how an acquirer recognizes the assets acquired, the liabilities assumed, and any noncontrolling interest in the acquirer at the acquisition date, measured at their fair values as of that date, with limited exceptions. This statement applies to business combinations for which the acquisition date is after the beginning of the first annual reporting period beginning after December 15, 2008. Earlier adoption is not permitted. Accordingly, the Company will apply SFAS No. 141R to business combinations occurring on or after May 1, 2009.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In December 2007, the FASB issued SFAS No. 160, </w:t>
      </w:r>
      <w:r>
        <w:rPr>
          <w:rFonts w:ascii="Arial" w:cs="Arial" w:eastAsia="Arial" w:hAnsi="Arial"/>
          <w:sz w:val="17"/>
          <w:szCs w:val="17"/>
          <w:i w:val="1"/>
          <w:iCs w:val="1"/>
          <w:color w:val="auto"/>
        </w:rPr>
        <w:t>Noncontrolling Interests in Consolidated Financial Statements.</w:t>
      </w:r>
      <w:r>
        <w:rPr>
          <w:rFonts w:ascii="Arial" w:cs="Arial" w:eastAsia="Arial" w:hAnsi="Arial"/>
          <w:sz w:val="17"/>
          <w:szCs w:val="17"/>
          <w:color w:val="auto"/>
        </w:rPr>
        <w:t xml:space="preserve"> SFAS No. 160 establishes accounting and reporting standards for the noncontrolling interest in a subsidiary and for the deconsolidation of a subsidiary. It clarifies that a noncontrolling interest in a subsidiary is an ownership interest in the consolidated entity that should be recorded as a component of equity in the consolidated financial statements. This statement also requires that consolidated net income shall be adjusted to include the net income attributed to the noncontrolling interest. It also requires that net losses be attributed to the noncontrolling interest even if they exceed the noncontrolling interest’s equity balance. Disclosure on the face of the statement of operations of the amounts of consolidated net income attributable to the parent and to the noncontrolling interest is required. The provisions of SFAS No. 160 were effective for the Company for interim periods and fiscal years beginning May 1, 2009. The adoption of SFAS No. 160 did not have a material impact on the Company’s consolidated financial statements other than the presentation of a noncontrolling interest in Ocean Power Technologies (Australasia) Pty Ltd. in the Company’s consolidated financial statements. Net income attributable to the noncontrolling interest in Ocean Power Technologies (Australasia) Pty Ltd. was $51,057 for the three months ended July 31, 2009. The proforma information specified in SFAS No. 160 for the three months ended July 31, 2008 is not presented as it is not material.</w:t>
      </w:r>
    </w:p>
    <w:p>
      <w:pPr>
        <w:spacing w:after="0" w:line="75"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 xml:space="preserve">In April 2008, the FASB issued FSP FAS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xml:space="preserve">. FSP FAS 142-3 amends the factors that should be considered in developing renewal or extension assumptions used to determine the useful life of a recognized intangible asset under SFAS No. 142,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Intangible Assets</w:t>
      </w:r>
      <w:r>
        <w:rPr>
          <w:rFonts w:ascii="Arial" w:cs="Arial" w:eastAsia="Arial" w:hAnsi="Arial"/>
          <w:sz w:val="16"/>
          <w:szCs w:val="16"/>
          <w:color w:val="auto"/>
        </w:rPr>
        <w:t>. FSP FAS 142-3 also adds certain disclosures to those already prescribed in SFAS No. 142. FSP FAS 142-3 is effective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of the first fiscal year beginning after December 15, 2008, and early adoption is prohibited. The guidance for determining useful lives must be applied prospectively to intangible assets acquired after the effective date. The disclosure requirements must be applied prospectively to all intangible assets recognized as of the effective date. The adoption of FSP FAS 142-3 did not have any impact on the Company’s consolidated financial statements.</w:t>
      </w:r>
    </w:p>
    <w:p>
      <w:pPr>
        <w:spacing w:after="0" w:line="5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June 2009, the FASB issued SFAS No. 168, “The FASB Standards Codification and the Hierarchy of Generally Accepted Accounting Principles” (SFAS 168 or the “Codification”), a replacement of SFAS 162. SFAS 168 will become the source of authoritative U.S. generally accepted accounting principles (GAAP) recognized by the FASB to be applied by nongovernmental entities. Rules and interpretive releases of the U.S. Securities and Exchange Commission (SEC) under authority of federal securities laws are also sources of authoritative GAAP for SEC registrants. On the effective date of SFAS 168, the Codification will supersede all then-existing non-SEC accounting and reporting standards. All other non-grandfathered, non-SEC accounting literature not included in the Codification will become non-authoritative. SFAS 168 is effective for financial statements issued for interim and annual periods ending after September 15, 2009.</w:t>
      </w:r>
    </w:p>
    <w:p>
      <w:pPr>
        <w:spacing w:after="0" w:line="8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In April 2009, the FASB issued FSP FAS 115-2 and FAS 124-2, </w:t>
      </w:r>
      <w:r>
        <w:rPr>
          <w:rFonts w:ascii="Arial" w:cs="Arial" w:eastAsia="Arial" w:hAnsi="Arial"/>
          <w:sz w:val="17"/>
          <w:szCs w:val="17"/>
          <w:i w:val="1"/>
          <w:iCs w:val="1"/>
          <w:color w:val="auto"/>
        </w:rPr>
        <w:t>Recognition and Presentation of Other-Than-Temporary Impairments,</w:t>
      </w:r>
      <w:r>
        <w:rPr>
          <w:rFonts w:ascii="Arial" w:cs="Arial" w:eastAsia="Arial" w:hAnsi="Arial"/>
          <w:sz w:val="17"/>
          <w:szCs w:val="17"/>
          <w:color w:val="auto"/>
        </w:rPr>
        <w:t xml:space="preserve"> FSP FAS 115-2 and 124-2 changes existing guidance for determining whether debt securities are other-than-temporarily impaired and replaces the existing requirement that the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FSP FAS 115-2 and 124-2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income (loss). FSP FAS 115-2 and 124-2 is effective for interim and annual reporting periods ending after June 15, 2009. The adoption of FSP FAS 115-2 and 124-2 did not have any impact the Company’s financial position or results of operations.</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In April 2009, the FASB issued FSP FAS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FSP FAS 107-1 and APB 28-1 require disclosures about fair values of financial instruments in interim and annual financial statements. Prior to the issuance of FSP FAS 107-1 and APB 28-1, disclosures about fair values of financial instruments were only required to be disclosed annually. FSP FAS 107-1 and APB 28-1 require disclosures about fair value of financial instruments in interim and annual financial statements. The adoption of FSP FAS 107-1 and APB 28-1 did not affect the Company’s financial position or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In May 2009, the FASB issued SFAS No. 165, “Subsequent Events” (SFAS No. 165). SFAS No. 165 establishes general standards of accounting for and disclosure of events that occur after the balance sheet date but before financial statements are issued or available to be issued. SFAS No. 165 sets forth the period after the balance sheet date during which management shall evaluate events or transactions that may occur for potential recognition or disclosure in the financial statements, the circumstances under which an entity shall recognize events or transactions occurring after the balance sheet date in its financial statements and the disclosures that an entity shall make about events or transactions that occurred after the balance sheet date. SFAS No. 165 is effective for interim and annual periods ending after June 15, 2009. The adoption of SFAS No. 165 did not have a material impact on the Company’s Consolidated Financial Statements. The Company evaluated subsequent events through September 9, 2009, which is the date these financial statements were issued.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in less than one year from the balance sheet date are classified as current assets and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2009</w:t>
            </w:r>
          </w:p>
        </w:tc>
        <w:tc>
          <w:tcPr>
            <w:tcW w:w="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April 30, 2009</w:t>
            </w:r>
          </w:p>
        </w:tc>
        <w:tc>
          <w:tcPr>
            <w:tcW w:w="100" w:type="dxa"/>
            <w:vAlign w:val="bottom"/>
          </w:tcPr>
          <w:p>
            <w:pPr>
              <w:spacing w:after="0"/>
              <w:rPr>
                <w:sz w:val="14"/>
                <w:szCs w:val="14"/>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USD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3,685,370</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Certificates of deposit denominated in GBP</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3,334,415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3,217,152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AUD</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624,872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US Treasury obligations</w:t>
            </w:r>
          </w:p>
        </w:tc>
        <w:tc>
          <w:tcPr>
            <w:tcW w:w="1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40,980,826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33,947,214</w:t>
            </w:r>
          </w:p>
        </w:tc>
      </w:tr>
      <w:tr>
        <w:trPr>
          <w:trHeight w:val="209"/>
        </w:trPr>
        <w:tc>
          <w:tcPr>
            <w:tcW w:w="8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44,940,113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40,849,736</w:t>
            </w:r>
          </w:p>
        </w:tc>
      </w:tr>
      <w:tr>
        <w:trPr>
          <w:trHeight w:val="20"/>
        </w:trPr>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Company’s marketable securities that mature more than one year from the balance sheet date are classified as noncurrent assets, are all classified as held-to-maturity, carried at amortized cost and are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Gross</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Gross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8"/>
              </w:rPr>
              <w:t>Amortized</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unrealized</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Market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gridSpan w:val="3"/>
          </w:tcPr>
          <w:p>
            <w:pPr>
              <w:jc w:val="center"/>
              <w:ind w:right="660"/>
              <w:spacing w:after="0"/>
              <w:rPr>
                <w:sz w:val="20"/>
                <w:szCs w:val="20"/>
                <w:color w:val="auto"/>
              </w:rPr>
            </w:pPr>
            <w:r>
              <w:rPr>
                <w:rFonts w:ascii="Arial" w:cs="Arial" w:eastAsia="Arial" w:hAnsi="Arial"/>
                <w:sz w:val="14"/>
                <w:szCs w:val="14"/>
                <w:color w:val="auto"/>
                <w:w w:val="85"/>
              </w:rPr>
              <w:t>cost</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gains</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5"/>
              </w:rPr>
              <w:t>losses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July 31, 2009</w:t>
            </w: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$ 25,602,948</w:t>
            </w:r>
          </w:p>
        </w:tc>
        <w:tc>
          <w:tcPr>
            <w:tcW w:w="6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(84,398)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25,518,550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3,806,808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28,950</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29,409,756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28,950</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(84,398)</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29,354,308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April 30, 2009</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28,619,528</w:t>
            </w:r>
          </w:p>
        </w:tc>
        <w:tc>
          <w:tcPr>
            <w:tcW w:w="6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423,095</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(20,963)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29,021,660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April 30, 2009 balance of marketable securities was changed to increase the current portion and decrease the noncurrent portion by $12,009,000 to reflect the maturities of the underlying securities as of such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Included in accrued expenses at July 31, 2009 and April 30, 2009 were contract loss accruals of approximately $1,104,000 and $1,152,000, respectively, and accrued employee incentive payments of approximately $214,000 and $672,000, respectively. Accrued expenses at July 31, 2009 and April 30, 2009 also included legal and accounting fees of approximately $258,000 and $485,000, respectively, and accrued employee vacation of $203,000 and $151,000,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 August 1999, the Company entered into a consulting agreement with an individual for marketing services at a rate of $800 per day of services provided. The individual became a member of the board of directors in June 2006. Under this consulting agreement, the Company expensed approximately $14,000 and $10,000 during the three months ended July 31, 2009 and 2008,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with any remaining amount due on January 15, 2012. Based upon the terms of the award, the Company has repaid approximately $61,000 and is required to repay an additional approximately $93,000 as of July 31, 2009. The current payment required of $93,000 was included in accrued expenses in the accompanying consolidated balance sheet as of July 31, 2009. As of July 31, 2009, the remaining amount due of $96,000 was included in long-term debt on the accompanying consolidated balance sheet.</w:t>
      </w:r>
    </w:p>
    <w:p>
      <w:pPr>
        <w:spacing w:after="0" w:line="7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During the year ended April 30, 2009, the Company received a recoverable grant award of $250,000 from the NJBPU under the Renewable Energy Business Venture Assistance Program. Under the terms of this agreement, the amount to be repaid is a fixed monthly amount of principal only, repayable over a five-year period beginning May 2012. The terms also require the Company to assign to the NJBPU a certificate of deposit in an amount equal to the outstanding grant balance.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July 31, 2009 and April 30, 2009.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right="380" w:firstLine="225"/>
        <w:spacing w:after="0" w:line="308" w:lineRule="auto"/>
        <w:rPr>
          <w:sz w:val="20"/>
          <w:szCs w:val="20"/>
          <w:color w:val="auto"/>
        </w:rPr>
      </w:pPr>
      <w:r>
        <w:rPr>
          <w:rFonts w:ascii="Arial" w:cs="Arial" w:eastAsia="Arial" w:hAnsi="Arial"/>
          <w:sz w:val="17"/>
          <w:szCs w:val="17"/>
          <w:color w:val="auto"/>
        </w:rPr>
        <w:t>Prior to August 2001, the Company maintained qualified and nonqualified stock option plans. The Company had reserved 423,390 shares of common stock for issuance under these plans. There are no options available for future grant under these plans as of July 31, 2009.</w:t>
      </w:r>
    </w:p>
    <w:p>
      <w:pPr>
        <w:spacing w:after="0" w:line="38"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In August 2001, the Company approved the 2001 Stock Plan, which provides for the grant of incentive stock options and nonqualified stock options. A total of 1,000,000 shares were authorized for issuance under the 2001 Stock Plan. As of July 31, 2009, the Company had issued or reserved 610,402 shares for issuance under the 2001 Stock Plan. After the effectiveness of the 2006 Stock Incentive Plan, no further options or other awards have been or will be granted under the 2001 Stock Plan.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On April 24, 2007, the Company’s 2006 Stock Incentive Plan became effective. A total of 803,215 shares are authorized for issuance under the 2006 Stock Incentive Plan. As of July 31, 2009, the Company had issued share-based compensation for 755,613 shares of common stock and had reserved an additional 47,602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Members of the board of directors who are not full-time employees receive, as part of their annual compensation, a choice of either (a) an option to purchase 2,000 shares of common stock that is fully vested at the time of grant, or (b) shares of common stock worth $10,000, which vests 50% at the time of grant and 50% one year later.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all of the Company’s employees, except to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 On July 20, 2009, subject to stockholder approval, our Board of Directors approved an amendment to the 2006 Stock Incentive Plan, increasing the aggregate number of shares authorized for issuance by 850,000 shares to 1,653,215. If the amendment to the 2006 Stock Incentive Plan is approved by stockholders in October 2009, the Company will file an amendment to its Form S–8 registration statement to register the additional shares under the Securities Act of 1933.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options under the plans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Shares Under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w:t>
            </w: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Exercise Price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1,632,263</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(7,158)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10.52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132,308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Outstanding at July 31, 2009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1,727,413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12.89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July 31, 2009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1,204,419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302" w:lineRule="auto"/>
        <w:rPr>
          <w:sz w:val="20"/>
          <w:szCs w:val="20"/>
          <w:color w:val="auto"/>
        </w:rPr>
      </w:pPr>
      <w:r>
        <w:rPr>
          <w:rFonts w:ascii="Arial" w:cs="Arial" w:eastAsia="Arial" w:hAnsi="Arial"/>
          <w:sz w:val="16"/>
          <w:szCs w:val="16"/>
          <w:color w:val="auto"/>
        </w:rPr>
        <w:t>The total intrinsic value of outstanding and exercisable options as of July 31, 2009 was zero. As of July 31, 2009, approximately 465,000 additional options were expected to vest, which had zero intrinsic value and a weighted average remaining contractual term of 8.6 years. As of July 31, 2009, there was approximately $3,177,000 of total unrecognized compensation cost related to non-vested stock options granted under the plans. This cost is expected to be recognized over a weighted-average period of 3.8 years. The Company normally issues new shares to satisfy option exercises under these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Non-Vested Restricted Stock</w:t>
      </w:r>
    </w:p>
    <w:p>
      <w:pPr>
        <w:spacing w:after="0" w:line="117"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Compensation expense for non-vested restricted stock was historically recorded based on its market value on the date of grant and recognized ratably over the associated service and performance period. During the three months ended July 31, 2009, there were 20,000 shares of non-vested restricted stock granted to employees with service-based vesting requirements. As of July 31, 2009, all 20,000 restricted shares are unvested.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non-vested restricted stock under the plans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9280" w:type="dxa"/>
            <w:vAlign w:val="bottom"/>
          </w:tcPr>
          <w:p>
            <w:pPr>
              <w:spacing w:after="0"/>
              <w:rPr>
                <w:sz w:val="12"/>
                <w:szCs w:val="12"/>
                <w:color w:val="auto"/>
              </w:rPr>
            </w:pPr>
          </w:p>
        </w:tc>
        <w:tc>
          <w:tcPr>
            <w:tcW w:w="10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2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of Shares</w:t>
            </w:r>
          </w:p>
        </w:tc>
        <w:tc>
          <w:tcPr>
            <w:tcW w:w="3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Outstanding at July 31, 2009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15"/>
        <w:spacing w:after="0" w:line="308" w:lineRule="auto"/>
        <w:rPr>
          <w:sz w:val="20"/>
          <w:szCs w:val="20"/>
          <w:color w:val="auto"/>
        </w:rPr>
      </w:pPr>
      <w:r>
        <w:rPr>
          <w:rFonts w:ascii="Arial" w:cs="Arial" w:eastAsia="Arial" w:hAnsi="Arial"/>
          <w:sz w:val="17"/>
          <w:szCs w:val="17"/>
          <w:color w:val="auto"/>
        </w:rPr>
        <w:t>As of July 31, 2009, there was approximately $40,000 of total recognized compensation cost and $237,000 of total unrecognized compensation cost related to non-vested restricted stock granted under the plans. That cost is expected to be recognized over a weighted average period of 1.4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Shares of Common Stock</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During the year ended April 30, 2009, 4,992 shares of common stock were awarded to non-employee directors pursuant to annual retainer arrangements. The aggregate share-based compensation expense recorded in the consolidated statement of operations for the year ended April 30, 2009 related to the shares was approximately $40,000, which represents the fair value on the date of grant. The shares were not issued as of July 31, 2009, and accordingly the liability was included in accrued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is currently engaged in discussions regarding modifications to its agreement for the first phase of the construction of a wave power station off the coast of Spain. If the parties are unable to agree upon the necessary contract changes, the agreement may be terminated if the first phase of the project is not completed by December 31, 2009 for reasons attributable to the Company or if the Company is otherwise in default of its obligations under the agreement. In such an event, the Company’s customer will be entitled to seek reimbursement for direct damages only, limited to amounts specified in the agreement. As of July 31, 2009, the Company does not believe that the outcome of this matter will have a material adverse effect on the Company’s financial position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 and Geographic Information</w:t>
      </w:r>
    </w:p>
    <w:p>
      <w:pPr>
        <w:spacing w:after="0" w:line="121"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Company’s business consists of one segment as this represents management’s view of the Company’s operations.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Geographic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North America</w:t>
            </w:r>
          </w:p>
        </w:tc>
        <w:tc>
          <w:tcPr>
            <w:tcW w:w="14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Europe</w:t>
            </w: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Australia</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2009</w:t>
            </w:r>
          </w:p>
        </w:tc>
        <w:tc>
          <w:tcPr>
            <w:tcW w:w="1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000" w:type="dxa"/>
            <w:vAlign w:val="bottom"/>
            <w:gridSpan w:val="2"/>
          </w:tcPr>
          <w:p>
            <w:pPr>
              <w:ind w:left="188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1,236,325</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74,612</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(2,853,585)</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(306,256)</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(81,120)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(3,240,961)</w:t>
            </w: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July 31, 2008</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748,299</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1,038,329</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loss</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(3,652,555)</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(682,658)</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(81,070)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(4,416,283)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2009</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Long-lived assets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2,979,924</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1,528,042</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77,854,562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8,185,028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747,142</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86,786,732</w:t>
            </w:r>
          </w:p>
        </w:tc>
        <w:tc>
          <w:tcPr>
            <w:tcW w:w="0" w:type="dxa"/>
            <w:vAlign w:val="bottom"/>
          </w:tcPr>
          <w:p>
            <w:pPr>
              <w:spacing w:after="0"/>
              <w:rPr>
                <w:sz w:val="1"/>
                <w:szCs w:val="1"/>
                <w:color w:val="auto"/>
              </w:rPr>
            </w:pPr>
          </w:p>
        </w:tc>
      </w:tr>
      <w:tr>
        <w:trPr>
          <w:trHeight w:val="432"/>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April 30, 2009</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2,639,302</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1,361,189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2000" w:type="dxa"/>
            <w:vAlign w:val="bottom"/>
            <w:gridSpan w:val="2"/>
          </w:tcPr>
          <w:p>
            <w:pPr>
              <w:ind w:left="188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81,006,430</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7,677,316</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110,160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88,793,906</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2010 refers to the year ending April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We develop and are commercializing proprietary systems that generate electricity by harnessing the renewable energy of ocean waves. Our PowerBuoy</w:t>
      </w:r>
      <w:r>
        <w:rPr>
          <w:rFonts w:ascii="Arial" w:cs="Arial" w:eastAsia="Arial" w:hAnsi="Arial"/>
          <w:sz w:val="14"/>
          <w:szCs w:val="14"/>
          <w:color w:val="auto"/>
        </w:rPr>
        <w:t>®</w:t>
      </w:r>
      <w:r>
        <w:rPr>
          <w:rFonts w:ascii="Arial" w:cs="Arial" w:eastAsia="Arial" w:hAnsi="Arial"/>
          <w:sz w:val="17"/>
          <w:szCs w:val="17"/>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w:t>
      </w:r>
    </w:p>
    <w:p>
      <w:pPr>
        <w:spacing w:after="0" w:line="57" w:lineRule="exact"/>
        <w:rPr>
          <w:sz w:val="20"/>
          <w:szCs w:val="20"/>
          <w:color w:val="auto"/>
        </w:rPr>
      </w:pPr>
    </w:p>
    <w:p>
      <w:pPr>
        <w:ind w:right="180" w:firstLine="222"/>
        <w:spacing w:after="0" w:line="255"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 We also offer our customers operations and maintenance services for our PowerBuoy systems, which are expected to provide a source of recurring revenues.</w:t>
      </w:r>
    </w:p>
    <w:p>
      <w:pPr>
        <w:spacing w:after="0" w:line="85"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were incorporated in New Jersey in April 1984, began commercial operations in 1994, and were re-incorporated in Delaware in 2007. We currently have six wholly-owned subsidiaries, which include Ocean Power Technologies Ltd., Reedsport OPT Wave Park LLC, Oregon Wave Energy Partners I, LLC, Oregon Wave Energy Partners II, LLC, California Wave Energy Partners I, and Fairhaven OPT Ocean Power LLC, and we own approximately 88% of the ordinary shares of Ocean Power Technologies (Australasia) Pty Ltd.</w:t>
      </w:r>
    </w:p>
    <w:p>
      <w:pPr>
        <w:spacing w:after="0" w:line="79"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in fiscal 2003, and we entered into our first development and construction contract with Lockheed Martin in fiscal 2004 for the development and construction of a prototype demonstration autonomous PowerBuoy system.</w:t>
      </w:r>
    </w:p>
    <w:p>
      <w:pPr>
        <w:spacing w:after="0" w:line="57"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In fiscal 2005, we entered into a development agreement with an affiliate of Iberdrola S.A., a large electric utility company located in Spain and one of the largest renewable energy producers in the world, and other parties to jointly study the possibility of developing a wave power station off the coast of northern Spain. An affiliate of Total S.A., which is one of the world’s largest oil and gas companies, also entered into the development agreement in June 2005. In January 2006, we completed the assessment phase of the project, and in July 2006 we entered into an agreement with Iberdrola Energias Marinas de Cantabria, S.A. to complete the first phase of the construction of a 1.39 MegaWatt (MW) wave power station. Under the Spain construction agreement, we agreed to manufacture and deploy by no later than December 31, 2009, one 40kW PowerBuoy system and the ocean-based substation and infrastructure required to connect nine additional 150kW PowerBuoy systems that together are contemplated to constitute a 1.39MW wave power station. In February 2008, the Spain construction agreement was amended to provide for the current phase of the construction of the PowerBuoy system plus the fabrication of the underwater power transmission cable and underwater substation for all ten PowerBuoy systems. The terms of the installation of the underwater transmission cable and underwater substation will be separately negotiated and, if so agreed, are expected to provide for additional funding for the installation work. The initial PB40kW PowerBuoy system for this project was deployed in September 2008. After a short testing period, the buoy was removed from the water for work on improvements to the power take-off and control systems. We are currently in discussions with Iberdrola Cantabria regarding the nature and costs of these improvements and their effects on plans for the redeployment of the buoy and the next phases of the project. If the parties are unable to agree upon the necessary contract changes, the agreement may be terminated if the first phase of the project is not completed by December 31, 2009 for reasons attributable to us or if we are otherwise in default of our obligations under the agreement. In such an event, Iberdrola Cantabria will be entitled to seek reimbursement for direct damages only, limited to amounts specified in the agreement. During the early stages of commercialization of our technology, systems deployed in the ocean may periodically require maintenance and repair of certain elements of the systems which in some cases may include retrieval and redeployment of the buoys and redeployment. We view this as an expected aspect of our operations and the process of bringing our PowerBuoy product to a fully commercial status.</w:t>
      </w:r>
    </w:p>
    <w:p>
      <w:pPr>
        <w:spacing w:after="0" w:line="8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2007, we received a $1.8 million contract from the Scottish Executive for the construction of a 150 kW PowerBuoy demonstration system near Orkney, Scotland.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August 2007, we announced the award of a $0.5 million contract from PNGC Power, an Oregon-based electric power cooperative, providing funding toward the fabrication and installation of a 150kW PowerBuoy system off the coast of Oregon. In October 2008, we received a $2.0 million award from the US Department of Energy in support of the Oregon project. In June 2007, we received a $1.7 million contract from the US Navy to provide our PowerBuoy technology to a unique program for data gathering in the ocean. Under this 18-month program, the US Navy conducted an ocean test in October 2008 of our autonomous PowerBuoy as the power source for the Navy’s Deep Water Active Detection System. In October 2008, we received a $3.0 million contract from the US Navy to expand the program and ocean-test an advanced version of our autonomous PowerBuoy for the Deep Water Active Detection System. As of July 31, 2009, our backlog was $6.4 million, a decrease of $1.1 million from April 30, 2009.</w:t>
      </w:r>
    </w:p>
    <w:p>
      <w:pPr>
        <w:spacing w:after="0" w:line="7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For the three months ended July 31, 2009, we generated revenues of $1.3 million and incurred a net loss of $2.1 million, and for the three months ended July 31, 2008, we generated revenues of $1.8 million and incurred a net loss of $3.9 million. As of July 31, 2009, our accumulated deficit was $73.3 million. We have not been profitable since inception, and we do not know whether or when we will become profitable because of the significant uncertainties with respect to our ability to successfully commercialize our PowerBuoy systems in the emerging renewable energy market. Since fiscal 2002, the US Navy has accounted for a significant portion of our revenues. We expect that over time, revenues derived from utilities and other non-government commercial customers will increase more rapidly than sales to government customers and may, within a few years, represent the majority of our revenues.</w:t>
      </w:r>
    </w:p>
    <w:p>
      <w:pPr>
        <w:spacing w:after="0" w:line="5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new legislation will, for the first time, enable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70"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Further, it is expected that the US federal and state governments will increase their investments in the renewable energy sector under various economic stimulus measures announced in early 2009. In anticipation of such investments, we are devoting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recent announcement of the government programs and the uncertainties surrounding their scope and size, there can be no assurances as to whether we will be successful in obtaining significant additional government funding or as to the terms and conditions of any such funding.</w:t>
      </w:r>
    </w:p>
    <w:p>
      <w:pPr>
        <w:spacing w:after="0" w:line="5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recent global economic downturn may have a negative effect on our business, financial condition and results of operations because the utility companies with which we contract or propose to contract may decrease their investment in new power generation equipment in response to the downturn.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downturn will have a material negative impact on our sources of supply, as our products incorporate what are substantially non-custom, standard parts found in many regions of the world.</w:t>
      </w:r>
    </w:p>
    <w:p>
      <w:pPr>
        <w:spacing w:after="0" w:line="70"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According to a study in 2003 by the Energy Information Administration, $1.6 trillion is expected to be spent for new renewable energy generation equipment by the year 2030. This equates to annual global expenditures of approximately $60 billion. We plan to take advantage of these global drivers of demand for renewable energy, as we continue to refine and expand our proprietary technology.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describes certain line items in our consolidated statement of operations and some of the factors that affect our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Under our agreement for the current phase of construction of a wave power station off the coast of Santoña, Spain, our revenues are limited to reimbursement for our construction costs without any mark-up and we are required to bear a portion of any cost overruns and to absorb certain other costs as set forth in the agreement. During the fourth quarter of fiscal 2008, we made the decision to absorb additional costs related to the current phase of the project beyond our obligation for the initial cost overruns and certain other costs as set forth in the agreement. This decision was based primarily on the progress of the project to date, the benefits to be derived from a successful initial project and the prospect of incremental contract value to be received in connection with additional work under this contract. Our estimate of the loss at completion of the contract also reflects our estimate of potential reductions in milestones billable under the current phase of the agreement.</w:t>
      </w:r>
    </w:p>
    <w:p>
      <w:pPr>
        <w:spacing w:after="0" w:line="81"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US Navy accounted for approximately 92% of our revenues for the three months ended July 31, 2009, and approximately 41% of our revenues for the three months ended July 31, 2008. Iberdrola and Total accounted for approximately 9% of our revenues for the three months ended July 31, 2009, and approximately 50% of our revenues for the three months ended July 31, 2008. Since fiscal 2002, the US Navy has accounted for a significant portion of our revenues. We anticipate that, if our commercialization efforts are successful, the utility sector will become a larger percentage of our business.</w:t>
      </w:r>
    </w:p>
    <w:p>
      <w:pPr>
        <w:spacing w:after="0" w:line="46" w:lineRule="exact"/>
        <w:rPr>
          <w:sz w:val="20"/>
          <w:szCs w:val="20"/>
          <w:color w:val="auto"/>
        </w:rPr>
      </w:pPr>
    </w:p>
    <w:p>
      <w:pPr>
        <w:ind w:right="40" w:firstLine="222"/>
        <w:spacing w:after="0" w:line="342" w:lineRule="auto"/>
        <w:rPr>
          <w:sz w:val="20"/>
          <w:szCs w:val="20"/>
          <w:color w:val="auto"/>
        </w:rPr>
      </w:pPr>
      <w:r>
        <w:rPr>
          <w:rFonts w:ascii="Arial" w:cs="Arial" w:eastAsia="Arial" w:hAnsi="Arial"/>
          <w:sz w:val="16"/>
          <w:szCs w:val="16"/>
          <w:color w:val="auto"/>
        </w:rPr>
        <w:t>We currently focus our sales and marketing efforts on the west coast of North America, the west coast of Europe, the coasts of Australia and the east coast of Japan. During the three months ended July 31, 2009 and 2008, we derived 6% and 58%, respectively, of our revenues from outside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some contracts.</w:t>
      </w:r>
    </w:p>
    <w:p>
      <w:pPr>
        <w:spacing w:after="0" w:line="39"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We operated at a gross profit of $0.3 million for the three months ended July 31, 2009 and a gross loss of $0.2 million for the three months ended July 31, 2008. Our ability to generate a gross profit depends on the nature of future contracts, our success at increasing sales of our PowerBuoy systems and on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of our utility PowerBuoy system, including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introduced our current 40kW PowerBuoy system in fiscal 2006. Since October 2005, we have operated a 40kW system off the coast of New Jersey, which has operated and been periodically removed from the ocean for maintenance since that time. Other 40kW systems were deployed and tested in Hawaii for the US Navy project during the months of June 2007 and October 2008. Work is currently in progress on the design, construction and installation of two 150kW PowerBuoy systems in connection with projects off the coasts of the Orkney Islands, Scotland and Oregon.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7" w:lineRule="exact"/>
        <w:rPr>
          <w:sz w:val="20"/>
          <w:szCs w:val="20"/>
          <w:color w:val="auto"/>
        </w:rPr>
      </w:pPr>
    </w:p>
    <w:p>
      <w:pPr>
        <w:ind w:right="640" w:firstLine="225"/>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Interest income consists of interest received on cash and cash equivalents, investments in commercial bank-issued certificates of deposit and US Treasury bills and notes. Prior to April 30, 2007, most of our cash, cash equivalents and marketable securities resulted from the remaining proceeds of our</w:t>
      </w:r>
    </w:p>
    <w:p>
      <w:pPr>
        <w:ind w:right="100"/>
        <w:spacing w:after="0" w:line="273" w:lineRule="auto"/>
        <w:rPr>
          <w:sz w:val="20"/>
          <w:szCs w:val="20"/>
          <w:color w:val="auto"/>
        </w:rPr>
      </w:pPr>
      <w:r>
        <w:rPr>
          <w:rFonts w:ascii="Arial" w:cs="Arial" w:eastAsia="Arial" w:hAnsi="Arial"/>
          <w:sz w:val="17"/>
          <w:szCs w:val="17"/>
          <w:color w:val="auto"/>
        </w:rPr>
        <w:t>October 2003 common stock offering on the AIM market. On April 30, 2007, we completed our initial public offering in the United States, which resulted in net proceeds to us of $89.9 million. Total cash, cash equivalents, restricted cash, and marketable securities were $80.9 million as of July 31, 2009, compared to $96.5 million as of July 31, 2008. Interest income in the three months ended July 31, 2009 decreased compared to the three months ended July 31, 2008 due to a decline in interest rates and a decline in cash, cash equivalents and marketable securities.</w:t>
      </w:r>
    </w:p>
    <w:p>
      <w:pPr>
        <w:spacing w:after="0" w:line="69"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anticipate that our interest income reported in fiscal 2010 will continue to be lower than the comparable periods of the prior fiscal year as a result of the decrease in invested cash and lower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Other income consists of transactions that we consider to be outside the normal scope of our operations and operating activities. In the three months ended July 31, 2009, we recognized other income of $0.5 million in connection with the settlement of a claim which we had against a supplier that provided engineering services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63"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Euros and Australian dollars. These foreign-denominated certificates of deposit and cash accounts had a balance of $9.9 million as of July 31, 2009 and $7.9 million as of July 31, 2008, compared to our total cash, cash equivalents, restricted cash, and marketable security balances of $80.9 million as of July 31, 2009 and $96.5 million as of July 31, 2008. These foreign currency balances are translated at each month end to our functional currency, the US dollar, and any resulting gain or loss is recognized in our results of operations.</w:t>
      </w:r>
    </w:p>
    <w:p>
      <w:pPr>
        <w:spacing w:after="0" w:line="8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2009 and 2008 were recorded in Euros, British pound sterling or Australian dollars.</w:t>
      </w:r>
    </w:p>
    <w:p>
      <w:pPr>
        <w:spacing w:after="0" w:line="6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2009 Compared to Three Months Ended July 31, 2008</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2009 and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620" w:type="dxa"/>
            <w:vAlign w:val="bottom"/>
            <w:gridSpan w:val="5"/>
          </w:tcPr>
          <w:p>
            <w:pPr>
              <w:jc w:val="right"/>
              <w:ind w:right="79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900" w:type="dxa"/>
            <w:vAlign w:val="bottom"/>
            <w:gridSpan w:val="4"/>
          </w:tcPr>
          <w:p>
            <w:pPr>
              <w:jc w:val="right"/>
              <w:ind w:right="107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July 31, 2009</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July 31, 2008</w:t>
            </w:r>
          </w:p>
        </w:tc>
        <w:tc>
          <w:tcPr>
            <w:tcW w:w="6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9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vMerge w:val="restart"/>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600" w:type="dxa"/>
            <w:vAlign w:val="bottom"/>
            <w:vMerge w:val="restart"/>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72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2009 Period to</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7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2008 Period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2"/>
              </w:rPr>
              <w:t>$ 1,310,937</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$ 1,786,628</w:t>
            </w:r>
          </w:p>
        </w:tc>
        <w:tc>
          <w:tcPr>
            <w:tcW w:w="14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1,024,227</w:t>
            </w:r>
          </w:p>
        </w:tc>
        <w:tc>
          <w:tcPr>
            <w:tcW w:w="6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1,948,146</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 (loss)</w:t>
            </w:r>
          </w:p>
        </w:tc>
        <w:tc>
          <w:tcPr>
            <w:tcW w:w="1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286,710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(161,518)</w:t>
            </w:r>
          </w:p>
        </w:tc>
        <w:tc>
          <w:tcPr>
            <w:tcW w:w="14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 costs</w:t>
            </w:r>
          </w:p>
        </w:tc>
        <w:tc>
          <w:tcPr>
            <w:tcW w:w="1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1,361,400</w:t>
            </w:r>
          </w:p>
        </w:tc>
        <w:tc>
          <w:tcPr>
            <w:tcW w:w="11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104</w:t>
            </w:r>
          </w:p>
        </w:tc>
        <w:tc>
          <w:tcPr>
            <w:tcW w:w="1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1,702,949</w:t>
            </w:r>
          </w:p>
        </w:tc>
        <w:tc>
          <w:tcPr>
            <w:tcW w:w="1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95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Selling, general and administrative costs</w:t>
            </w:r>
          </w:p>
        </w:tc>
        <w:tc>
          <w:tcPr>
            <w:tcW w:w="900" w:type="dxa"/>
            <w:vAlign w:val="bottom"/>
          </w:tcPr>
          <w:p>
            <w:pPr>
              <w:jc w:val="right"/>
              <w:spacing w:after="0"/>
              <w:rPr>
                <w:sz w:val="20"/>
                <w:szCs w:val="20"/>
                <w:color w:val="auto"/>
              </w:rPr>
            </w:pPr>
            <w:r>
              <w:rPr>
                <w:rFonts w:ascii="Arial" w:cs="Arial" w:eastAsia="Arial" w:hAnsi="Arial"/>
                <w:sz w:val="18"/>
                <w:szCs w:val="18"/>
                <w:color w:val="auto"/>
              </w:rPr>
              <w:t>2,166,271</w:t>
            </w:r>
          </w:p>
        </w:tc>
        <w:tc>
          <w:tcPr>
            <w:tcW w:w="600" w:type="dxa"/>
            <w:vAlign w:val="bottom"/>
            <w:gridSpan w:val="2"/>
          </w:tcPr>
          <w:p>
            <w:pPr>
              <w:spacing w:after="0"/>
              <w:rPr>
                <w:sz w:val="18"/>
                <w:szCs w:val="18"/>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8"/>
                <w:szCs w:val="18"/>
                <w:color w:val="auto"/>
              </w:rPr>
              <w:t>165</w:t>
            </w: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2,551,816</w:t>
            </w:r>
          </w:p>
        </w:tc>
        <w:tc>
          <w:tcPr>
            <w:tcW w:w="1400" w:type="dxa"/>
            <w:vAlign w:val="bottom"/>
            <w:gridSpan w:val="2"/>
          </w:tcPr>
          <w:p>
            <w:pPr>
              <w:jc w:val="right"/>
              <w:ind w:right="630"/>
              <w:spacing w:after="0"/>
              <w:rPr>
                <w:sz w:val="20"/>
                <w:szCs w:val="20"/>
                <w:color w:val="auto"/>
              </w:rPr>
            </w:pPr>
            <w:r>
              <w:rPr>
                <w:rFonts w:ascii="Arial" w:cs="Arial" w:eastAsia="Arial" w:hAnsi="Arial"/>
                <w:sz w:val="18"/>
                <w:szCs w:val="18"/>
                <w:color w:val="auto"/>
              </w:rPr>
              <w:t>143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3,527,671</w:t>
            </w:r>
          </w:p>
        </w:tc>
        <w:tc>
          <w:tcPr>
            <w:tcW w:w="6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269</w:t>
            </w:r>
          </w:p>
        </w:tc>
        <w:tc>
          <w:tcPr>
            <w:tcW w:w="1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4,254,765</w:t>
            </w:r>
          </w:p>
        </w:tc>
        <w:tc>
          <w:tcPr>
            <w:tcW w:w="1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238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loss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(3,240,961)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(4,416,283)</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7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285,220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547,592</w:t>
            </w:r>
          </w:p>
        </w:tc>
        <w:tc>
          <w:tcPr>
            <w:tcW w:w="1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30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income</w:t>
            </w: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506,630</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5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401,691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(24,473)</w:t>
            </w:r>
          </w:p>
        </w:tc>
        <w:tc>
          <w:tcPr>
            <w:tcW w:w="14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(2,047,420)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(3,893,164)</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7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income attributable to the noncontrolling</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5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(51,057)</w:t>
            </w: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(2,098,477</w:t>
            </w:r>
          </w:p>
        </w:tc>
        <w:tc>
          <w:tcPr>
            <w:tcW w:w="600" w:type="dxa"/>
            <w:vAlign w:val="bottom"/>
            <w:gridSpan w:val="2"/>
          </w:tcPr>
          <w:p>
            <w:pPr>
              <w:jc w:val="right"/>
              <w:ind w:right="5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(3,893,164</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Revenues decreased by $0.5 million in the three months ended July 31, 2009, or 27%, to $1.3 million, as compared to $1.8 million in the three months ended July 31, 2008. The decrease in revenues was primarily attributable to the following factors:</w:t>
      </w:r>
    </w:p>
    <w:p>
      <w:pPr>
        <w:spacing w:after="0" w:line="62" w:lineRule="exact"/>
        <w:rPr>
          <w:sz w:val="20"/>
          <w:szCs w:val="20"/>
          <w:color w:val="auto"/>
        </w:rPr>
      </w:pPr>
    </w:p>
    <w:p>
      <w:pPr>
        <w:jc w:val="both"/>
        <w:ind w:left="460" w:right="200" w:hanging="452"/>
        <w:spacing w:after="0" w:line="264"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decreased by $0.7 million due primarily to a decrease in billable work on our wave power station off the coast of Spain, as this project nears completion. Also, a decrease in revenue related to our EMEC project in Orkney, Scotland was offset by an increase in revenue related to our Hawaii project for the US Navy.</w:t>
      </w:r>
    </w:p>
    <w:p>
      <w:pPr>
        <w:spacing w:after="0" w:line="86" w:lineRule="exact"/>
        <w:rPr>
          <w:rFonts w:ascii="Arial" w:cs="Arial" w:eastAsia="Arial" w:hAnsi="Arial"/>
          <w:sz w:val="18"/>
          <w:szCs w:val="18"/>
          <w:b w:val="1"/>
          <w:bCs w:val="1"/>
          <w:color w:val="auto"/>
        </w:rPr>
      </w:pPr>
    </w:p>
    <w:p>
      <w:pPr>
        <w:ind w:left="460" w:right="340" w:hanging="452"/>
        <w:spacing w:after="0" w:line="277"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increased by $0.2 million as a result of work on projects with the US Navy to provide our PowerBuoy technology to a program for data gathering in the ocean.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Cost of revenues decreased by $0.9 million, or 47%, to $1.0 million in the three months ended July 31, 2009, as compared to $1.9 million in the three months ended July 31, 2008. This decrease in cost of revenues reflected the lower level of activity on revenue-bearing contracts, primarily the wave power station off the coast of Spain and the absence of any provision for contract losses, as was accrued in the three months ended July 31, 2008. Activity related to the Spain contract was significantly higher during the three months ended July 31, 2008 as the buoy was being prepared for its initial deployment in September 2008.</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Product development costs decreased by $0.3 million, or 20% to $1.4 million in the three months ended July 31, 2009 as compared to $1.7 million in the three months ended July 31, 2008. The decrease in product development costs reflected a decrease in development work related to our 40kW PowerBuoy system. Product development costs were primarily attributable to our efforts to increase the power output of our utility PowerBuoy system, including the 150kW PowerBuoy system. We anticipate that our product development costs related to the planned increase in the output of our utility PowerBuoy system may increase significantly over the next several years and that the amount of these expenditures will not necessarily be affected by the level of revenue generated over that time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Selling, general and administrative costs decreased $0.4 million, or 15%, to $2.2 million for the three months ended July 31, 2009,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 million for the three months ended July 31, 2008. The decrease was primarily attributable to a decrease in consulting expenses related to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efforts during the three months ended July 31, 2009 and a reduction in our share-based compensation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Interest income decreased by $0.2 million, or 48%, to $0.3 million for the three months ended July 31, 2009, compared to $0.5 million for the three months ended July 31, 2008, due to a decrease in cash, cash equivalents and marketable securities. In addition, the average yield decreased to approximately 1.39% during the three months ended July 31, 2009 from approximately 2.19% during the three months ended July 31, 2008.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Other income was $0.5 million for the three months ended July 31, 2009, compared to none for the three months ended July 31, 2008. During the first quarter of fiscal 2010, we settled a claim which we had against a supplier of engineering services, which resulted in a settlement in our favor.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Foreign exchange gain was $0.4 million for the three months ended July 31, 2009, compared to a foreign exchange loss of $24,000 for the three months ended July 31, 2008. The difference was primarily attributable to the relative change in value of the British pound sterling compared to the US dollar during the two periods.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three years ended April 30, 2009, our revenues were $11.4 million, our net losses were $42.6 million and our net cash used in operating activities was $37.8 million. Over that same period, we raised $90.5 million in financing activities, including $89.9 million from the closing of our United States initial public offering on April 30, 2007.</w:t>
      </w:r>
    </w:p>
    <w:p>
      <w:pPr>
        <w:spacing w:after="0" w:line="79"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At July 31, 2009, our total cash, cash equivalents, restricted cash and marketable securities were $80.9 million. Our cash and cash equivalents are highly liquid investments with maturities of three months or less at the date of purchase and consist primarily of term deposits with large commercial banks, Treasury bills and an investment in a money market fund. Our marketable securities classified as current assets consist primarily of certificates of deposit and Treasury bills with fixed initial maturity dates of more than 90 days but which mature in less than one year from the balance sheet date, and other investments with current maturities of less than one year. Marketable securities classified as noncurrent assets consist primarily of Treasury notes with maturities in excess of one year from the balance sheet date.</w:t>
      </w:r>
    </w:p>
    <w:p>
      <w:pPr>
        <w:spacing w:after="0" w:line="85"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primary drivers of our cash flows have been our ability to generate revenues and decrease losses related to our contracts, as well as our ability to obtain and invest the capital resources needed to fund our development.</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Net cash used in operating activities was $2.5 million for the three months ended July 31, 2009 and $4.2 million for the three months ended July 31, 2008. The change was primarily the result of a decrease in net loss of $1.8 million. The decrease in net loss was offset by an increase in operating assets and liabilities of $0.4 million and a decrease in non-cash operating activities of $0.5 million.</w:t>
      </w:r>
    </w:p>
    <w:p>
      <w:pPr>
        <w:spacing w:after="0" w:line="73" w:lineRule="exact"/>
        <w:rPr>
          <w:sz w:val="20"/>
          <w:szCs w:val="20"/>
          <w:color w:val="auto"/>
        </w:rPr>
      </w:pPr>
    </w:p>
    <w:p>
      <w:pPr>
        <w:jc w:val="both"/>
        <w:ind w:right="420" w:firstLine="225"/>
        <w:spacing w:after="0" w:line="279" w:lineRule="auto"/>
        <w:rPr>
          <w:sz w:val="20"/>
          <w:szCs w:val="20"/>
          <w:color w:val="auto"/>
        </w:rPr>
      </w:pPr>
      <w:r>
        <w:rPr>
          <w:rFonts w:ascii="Arial" w:cs="Arial" w:eastAsia="Arial" w:hAnsi="Arial"/>
          <w:sz w:val="17"/>
          <w:szCs w:val="17"/>
          <w:color w:val="auto"/>
        </w:rPr>
        <w:t>Net cash used in investing activities was $5.3 million for the three months ended July 31, 2009 and $10.9 million for the three months ended July 31, 2008. The change was primarily the result of a net increase in purchases of securities with maturities longer than 90 days during the three months ended July 31, 2009. Also, there was a $0.1 million decrease in purchases of equipment during the three months ended July 31, 2009 as compared to the three months ended July 31, 2008 and additional restricted cash of $0.3 million in the three months ended July 31, 2009.</w:t>
      </w:r>
    </w:p>
    <w:p>
      <w:pPr>
        <w:spacing w:after="0" w:line="63"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Net cash used in financing activities was $93,000 for the three months ended July 31, 2009, compared to net cash used in financing activities of $43,000 for the three months ended July 31, 2008.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7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success of our commercial relationships with major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commercial relationships;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believe that our current cash, cash equivalents and marketable securities will be sufficient to meet our anticipated cash needs for working capital and capital expenditures at least through fiscal 2011.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50"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Management estimates that had the average yield on our cash, cash equivalents and marketable securities decreased by 100 basis points, our interest income for the three months ended July 31, 2009 would have decreased by approximately $0.2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63"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63"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We maintain cash accounts that are denominated in British pound sterling, Euros and Australian dollars. These foreign-denominated cash accounts had a balance of $9.9 million as of July 31, 2009, compared to our total cash, cash equivalents, marketable securities and restricted cash account balances of $80.9 million as of July 31, 2009. These foreign currency balances are translated at each month end to our functional currency, the US dollar, and any resulting gain or loss is recognized in our results of operations. If foreign currency exchange rates had fluctuated by 10% as of July 31, 2009, the impact on our foreign exchange gains and losses would have been $1.0 million.</w:t>
      </w:r>
    </w:p>
    <w:p>
      <w:pPr>
        <w:spacing w:after="0" w:line="8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2009 were recorded in Euros, British pound sterling or Australian dollars.</w:t>
      </w:r>
    </w:p>
    <w:p>
      <w:pPr>
        <w:spacing w:after="0" w:line="6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50"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July 31, 2009, our Chief Executive Officer and Chief Financial Officer concluded that our disclosure controls and procedures are effective in timely alerting them to material information relating to the Company required to be included in our periodic SEC filings.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225"/>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2009 that has materially affected, or is reasonably likely to materially affect, our internal control over financial reporting.</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2009.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2009.</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54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 xml:space="preserve"> Use of Proceeds</w:t>
      </w:r>
    </w:p>
    <w:p>
      <w:pPr>
        <w:ind w:firstLine="225"/>
        <w:spacing w:after="0" w:line="255" w:lineRule="auto"/>
        <w:rPr>
          <w:sz w:val="20"/>
          <w:szCs w:val="20"/>
          <w:color w:val="auto"/>
        </w:rPr>
      </w:pPr>
      <w:r>
        <w:rPr>
          <w:rFonts w:ascii="Arial" w:cs="Arial" w:eastAsia="Arial" w:hAnsi="Arial"/>
          <w:sz w:val="18"/>
          <w:szCs w:val="18"/>
          <w:color w:val="auto"/>
        </w:rPr>
        <w:t>On April 30, 2007, we sold 5,000,000 shares of our common stock in our initial public offering in the United States at a price of $20.00 per share, pursuant to a registration statement on Form S-1 (File No. 333-138595), which was declared effective by the SEC on April 24, 2007. The managing underwriters in the offering were UBS Securities LLC, Banc of America Securities LLC, and Bear, Stearns &amp; Co., Inc. The underwriting discounts and commissions and offering expenses payable by us aggregated $10.1 million, resulting in net proceeds to us of $89.9 million. None of the underwriting discounts and commissions or offering costs were incurred or paid to directors or officers of ours or their associates or to persons owning ten percent or more of our common stock or to any affiliates of ours.</w:t>
      </w:r>
    </w:p>
    <w:p>
      <w:pPr>
        <w:spacing w:after="0" w:line="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From the effective date of the registration statement through July 31, 2009, we used $1.0 million to construct demonstration wave power stations, $10.5 million to fund the continued development and commercialization of our PowerBuoy system, $3.3 million to expand our sales and marketing capabilities and $0.6 million to fund the expansion of assembly, test and field service facilities. We have invested the balance of the net proceeds from the offering in marketable securities, in accordance with our investment policy. We have not used any of the net proceeds from the offering to make payments, directly or indirectly, to any director or officer of ours, or any of their associates, to any person owning ten percent or more of our common stock or to any affiliate of ours. There has been no material change in our planned use of the balance of the net proceeds from the offering as described in our final prospectus filed with the SEC pursuant to Rule 424(b) under the Securities Act of 1933.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31.1  Certification of Chief Executive Officer pursuant to Section 302 of the Sarbanes-Oxley Act of 2002</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31.2  Certification of Chief Financial Officer pursuant to Section 302 of the Sarbanes-Oxley Act of 2002</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32.1  Certification of Chief Executive Officer pursuant to Section 906 of the Sarbanes-Oxley Act of 2002</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32.2  Certification of Chief Financial Officer pursuant to Section 906 of the Sarbanes-Oxley Act of 2002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Mark R. Draper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Mark R.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2009</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Charles F. Dunleavy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EXHIBITS INDEX</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31.1  Certification of Chief Executive Officer 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31.2  Certification of Chief Financial Officer pursuant to 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of Chief Executive Officer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of Chief Financial Officer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19"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R. Draper, certify that:</w:t>
      </w:r>
    </w:p>
    <w:p>
      <w:pPr>
        <w:spacing w:after="0" w:line="117"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5"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Draper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2009</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117"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Ocean Power Technologies,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5"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2009</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2009, as filed with the Securities and Exchange Commission on the date hereof (the “Report”), the undersigned, Mark R. Draper, Chief Executive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Draper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Draper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2009</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2009, as filed with the Securities and Exchange Commission on the date hereof (the “Report”), the undersigned, Charles F. Dunleavy, Chief Financial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2019-12-11T03:41:47Z</dcterms:created>
  <dcterms:modified xsi:type="dcterms:W3CDTF">2019-12-11T03:41:47Z</dcterms:modified>
</cp:coreProperties>
</file>