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orm10-q.htm"/>
      <w:bookmarkStart w:id="1" w:name="ksform10q"/>
      <w:bookmarkEnd w:id="0"/>
      <w:bookmarkEnd w:id="1"/>
      <w:r>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05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9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F_edei--DocumentPeriodEndDate_c202"/>
      <w:bookmarkEnd w:id="4"/>
      <w:r>
        <w:rPr>
          <w:rFonts w:ascii="Times New Roman;Times;Serif" w:hAnsi="Times New Roman;Times;Serif"/>
          <w:b/>
          <w:i w:val="false"/>
          <w:caps w:val="false"/>
          <w:smallCaps w:val="false"/>
          <w:sz w:val="20"/>
        </w:rPr>
        <w:t xml:space="preserve">January 31, </w:t>
      </w:r>
      <w:bookmarkStart w:id="5" w:name="xdx_90D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F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______to______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4_edei--EntityFileNumber_c20250501"/>
      <w:bookmarkEnd w:id="7"/>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C_edei--EntityRegistrantName_c2025"/>
      <w:bookmarkEnd w:id="8"/>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15"/>
        <w:gridCol w:w="60"/>
        <w:gridCol w:w="1550"/>
      </w:tblGrid>
      <w:tr>
        <w:trPr/>
        <w:tc>
          <w:tcPr>
            <w:tcW w:w="26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TaxIdentificationNum"/>
            <w:bookmarkEnd w:id="10"/>
            <w:r>
              <w:rPr>
                <w:rFonts w:ascii="Times New Roman;Times;Serif" w:hAnsi="Times New Roman;Times;Serif"/>
                <w:b/>
                <w:i w:val="false"/>
                <w:caps w:val="false"/>
                <w:smallCaps w:val="false"/>
                <w:sz w:val="20"/>
              </w:rPr>
              <w:t>22-2535818</w:t>
            </w:r>
          </w:p>
        </w:tc>
      </w:tr>
      <w:tr>
        <w:trPr/>
        <w:tc>
          <w:tcPr>
            <w:tcW w:w="261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D_edei--EntityAddressAddressLine1_"/>
      <w:bookmarkEnd w:id="11"/>
      <w:r>
        <w:rPr>
          <w:rFonts w:ascii="Times New Roman;Times;Serif" w:hAnsi="Times New Roman;Times;Serif"/>
          <w:b/>
          <w:i w:val="false"/>
          <w:caps w:val="false"/>
          <w:smallCaps w:val="false"/>
          <w:sz w:val="20"/>
        </w:rPr>
        <w:t xml:space="preserve">28 ENGELHARD DRIVE, </w:t>
      </w:r>
      <w:bookmarkStart w:id="12" w:name="xdx_902_edei--EntityAddressAddressLine2_"/>
      <w:bookmarkEnd w:id="12"/>
      <w:r>
        <w:rPr>
          <w:rFonts w:ascii="Times New Roman;Times;Serif" w:hAnsi="Times New Roman;Times;Serif"/>
          <w:b/>
          <w:i w:val="false"/>
          <w:caps w:val="false"/>
          <w:smallCaps w:val="false"/>
          <w:sz w:val="20"/>
        </w:rPr>
        <w:t xml:space="preserve">SUITE B, </w:t>
      </w:r>
      <w:bookmarkStart w:id="13" w:name="xdx_905_edei--EntityAddressCityOrTown_c2"/>
      <w:bookmarkEnd w:id="13"/>
      <w:r>
        <w:rPr>
          <w:rFonts w:ascii="Times New Roman;Times;Serif" w:hAnsi="Times New Roman;Times;Serif"/>
          <w:b/>
          <w:i w:val="false"/>
          <w:caps w:val="false"/>
          <w:smallCaps w:val="false"/>
          <w:sz w:val="20"/>
        </w:rPr>
        <w:t xml:space="preserve">MONROE TOWNSHIP, </w:t>
      </w:r>
      <w:bookmarkStart w:id="14" w:name="xdx_904_edei--EntityAddressStateOrProvin"/>
      <w:bookmarkEnd w:id="14"/>
      <w:r>
        <w:rPr>
          <w:rFonts w:ascii="Times New Roman;Times;Serif" w:hAnsi="Times New Roman;Times;Serif"/>
          <w:b/>
          <w:i w:val="false"/>
          <w:caps w:val="false"/>
          <w:smallCaps w:val="false"/>
          <w:sz w:val="20"/>
        </w:rPr>
        <w:t xml:space="preserve">NJ </w:t>
      </w:r>
      <w:bookmarkStart w:id="15" w:name="xdx_902_edei--EntityAddressPostalZipCode"/>
      <w:bookmarkEnd w:id="15"/>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E_edei--CityAreaCode_c20250501__20"/>
      <w:bookmarkEnd w:id="16"/>
      <w:r>
        <w:rPr>
          <w:rFonts w:ascii="Times New Roman;Times;Serif" w:hAnsi="Times New Roman;Times;Serif"/>
          <w:b/>
          <w:i w:val="false"/>
          <w:caps w:val="false"/>
          <w:smallCaps w:val="false"/>
          <w:sz w:val="20"/>
        </w:rPr>
        <w:t xml:space="preserve">(609) </w:t>
      </w:r>
      <w:bookmarkStart w:id="17" w:name="xdx_900_edei--LocalPhoneNumber_c20250501"/>
      <w:bookmarkEnd w:id="17"/>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3320"/>
        <w:gridCol w:w="60"/>
        <w:gridCol w:w="1535"/>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9_edei--Security12bTitle_c20250501"/>
            <w:bookmarkEnd w:id="18"/>
            <w:r>
              <w:rPr>
                <w:rFonts w:ascii="Times New Roman;Times;Serif" w:hAnsi="Times New Roman;Times;Serif"/>
                <w:sz w:val="20"/>
              </w:rPr>
              <w:t>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50501__2"/>
            <w:bookmarkEnd w:id="19"/>
            <w:r>
              <w:rPr>
                <w:rFonts w:ascii="Times New Roman;Times;Serif" w:hAnsi="Times New Roman;Times;Serif"/>
                <w:sz w:val="20"/>
              </w:rPr>
              <w:t>OPTT</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SecurityExchangeName_c2025"/>
            <w:bookmarkEnd w:id="20"/>
            <w:r>
              <w:rPr>
                <w:rFonts w:ascii="Times New Roman;Times;Serif" w:hAnsi="Times New Roman;Times;Serif"/>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1_edei--Security12bTitle_c20250501"/>
            <w:bookmarkEnd w:id="21"/>
            <w:r>
              <w:rPr>
                <w:rFonts w:ascii="Times New Roman;Times;Serif" w:hAnsi="Times New Roman;Times;Serif"/>
                <w:sz w:val="20"/>
              </w:rPr>
              <w:t>Series A Preferred Stock Purchase Rights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B_edei--NoTradingSymbolFlag_dbT_c2"/>
            <w:bookmarkEnd w:id="22"/>
            <w:r>
              <w:rPr>
                <w:rFonts w:ascii="Times New Roman;Times;Serif" w:hAnsi="Times New Roman;Times;Serif"/>
                <w:sz w:val="20"/>
              </w:rPr>
              <w:t>N/A</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9_edei--SecurityExchangeName_c2025"/>
            <w:bookmarkEnd w:id="23"/>
            <w:r>
              <w:rPr>
                <w:rFonts w:ascii="Times New Roman;Times;Serif" w:hAnsi="Times New Roman;Times;Serif"/>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2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D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2465"/>
        <w:gridCol w:w="1580"/>
        <w:gridCol w:w="1940"/>
        <w:gridCol w:w="2465"/>
      </w:tblGrid>
      <w:tr>
        <w:trPr/>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sz w:val="20"/>
              </w:rPr>
            </w:pPr>
            <w:bookmarkStart w:id="26" w:name="xdx_90A_edei--EntityFilerCategory_c20250"/>
            <w:bookmarkEnd w:id="26"/>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Smaller reporting company </w:t>
            </w:r>
            <w:bookmarkStart w:id="27" w:name="xdx_90F_edei--EntitySmallBusiness_c20250"/>
            <w:bookmarkEnd w:id="27"/>
            <w:r>
              <w:rPr>
                <w:rFonts w:ascii="Times New Roman;Times;Serif" w:hAnsi="Times New Roman;Times;Serif"/>
                <w:sz w:val="20"/>
              </w:rPr>
              <w:t>☒</w:t>
            </w:r>
          </w:p>
        </w:tc>
      </w:tr>
      <w:tr>
        <w:trPr/>
        <w:tc>
          <w:tcPr>
            <w:tcW w:w="246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Emerging growth company </w:t>
            </w:r>
            <w:bookmarkStart w:id="28" w:name="xdx_901_edei--EntityEmergingGrowthCompan"/>
            <w:bookmarkEnd w:id="28"/>
            <w:r>
              <w:rPr>
                <w:rFonts w:ascii="Times New Roman;Times;Serif" w:hAnsi="Times New Roman;Times;Serif"/>
                <w:sz w:val="20"/>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6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13, 2026, the number of outstanding shares of common stock of the registrant was </w:t>
      </w:r>
      <w:bookmarkStart w:id="30" w:name="xdx_902_edei--EntityCommonStockSharesOut"/>
      <w:bookmarkEnd w:id="30"/>
      <w:r>
        <w:rPr>
          <w:rFonts w:ascii="Times New Roman;Times;Serif" w:hAnsi="Times New Roman;Times;Serif"/>
          <w:b w:val="false"/>
          <w:i w:val="false"/>
          <w:caps w:val="false"/>
          <w:smallCaps w:val="false"/>
          <w:sz w:val="20"/>
        </w:rPr>
        <w:t>228,023,439.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ableOfContents"/>
      <w:bookmarkEnd w:id="31"/>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20"/>
        <w:gridCol w:w="60"/>
        <w:gridCol w:w="725"/>
      </w:tblGrid>
      <w:tr>
        <w:trPr/>
        <w:tc>
          <w:tcPr>
            <w:tcW w:w="9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9420"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sz w:val="20"/>
                </w:rPr>
                <w:t>PART I — FINANCIAL INFORMATION</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r>
      <w:tr>
        <w:trPr/>
        <w:tc>
          <w:tcPr>
            <w:tcW w:w="9420" w:type="dxa"/>
            <w:tcBorders/>
            <w:shd w:fill="FFFFFF" w:val="clear"/>
            <w:vAlign w:val="center"/>
          </w:tcPr>
          <w:p>
            <w:pPr>
              <w:pStyle w:val="TableContents"/>
              <w:bidi w:val="0"/>
              <w:spacing w:before="0" w:after="283"/>
              <w:jc w:val="left"/>
              <w:rPr/>
            </w:pPr>
            <w:hyperlink w:anchor="sq_013">
              <w:r>
                <w:rPr>
                  <w:rStyle w:val="InternetLink"/>
                  <w:rFonts w:ascii="Times New Roman;Times;Serif" w:hAnsi="Times New Roman;Times;Serif"/>
                  <w:sz w:val="20"/>
                </w:rPr>
                <w:t>Item 1. Financial Statements: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r>
      <w:tr>
        <w:trPr/>
        <w:tc>
          <w:tcPr>
            <w:tcW w:w="9420" w:type="dxa"/>
            <w:tcBorders/>
            <w:shd w:fill="CCEEFF" w:val="clear"/>
            <w:vAlign w:val="center"/>
          </w:tcPr>
          <w:p>
            <w:pPr>
              <w:pStyle w:val="TableContents"/>
              <w:bidi w:val="0"/>
              <w:spacing w:before="0" w:after="283"/>
              <w:jc w:val="left"/>
              <w:rPr/>
            </w:pPr>
            <w:hyperlink w:anchor="sq_014">
              <w:r>
                <w:rPr>
                  <w:rStyle w:val="InternetLink"/>
                  <w:rFonts w:ascii="Times New Roman;Times;Serif" w:hAnsi="Times New Roman;Times;Serif"/>
                  <w:sz w:val="20"/>
                </w:rPr>
                <w:t>Consolidated Balance Sheets as of January 31, 2026 (unaudited) and April 30, 2025</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420" w:type="dxa"/>
            <w:tcBorders/>
            <w:shd w:fill="FFFFFF" w:val="clear"/>
            <w:vAlign w:val="center"/>
          </w:tcPr>
          <w:p>
            <w:pPr>
              <w:pStyle w:val="TableContents"/>
              <w:bidi w:val="0"/>
              <w:spacing w:before="0" w:after="283"/>
              <w:jc w:val="left"/>
              <w:rPr/>
            </w:pPr>
            <w:hyperlink w:anchor="sq_015">
              <w:r>
                <w:rPr>
                  <w:rStyle w:val="InternetLink"/>
                  <w:rFonts w:ascii="Times New Roman;Times;Serif" w:hAnsi="Times New Roman;Times;Serif"/>
                  <w:sz w:val="20"/>
                </w:rPr>
                <w:t>Unaudited Consolidated Statements of Operations for the three and nine months ended January 31, 2026 and 2025</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420" w:type="dxa"/>
            <w:tcBorders/>
            <w:shd w:fill="CCEEFF" w:val="clear"/>
            <w:vAlign w:val="center"/>
          </w:tcPr>
          <w:p>
            <w:pPr>
              <w:pStyle w:val="TableContents"/>
              <w:bidi w:val="0"/>
              <w:spacing w:before="0" w:after="283"/>
              <w:jc w:val="left"/>
              <w:rPr/>
            </w:pPr>
            <w:hyperlink w:anchor="sq_016">
              <w:r>
                <w:rPr>
                  <w:rStyle w:val="InternetLink"/>
                  <w:rFonts w:ascii="Times New Roman;Times;Serif" w:hAnsi="Times New Roman;Times;Serif"/>
                  <w:sz w:val="20"/>
                </w:rPr>
                <w:t>Unaudited Consolidated Statement of Shareholders’ Equity for the three and nine months ended January 31, 2026 and 2025</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420" w:type="dxa"/>
            <w:tcBorders/>
            <w:shd w:fill="FFFFFF" w:val="clear"/>
            <w:vAlign w:val="center"/>
          </w:tcPr>
          <w:p>
            <w:pPr>
              <w:pStyle w:val="TableContents"/>
              <w:bidi w:val="0"/>
              <w:spacing w:before="0" w:after="283"/>
              <w:jc w:val="left"/>
              <w:rPr/>
            </w:pPr>
            <w:hyperlink w:anchor="sq_017">
              <w:r>
                <w:rPr>
                  <w:rStyle w:val="InternetLink"/>
                  <w:rFonts w:ascii="Times New Roman;Times;Serif" w:hAnsi="Times New Roman;Times;Serif"/>
                  <w:sz w:val="20"/>
                </w:rPr>
                <w:t>Unaudited Consolidated Statements of Cash Flows for the three and nine months ended January 31, 2026 and 2025</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420" w:type="dxa"/>
            <w:tcBorders/>
            <w:shd w:fill="CCEEFF" w:val="clear"/>
            <w:vAlign w:val="center"/>
          </w:tcPr>
          <w:p>
            <w:pPr>
              <w:pStyle w:val="TableContents"/>
              <w:bidi w:val="0"/>
              <w:spacing w:before="0" w:after="283"/>
              <w:jc w:val="left"/>
              <w:rPr/>
            </w:pPr>
            <w:hyperlink w:anchor="sq_018">
              <w:r>
                <w:rPr>
                  <w:rStyle w:val="InternetLink"/>
                  <w:rFonts w:ascii="Times New Roman;Times;Serif" w:hAnsi="Times New Roman;Times;Serif"/>
                  <w:sz w:val="20"/>
                </w:rPr>
                <w:t>Notes to Unaudited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9420"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sz w:val="20"/>
                </w:rPr>
                <w:t>Item 2. 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9420"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9420"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sz w:val="20"/>
                </w:rPr>
                <w:t>Item 4. Controls and Procedures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9420"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sz w:val="20"/>
                </w:rPr>
                <w:t>PART II — OTHER INFORMATION</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r>
      <w:tr>
        <w:trPr/>
        <w:tc>
          <w:tcPr>
            <w:tcW w:w="9420"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sz w:val="20"/>
                </w:rPr>
                <w:t>Item 1. Legal Proceedings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420"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sz w:val="20"/>
                </w:rPr>
                <w:t>Item 1A. Risk Factors</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420"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420"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sz w:val="20"/>
                </w:rPr>
                <w:t>Item 3. 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420"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sz w:val="20"/>
                </w:rPr>
                <w:t>Item 4. Mine Safety Disclosures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420"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sz w:val="20"/>
                </w:rPr>
                <w:t>Item 5. Other Information</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9420"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sz w:val="20"/>
                </w:rPr>
                <w:t>Item 6. Exhibits</w:t>
              </w:r>
            </w:hyperlink>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q_012"/>
      <w:bookmarkEnd w:id="3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sq_013"/>
      <w:bookmarkEnd w:id="3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q_014"/>
      <w:bookmarkEnd w:id="34"/>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1_111_pn3n3_ztTt3YBgsNQ6"/>
      <w:bookmarkStart w:id="36" w:name="xdx_301_111_pn3n3_ztTt3YBgsNQ6"/>
      <w:bookmarkEnd w:id="36"/>
    </w:p>
    <w:tbl>
      <w:tblPr>
        <w:tblW w:w="10205" w:type="dxa"/>
        <w:jc w:val="left"/>
        <w:tblInd w:w="0" w:type="dxa"/>
        <w:tblLayout w:type="fixed"/>
        <w:tblCellMar>
          <w:top w:w="0" w:type="dxa"/>
          <w:left w:w="0" w:type="dxa"/>
          <w:bottom w:w="0" w:type="dxa"/>
          <w:right w:w="0" w:type="dxa"/>
        </w:tblCellMar>
      </w:tblPr>
      <w:tblGrid>
        <w:gridCol w:w="7422"/>
        <w:gridCol w:w="60"/>
        <w:gridCol w:w="220"/>
        <w:gridCol w:w="1081"/>
        <w:gridCol w:w="95"/>
        <w:gridCol w:w="60"/>
        <w:gridCol w:w="159"/>
        <w:gridCol w:w="995"/>
        <w:gridCol w:w="113"/>
      </w:tblGrid>
      <w:tr>
        <w:trPr/>
        <w:tc>
          <w:tcPr>
            <w:tcW w:w="74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 w:name="xdx_49C_20260131_zqWzVdnITvcj"/>
            <w:bookmarkEnd w:id="37"/>
          </w:p>
        </w:tc>
        <w:tc>
          <w:tcPr>
            <w:tcW w:w="13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0_20250430_zJSSGUMoQ4Lj"/>
            <w:bookmarkEnd w:id="38"/>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3" w:type="dxa"/>
            <w:tcBorders/>
            <w:vAlign w:val="center"/>
          </w:tcPr>
          <w:p>
            <w:pPr>
              <w:pStyle w:val="TableContents"/>
              <w:bidi w:val="0"/>
              <w:spacing w:before="0" w:after="283"/>
              <w:jc w:val="left"/>
              <w:rPr/>
            </w:pPr>
            <w:r>
              <w:rPr/>
              <w:t> </w:t>
            </w:r>
          </w:p>
        </w:tc>
      </w:tr>
      <w:tr>
        <w:trPr/>
        <w:tc>
          <w:tcPr>
            <w:tcW w:w="74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39" w:name="xdx_407_eus-gaap--AssetsAbstract_iB_zE3i"/>
            <w:bookmarkEnd w:id="39"/>
          </w:p>
        </w:tc>
      </w:tr>
      <w:tr>
        <w:trPr/>
        <w:tc>
          <w:tcPr>
            <w:tcW w:w="7422"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0" w:name="xdx_409_eus-gaap--AssetsCurrentAbstract_"/>
            <w:bookmarkEnd w:id="40"/>
          </w:p>
        </w:tc>
      </w:tr>
      <w:tr>
        <w:trPr/>
        <w:tc>
          <w:tcPr>
            <w:tcW w:w="742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1" w:name="xdx_40C_eus-gaap--CashAndCashEquivalents"/>
            <w:bookmarkEnd w:id="41"/>
          </w:p>
        </w:tc>
      </w:tr>
      <w:tr>
        <w:trPr/>
        <w:tc>
          <w:tcPr>
            <w:tcW w:w="742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7,056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bookmarkStart w:id="42" w:name="xdx_400_eus-gaap--AccountsReceivableNetC"/>
            <w:bookmarkEnd w:id="42"/>
          </w:p>
        </w:tc>
      </w:tr>
      <w:tr>
        <w:trPr/>
        <w:tc>
          <w:tcPr>
            <w:tcW w:w="742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1,191</w:t>
            </w:r>
          </w:p>
        </w:tc>
        <w:tc>
          <w:tcPr>
            <w:tcW w:w="113" w:type="dxa"/>
            <w:tcBorders/>
            <w:shd w:fill="FFFFFF" w:val="clear"/>
            <w:vAlign w:val="center"/>
          </w:tcPr>
          <w:p>
            <w:pPr>
              <w:pStyle w:val="TableContents"/>
              <w:bidi w:val="0"/>
              <w:spacing w:before="0" w:after="283"/>
              <w:jc w:val="left"/>
              <w:rPr/>
            </w:pPr>
            <w:r>
              <w:rPr/>
              <w:t> </w:t>
            </w:r>
            <w:bookmarkStart w:id="43" w:name="xdx_406_eus-gaap--ContractWithCustomerAs"/>
            <w:bookmarkEnd w:id="43"/>
          </w:p>
        </w:tc>
      </w:tr>
      <w:tr>
        <w:trPr/>
        <w:tc>
          <w:tcPr>
            <w:tcW w:w="7422"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1,088</w:t>
            </w:r>
          </w:p>
        </w:tc>
        <w:tc>
          <w:tcPr>
            <w:tcW w:w="113" w:type="dxa"/>
            <w:tcBorders/>
            <w:shd w:fill="CCEEFF" w:val="clear"/>
            <w:vAlign w:val="center"/>
          </w:tcPr>
          <w:p>
            <w:pPr>
              <w:pStyle w:val="TableContents"/>
              <w:bidi w:val="0"/>
              <w:spacing w:before="0" w:after="283"/>
              <w:jc w:val="left"/>
              <w:rPr/>
            </w:pPr>
            <w:r>
              <w:rPr/>
              <w:t> </w:t>
            </w:r>
            <w:bookmarkStart w:id="44" w:name="xdx_40A_eus-gaap--InventoryNet_i02I_maCz"/>
            <w:bookmarkEnd w:id="44"/>
          </w:p>
        </w:tc>
      </w:tr>
      <w:tr>
        <w:trPr/>
        <w:tc>
          <w:tcPr>
            <w:tcW w:w="7422"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5,237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4,222</w:t>
            </w:r>
          </w:p>
        </w:tc>
        <w:tc>
          <w:tcPr>
            <w:tcW w:w="113" w:type="dxa"/>
            <w:tcBorders/>
            <w:shd w:fill="FFFFFF" w:val="clear"/>
            <w:vAlign w:val="center"/>
          </w:tcPr>
          <w:p>
            <w:pPr>
              <w:pStyle w:val="TableContents"/>
              <w:bidi w:val="0"/>
              <w:spacing w:before="0" w:after="283"/>
              <w:jc w:val="left"/>
              <w:rPr/>
            </w:pPr>
            <w:r>
              <w:rPr/>
              <w:t> </w:t>
            </w:r>
            <w:bookmarkStart w:id="45" w:name="xdx_40A_eus-gaap--OtherAssetsCurrent_i02"/>
            <w:bookmarkEnd w:id="45"/>
          </w:p>
        </w:tc>
      </w:tr>
      <w:tr>
        <w:trPr/>
        <w:tc>
          <w:tcPr>
            <w:tcW w:w="7422"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pPr>
            <w:r>
              <w:rPr/>
              <w:t>1,957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bookmarkStart w:id="46" w:name="xdx_40B_eus-gaap--AssetsCurrent_i02TI_mt"/>
            <w:bookmarkEnd w:id="46"/>
          </w:p>
        </w:tc>
      </w:tr>
      <w:tr>
        <w:trPr/>
        <w:tc>
          <w:tcPr>
            <w:tcW w:w="742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13,616</w:t>
            </w:r>
          </w:p>
        </w:tc>
        <w:tc>
          <w:tcPr>
            <w:tcW w:w="113" w:type="dxa"/>
            <w:tcBorders/>
            <w:shd w:fill="FFFFFF" w:val="clear"/>
            <w:vAlign w:val="center"/>
          </w:tcPr>
          <w:p>
            <w:pPr>
              <w:pStyle w:val="TableContents"/>
              <w:bidi w:val="0"/>
              <w:spacing w:before="0" w:after="283"/>
              <w:jc w:val="left"/>
              <w:rPr/>
            </w:pPr>
            <w:r>
              <w:rPr/>
              <w:t> </w:t>
            </w:r>
            <w:bookmarkStart w:id="47" w:name="xdx_40E_eus-gaap--PropertyPlantAndEquipm"/>
            <w:bookmarkEnd w:id="47"/>
          </w:p>
        </w:tc>
      </w:tr>
      <w:tr>
        <w:trPr/>
        <w:tc>
          <w:tcPr>
            <w:tcW w:w="742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5,797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3,444</w:t>
            </w:r>
          </w:p>
        </w:tc>
        <w:tc>
          <w:tcPr>
            <w:tcW w:w="113" w:type="dxa"/>
            <w:tcBorders/>
            <w:shd w:fill="CCEEFF" w:val="clear"/>
            <w:vAlign w:val="center"/>
          </w:tcPr>
          <w:p>
            <w:pPr>
              <w:pStyle w:val="TableContents"/>
              <w:bidi w:val="0"/>
              <w:spacing w:before="0" w:after="283"/>
              <w:jc w:val="left"/>
              <w:rPr/>
            </w:pPr>
            <w:r>
              <w:rPr/>
              <w:t> </w:t>
            </w:r>
            <w:bookmarkStart w:id="48" w:name="xdx_40A_eus-gaap--IntangibleAssetsNetExc"/>
            <w:bookmarkEnd w:id="48"/>
          </w:p>
        </w:tc>
      </w:tr>
      <w:tr>
        <w:trPr/>
        <w:tc>
          <w:tcPr>
            <w:tcW w:w="7422" w:type="dxa"/>
            <w:tcBorders/>
            <w:shd w:fill="FFFFFF" w:val="clear"/>
            <w:vAlign w:val="center"/>
          </w:tcPr>
          <w:p>
            <w:pPr>
              <w:pStyle w:val="TableContents"/>
              <w:bidi w:val="0"/>
              <w:spacing w:before="0" w:after="283"/>
              <w:jc w:val="left"/>
              <w:rPr/>
            </w:pPr>
            <w:r>
              <w:rPr/>
              <w:t>Intangibles, net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3,390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3,490</w:t>
            </w:r>
          </w:p>
        </w:tc>
        <w:tc>
          <w:tcPr>
            <w:tcW w:w="113" w:type="dxa"/>
            <w:tcBorders/>
            <w:shd w:fill="FFFFFF" w:val="clear"/>
            <w:vAlign w:val="center"/>
          </w:tcPr>
          <w:p>
            <w:pPr>
              <w:pStyle w:val="TableContents"/>
              <w:bidi w:val="0"/>
              <w:spacing w:before="0" w:after="283"/>
              <w:jc w:val="left"/>
              <w:rPr/>
            </w:pPr>
            <w:r>
              <w:rPr/>
              <w:t> </w:t>
            </w:r>
            <w:bookmarkStart w:id="49" w:name="xdx_40A_eus-gaap--OperatingLeaseRightOfU"/>
            <w:bookmarkEnd w:id="49"/>
          </w:p>
        </w:tc>
      </w:tr>
      <w:tr>
        <w:trPr/>
        <w:tc>
          <w:tcPr>
            <w:tcW w:w="7422"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1,552</w:t>
            </w:r>
          </w:p>
        </w:tc>
        <w:tc>
          <w:tcPr>
            <w:tcW w:w="113" w:type="dxa"/>
            <w:tcBorders/>
            <w:shd w:fill="CCEEFF" w:val="clear"/>
            <w:vAlign w:val="center"/>
          </w:tcPr>
          <w:p>
            <w:pPr>
              <w:pStyle w:val="TableContents"/>
              <w:bidi w:val="0"/>
              <w:spacing w:before="0" w:after="283"/>
              <w:jc w:val="left"/>
              <w:rPr/>
            </w:pPr>
            <w:r>
              <w:rPr/>
              <w:t> </w:t>
            </w:r>
            <w:bookmarkStart w:id="50" w:name="xdx_40F_eus-gaap--RestrictedCashNoncurre"/>
            <w:bookmarkEnd w:id="50"/>
          </w:p>
        </w:tc>
      </w:tr>
      <w:tr>
        <w:trPr/>
        <w:tc>
          <w:tcPr>
            <w:tcW w:w="7422" w:type="dxa"/>
            <w:tcBorders/>
            <w:shd w:fill="FFFFFF" w:val="clear"/>
            <w:vAlign w:val="center"/>
          </w:tcPr>
          <w:p>
            <w:pPr>
              <w:pStyle w:val="TableContents"/>
              <w:bidi w:val="0"/>
              <w:spacing w:before="0" w:after="283"/>
              <w:jc w:val="left"/>
              <w:rPr/>
            </w:pPr>
            <w:r>
              <w:rPr/>
              <w:t>Restricted cash, long-term</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154</w:t>
            </w:r>
          </w:p>
        </w:tc>
        <w:tc>
          <w:tcPr>
            <w:tcW w:w="113" w:type="dxa"/>
            <w:tcBorders/>
            <w:shd w:fill="FFFFFF" w:val="clear"/>
            <w:vAlign w:val="center"/>
          </w:tcPr>
          <w:p>
            <w:pPr>
              <w:pStyle w:val="TableContents"/>
              <w:bidi w:val="0"/>
              <w:spacing w:before="0" w:after="283"/>
              <w:jc w:val="left"/>
              <w:rPr/>
            </w:pPr>
            <w:r>
              <w:rPr/>
              <w:t> </w:t>
            </w:r>
            <w:bookmarkStart w:id="51" w:name="xdx_407_eus-gaap--Goodwill_i01I_maCz1tN_"/>
            <w:bookmarkEnd w:id="51"/>
          </w:p>
        </w:tc>
      </w:tr>
      <w:tr>
        <w:trPr/>
        <w:tc>
          <w:tcPr>
            <w:tcW w:w="742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pPr>
            <w:r>
              <w:rPr/>
              <w:t>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8,537</w:t>
            </w:r>
          </w:p>
        </w:tc>
        <w:tc>
          <w:tcPr>
            <w:tcW w:w="113" w:type="dxa"/>
            <w:tcBorders/>
            <w:shd w:fill="CCEEFF" w:val="clear"/>
            <w:vAlign w:val="center"/>
          </w:tcPr>
          <w:p>
            <w:pPr>
              <w:pStyle w:val="TableContents"/>
              <w:bidi w:val="0"/>
              <w:spacing w:before="0" w:after="283"/>
              <w:jc w:val="left"/>
              <w:rPr/>
            </w:pPr>
            <w:r>
              <w:rPr/>
              <w:t> </w:t>
            </w:r>
            <w:bookmarkStart w:id="52" w:name="xdx_406_eus-gaap--Assets_i01TI_mtCz1tN_z"/>
            <w:bookmarkEnd w:id="52"/>
          </w:p>
        </w:tc>
      </w:tr>
      <w:tr>
        <w:trPr/>
        <w:tc>
          <w:tcPr>
            <w:tcW w:w="7422"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pPr>
            <w:r>
              <w:rPr/>
              <w:t>41,138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30,793</w:t>
            </w:r>
          </w:p>
        </w:tc>
        <w:tc>
          <w:tcPr>
            <w:tcW w:w="113" w:type="dxa"/>
            <w:tcBorders/>
            <w:shd w:fill="FFFFFF" w:val="clear"/>
            <w:vAlign w:val="center"/>
          </w:tcPr>
          <w:p>
            <w:pPr>
              <w:pStyle w:val="TableContents"/>
              <w:bidi w:val="0"/>
              <w:spacing w:before="0" w:after="283"/>
              <w:jc w:val="left"/>
              <w:rPr/>
            </w:pPr>
            <w:r>
              <w:rPr/>
              <w:t> </w:t>
            </w:r>
            <w:bookmarkStart w:id="53" w:name="xdx_40C_eus-gaap--LiabilitiesAndStockhol"/>
            <w:bookmarkEnd w:id="53"/>
          </w:p>
        </w:tc>
      </w:tr>
      <w:tr>
        <w:trPr/>
        <w:tc>
          <w:tcPr>
            <w:tcW w:w="7422"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4" w:name="xdx_407_eus-gaap--LiabilitiesCurrentAbst"/>
            <w:bookmarkEnd w:id="54"/>
          </w:p>
        </w:tc>
      </w:tr>
      <w:tr>
        <w:trPr/>
        <w:tc>
          <w:tcPr>
            <w:tcW w:w="742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5" w:name="xdx_40B_eus-gaap--AccountsPayableCurrent"/>
            <w:bookmarkEnd w:id="55"/>
          </w:p>
        </w:tc>
      </w:tr>
      <w:tr>
        <w:trPr/>
        <w:tc>
          <w:tcPr>
            <w:tcW w:w="742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568</w:t>
            </w:r>
          </w:p>
        </w:tc>
        <w:tc>
          <w:tcPr>
            <w:tcW w:w="113" w:type="dxa"/>
            <w:tcBorders/>
            <w:shd w:fill="CCEEFF" w:val="clear"/>
            <w:vAlign w:val="center"/>
          </w:tcPr>
          <w:p>
            <w:pPr>
              <w:pStyle w:val="TableContents"/>
              <w:bidi w:val="0"/>
              <w:spacing w:before="0" w:after="283"/>
              <w:jc w:val="left"/>
              <w:rPr/>
            </w:pPr>
            <w:r>
              <w:rPr/>
              <w:t> </w:t>
            </w:r>
            <w:bookmarkStart w:id="56" w:name="xdx_404_ecustom--EarnOutPayableCurrent_i"/>
            <w:bookmarkEnd w:id="56"/>
          </w:p>
        </w:tc>
      </w:tr>
      <w:tr>
        <w:trPr/>
        <w:tc>
          <w:tcPr>
            <w:tcW w:w="7422" w:type="dxa"/>
            <w:tcBorders/>
            <w:shd w:fill="FFFFFF" w:val="clear"/>
            <w:vAlign w:val="center"/>
          </w:tcPr>
          <w:p>
            <w:pPr>
              <w:pStyle w:val="TableContents"/>
              <w:bidi w:val="0"/>
              <w:spacing w:before="0" w:after="283"/>
              <w:jc w:val="left"/>
              <w:rPr/>
            </w:pPr>
            <w:r>
              <w:rPr/>
              <w:t>Earnout payable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300</w:t>
            </w:r>
          </w:p>
        </w:tc>
        <w:tc>
          <w:tcPr>
            <w:tcW w:w="113" w:type="dxa"/>
            <w:tcBorders/>
            <w:shd w:fill="FFFFFF" w:val="clear"/>
            <w:vAlign w:val="center"/>
          </w:tcPr>
          <w:p>
            <w:pPr>
              <w:pStyle w:val="TableContents"/>
              <w:bidi w:val="0"/>
              <w:spacing w:before="0" w:after="283"/>
              <w:jc w:val="left"/>
              <w:rPr/>
            </w:pPr>
            <w:r>
              <w:rPr/>
              <w:t> </w:t>
            </w:r>
            <w:bookmarkStart w:id="57" w:name="xdx_40D_eus-gaap--ConvertibleNotesPayabl"/>
            <w:bookmarkEnd w:id="57"/>
          </w:p>
        </w:tc>
      </w:tr>
      <w:tr>
        <w:trPr/>
        <w:tc>
          <w:tcPr>
            <w:tcW w:w="7422" w:type="dxa"/>
            <w:tcBorders/>
            <w:shd w:fill="CCEEFF" w:val="clear"/>
            <w:vAlign w:val="center"/>
          </w:tcPr>
          <w:p>
            <w:pPr>
              <w:pStyle w:val="TableContents"/>
              <w:bidi w:val="0"/>
              <w:spacing w:before="0" w:after="283"/>
              <w:jc w:val="left"/>
              <w:rPr/>
            </w:pPr>
            <w:r>
              <w:rPr/>
              <w:t>Convertible notes payable (Note 13)</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6,234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8" w:name="xdx_407_eus-gaap--DerivativeLiabilitiesC"/>
            <w:bookmarkEnd w:id="58"/>
          </w:p>
        </w:tc>
      </w:tr>
      <w:tr>
        <w:trPr/>
        <w:tc>
          <w:tcPr>
            <w:tcW w:w="7422" w:type="dxa"/>
            <w:tcBorders/>
            <w:shd w:fill="FFFFFF" w:val="clear"/>
            <w:vAlign w:val="center"/>
          </w:tcPr>
          <w:p>
            <w:pPr>
              <w:pStyle w:val="TableContents"/>
              <w:bidi w:val="0"/>
              <w:spacing w:before="0" w:after="283"/>
              <w:jc w:val="left"/>
              <w:rPr/>
            </w:pPr>
            <w:r>
              <w:rPr/>
              <w:t>Derivative liability (Note 13)</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9" w:name="xdx_40C_eus-gaap--AccruedLiabilitiesCurr"/>
            <w:bookmarkEnd w:id="59"/>
          </w:p>
        </w:tc>
      </w:tr>
      <w:tr>
        <w:trPr/>
        <w:tc>
          <w:tcPr>
            <w:tcW w:w="742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1,271</w:t>
            </w:r>
          </w:p>
        </w:tc>
        <w:tc>
          <w:tcPr>
            <w:tcW w:w="113" w:type="dxa"/>
            <w:tcBorders/>
            <w:shd w:fill="CCEEFF" w:val="clear"/>
            <w:vAlign w:val="center"/>
          </w:tcPr>
          <w:p>
            <w:pPr>
              <w:pStyle w:val="TableContents"/>
              <w:bidi w:val="0"/>
              <w:spacing w:before="0" w:after="283"/>
              <w:jc w:val="left"/>
              <w:rPr/>
            </w:pPr>
            <w:r>
              <w:rPr/>
              <w:t> </w:t>
            </w:r>
            <w:bookmarkStart w:id="60" w:name="xdx_405_eus-gaap--OperatingLeaseLiabilit"/>
            <w:bookmarkEnd w:id="60"/>
          </w:p>
        </w:tc>
      </w:tr>
      <w:tr>
        <w:trPr/>
        <w:tc>
          <w:tcPr>
            <w:tcW w:w="7422" w:type="dxa"/>
            <w:tcBorders/>
            <w:shd w:fill="FFFFFF" w:val="clear"/>
            <w:vAlign w:val="center"/>
          </w:tcPr>
          <w:p>
            <w:pPr>
              <w:pStyle w:val="TableContents"/>
              <w:bidi w:val="0"/>
              <w:spacing w:before="0" w:after="283"/>
              <w:jc w:val="left"/>
              <w:rPr/>
            </w:pPr>
            <w:r>
              <w:rPr/>
              <w:t>Right-of-use liabilities,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1,150</w:t>
            </w:r>
          </w:p>
        </w:tc>
        <w:tc>
          <w:tcPr>
            <w:tcW w:w="113" w:type="dxa"/>
            <w:tcBorders/>
            <w:shd w:fill="FFFFFF" w:val="clear"/>
            <w:vAlign w:val="center"/>
          </w:tcPr>
          <w:p>
            <w:pPr>
              <w:pStyle w:val="TableContents"/>
              <w:bidi w:val="0"/>
              <w:spacing w:before="0" w:after="283"/>
              <w:jc w:val="left"/>
              <w:rPr/>
            </w:pPr>
            <w:r>
              <w:rPr/>
              <w:t> </w:t>
            </w:r>
            <w:bookmarkStart w:id="61" w:name="xdx_40D_eus-gaap--ContractWithCustomerLi"/>
            <w:bookmarkEnd w:id="61"/>
          </w:p>
        </w:tc>
      </w:tr>
      <w:tr>
        <w:trPr/>
        <w:tc>
          <w:tcPr>
            <w:tcW w:w="7422"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pPr>
            <w:r>
              <w:rPr/>
              <w:t>5,372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62" w:name="xdx_406_eus-gaap--LiabilitiesCurrent_i02"/>
            <w:bookmarkEnd w:id="62"/>
          </w:p>
        </w:tc>
      </w:tr>
      <w:tr>
        <w:trPr/>
        <w:tc>
          <w:tcPr>
            <w:tcW w:w="742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19,697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3,289</w:t>
            </w:r>
          </w:p>
        </w:tc>
        <w:tc>
          <w:tcPr>
            <w:tcW w:w="113" w:type="dxa"/>
            <w:tcBorders/>
            <w:shd w:fill="FFFFFF" w:val="clear"/>
            <w:vAlign w:val="center"/>
          </w:tcPr>
          <w:p>
            <w:pPr>
              <w:pStyle w:val="TableContents"/>
              <w:bidi w:val="0"/>
              <w:spacing w:before="0" w:after="283"/>
              <w:jc w:val="left"/>
              <w:rPr/>
            </w:pPr>
            <w:r>
              <w:rPr/>
              <w:t> </w:t>
            </w:r>
            <w:bookmarkStart w:id="63" w:name="xdx_40A_eus-gaap--DeferredIncomeTaxLiabi"/>
            <w:bookmarkEnd w:id="63"/>
          </w:p>
        </w:tc>
      </w:tr>
      <w:tr>
        <w:trPr/>
        <w:tc>
          <w:tcPr>
            <w:tcW w:w="7422"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203</w:t>
            </w:r>
          </w:p>
        </w:tc>
        <w:tc>
          <w:tcPr>
            <w:tcW w:w="113" w:type="dxa"/>
            <w:tcBorders/>
            <w:shd w:fill="CCEEFF" w:val="clear"/>
            <w:vAlign w:val="center"/>
          </w:tcPr>
          <w:p>
            <w:pPr>
              <w:pStyle w:val="TableContents"/>
              <w:bidi w:val="0"/>
              <w:spacing w:before="0" w:after="283"/>
              <w:jc w:val="left"/>
              <w:rPr/>
            </w:pPr>
            <w:r>
              <w:rPr/>
              <w:t> </w:t>
            </w:r>
            <w:bookmarkStart w:id="64" w:name="xdx_409_eus-gaap--OperatingLeaseLiabilit"/>
            <w:bookmarkEnd w:id="64"/>
          </w:p>
        </w:tc>
      </w:tr>
      <w:tr>
        <w:trPr/>
        <w:tc>
          <w:tcPr>
            <w:tcW w:w="7422" w:type="dxa"/>
            <w:tcBorders/>
            <w:shd w:fill="FFFFFF" w:val="clear"/>
            <w:vAlign w:val="center"/>
          </w:tcPr>
          <w:p>
            <w:pPr>
              <w:pStyle w:val="TableContents"/>
              <w:bidi w:val="0"/>
              <w:spacing w:before="0" w:after="283"/>
              <w:jc w:val="left"/>
              <w:rPr/>
            </w:pPr>
            <w:r>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113" w:type="dxa"/>
            <w:tcBorders/>
            <w:shd w:fill="FFFFFF" w:val="clear"/>
            <w:vAlign w:val="center"/>
          </w:tcPr>
          <w:p>
            <w:pPr>
              <w:pStyle w:val="TableContents"/>
              <w:bidi w:val="0"/>
              <w:spacing w:before="0" w:after="283"/>
              <w:jc w:val="left"/>
              <w:rPr/>
            </w:pPr>
            <w:r>
              <w:rPr/>
              <w:t> </w:t>
            </w:r>
            <w:bookmarkStart w:id="65" w:name="xdx_400_eus-gaap--Liabilities_i01TI_mtCz"/>
            <w:bookmarkEnd w:id="65"/>
          </w:p>
        </w:tc>
      </w:tr>
      <w:tr>
        <w:trPr/>
        <w:tc>
          <w:tcPr>
            <w:tcW w:w="7422"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pPr>
            <w:r>
              <w:rPr/>
              <w:t>21,050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4,141</w:t>
            </w:r>
          </w:p>
        </w:tc>
        <w:tc>
          <w:tcPr>
            <w:tcW w:w="113" w:type="dxa"/>
            <w:tcBorders/>
            <w:shd w:fill="CCEEFF" w:val="clear"/>
            <w:vAlign w:val="center"/>
          </w:tcPr>
          <w:p>
            <w:pPr>
              <w:pStyle w:val="TableContents"/>
              <w:bidi w:val="0"/>
              <w:spacing w:before="0" w:after="283"/>
              <w:jc w:val="left"/>
              <w:rPr/>
            </w:pPr>
            <w:r>
              <w:rPr/>
              <w:t> </w:t>
            </w:r>
            <w:bookmarkStart w:id="66" w:name="xdx_405_eus-gaap--CommitmentsAndContinge"/>
            <w:bookmarkEnd w:id="66"/>
          </w:p>
        </w:tc>
      </w:tr>
      <w:tr>
        <w:trPr/>
        <w:tc>
          <w:tcPr>
            <w:tcW w:w="7422" w:type="dxa"/>
            <w:tcBorders/>
            <w:shd w:fill="FFFFFF" w:val="clear"/>
            <w:vAlign w:val="center"/>
          </w:tcPr>
          <w:p>
            <w:pPr>
              <w:pStyle w:val="TableContents"/>
              <w:bidi w:val="0"/>
              <w:spacing w:before="0" w:after="283"/>
              <w:jc w:val="left"/>
              <w:rPr/>
            </w:pPr>
            <w:r>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67" w:name="xdx_402_eus-gaap--StockholdersEquityAbst"/>
            <w:bookmarkEnd w:id="67"/>
          </w:p>
        </w:tc>
      </w:tr>
      <w:tr>
        <w:trPr/>
        <w:tc>
          <w:tcPr>
            <w:tcW w:w="7422"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8" w:name="xdx_40A_eus-gaap--PreferredStockValue_i0"/>
            <w:bookmarkEnd w:id="68"/>
          </w:p>
        </w:tc>
      </w:tr>
      <w:tr>
        <w:trPr/>
        <w:tc>
          <w:tcPr>
            <w:tcW w:w="7422" w:type="dxa"/>
            <w:tcBorders/>
            <w:shd w:fill="FFFFFF" w:val="clear"/>
            <w:vAlign w:val="center"/>
          </w:tcPr>
          <w:p>
            <w:pPr>
              <w:pStyle w:val="TableContents"/>
              <w:bidi w:val="0"/>
              <w:spacing w:before="0" w:after="283"/>
              <w:jc w:val="left"/>
              <w:rPr/>
            </w:pPr>
            <w:r>
              <w:rPr/>
              <w:t>Preferred stock, $</w:t>
            </w:r>
            <w:bookmarkStart w:id="69" w:name="xdx_904_eus-gaap--PreferredStockParOrSta"/>
            <w:bookmarkStart w:id="70" w:name="xdx_90F_eus-gaap--PreferredStockParOrSta"/>
            <w:bookmarkEnd w:id="69"/>
            <w:bookmarkEnd w:id="70"/>
            <w:r>
              <w:rPr/>
              <w:t xml:space="preserve">0.001 par value; authorized </w:t>
            </w:r>
            <w:bookmarkStart w:id="71" w:name="xdx_90E_eus-gaap--PreferredStockSharesAu"/>
            <w:bookmarkStart w:id="72" w:name="xdx_907_eus-gaap--PreferredStockSharesAu"/>
            <w:bookmarkEnd w:id="71"/>
            <w:bookmarkEnd w:id="72"/>
            <w:r>
              <w:rPr/>
              <w:t xml:space="preserve">5,000,000 shares, </w:t>
            </w:r>
            <w:bookmarkStart w:id="73" w:name="xdx_900_eus-gaap--PreferredStockSharesOu"/>
            <w:bookmarkStart w:id="74" w:name="xdx_90F_eus-gaap--PreferredStockSharesIs"/>
            <w:bookmarkStart w:id="75" w:name="xdx_905_eus-gaap--PreferredStockSharesOu"/>
            <w:bookmarkStart w:id="76" w:name="xdx_90B_eus-gaap--PreferredStockSharesIs"/>
            <w:bookmarkEnd w:id="73"/>
            <w:bookmarkEnd w:id="74"/>
            <w:bookmarkEnd w:id="75"/>
            <w:bookmarkEnd w:id="76"/>
            <w:r>
              <w:rPr/>
              <w:t xml:space="preserve">none issued or outstanding; </w:t>
            </w:r>
            <w:bookmarkStart w:id="77" w:name="xdx_90F_eus-gaap--PreferredStockSharesAu"/>
            <w:bookmarkStart w:id="78" w:name="xdx_902_eus-gaap--PreferredStockSharesAu"/>
            <w:bookmarkEnd w:id="77"/>
            <w:bookmarkEnd w:id="78"/>
            <w:r>
              <w:rPr/>
              <w:t>100,000 designated as Series A</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9" w:name="xdx_40D_eus-gaap--CommonStockValue_i02I_"/>
            <w:bookmarkEnd w:id="79"/>
          </w:p>
        </w:tc>
      </w:tr>
      <w:tr>
        <w:trPr/>
        <w:tc>
          <w:tcPr>
            <w:tcW w:w="7422" w:type="dxa"/>
            <w:tcBorders/>
            <w:shd w:fill="CCEEFF" w:val="clear"/>
            <w:vAlign w:val="center"/>
          </w:tcPr>
          <w:p>
            <w:pPr>
              <w:pStyle w:val="TableContents"/>
              <w:bidi w:val="0"/>
              <w:spacing w:before="0" w:after="283"/>
              <w:jc w:val="left"/>
              <w:rPr/>
            </w:pPr>
            <w:r>
              <w:rPr/>
              <w:t>Common stock, $</w:t>
            </w:r>
            <w:bookmarkStart w:id="80" w:name="xdx_906_eus-gaap--CommonStockParOrStated"/>
            <w:bookmarkStart w:id="81" w:name="xdx_905_eus-gaap--CommonStockParOrStated"/>
            <w:bookmarkEnd w:id="80"/>
            <w:bookmarkEnd w:id="81"/>
            <w:r>
              <w:rPr/>
              <w:t xml:space="preserve">0.001 par value; authorized </w:t>
            </w:r>
            <w:bookmarkStart w:id="82" w:name="xdx_90E_eus-gaap--CommonStockSharesAutho"/>
            <w:bookmarkStart w:id="83" w:name="xdx_901_eus-gaap--CommonStockSharesAutho"/>
            <w:bookmarkEnd w:id="82"/>
            <w:bookmarkEnd w:id="83"/>
            <w:r>
              <w:rPr/>
              <w:t xml:space="preserve">300,000,000 shares, issued </w:t>
            </w:r>
            <w:bookmarkStart w:id="84" w:name="xdx_90E_eus-gaap--CommonStockSharesIssue"/>
            <w:bookmarkEnd w:id="84"/>
            <w:r>
              <w:rPr/>
              <w:t xml:space="preserve">218,789,721 shares and </w:t>
            </w:r>
            <w:bookmarkStart w:id="85" w:name="xdx_90B_eus-gaap--CommonStockSharesIssue"/>
            <w:bookmarkEnd w:id="85"/>
            <w:r>
              <w:rPr/>
              <w:t xml:space="preserve">172,050,563 shares, respectively; outstanding </w:t>
            </w:r>
            <w:bookmarkStart w:id="86" w:name="xdx_901_eus-gaap--CommonStockSharesOutst"/>
            <w:bookmarkEnd w:id="86"/>
            <w:r>
              <w:rPr/>
              <w:t xml:space="preserve">216,107,328 shares and </w:t>
            </w:r>
            <w:bookmarkStart w:id="87" w:name="xdx_90F_eus-gaap--CommonStockSharesOutst"/>
            <w:bookmarkEnd w:id="87"/>
            <w:r>
              <w:rPr/>
              <w:t>171,263,086 shares, respectively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172</w:t>
            </w:r>
          </w:p>
        </w:tc>
        <w:tc>
          <w:tcPr>
            <w:tcW w:w="113" w:type="dxa"/>
            <w:tcBorders/>
            <w:shd w:fill="CCEEFF" w:val="clear"/>
            <w:vAlign w:val="center"/>
          </w:tcPr>
          <w:p>
            <w:pPr>
              <w:pStyle w:val="TableContents"/>
              <w:bidi w:val="0"/>
              <w:spacing w:before="0" w:after="283"/>
              <w:jc w:val="left"/>
              <w:rPr/>
            </w:pPr>
            <w:r>
              <w:rPr/>
              <w:t> </w:t>
            </w:r>
            <w:bookmarkStart w:id="88" w:name="xdx_406_eus-gaap--TreasuryStockValue_i02"/>
            <w:bookmarkEnd w:id="88"/>
          </w:p>
        </w:tc>
      </w:tr>
      <w:tr>
        <w:trPr/>
        <w:tc>
          <w:tcPr>
            <w:tcW w:w="7422" w:type="dxa"/>
            <w:tcBorders/>
            <w:shd w:fill="FFFFFF" w:val="clear"/>
            <w:vAlign w:val="center"/>
          </w:tcPr>
          <w:p>
            <w:pPr>
              <w:pStyle w:val="TableContents"/>
              <w:bidi w:val="0"/>
              <w:spacing w:before="0" w:after="283"/>
              <w:jc w:val="left"/>
              <w:rPr/>
            </w:pPr>
            <w:r>
              <w:rPr/>
              <w:t xml:space="preserve">Treasury stock, at cost; </w:t>
            </w:r>
            <w:bookmarkStart w:id="89" w:name="xdx_90D_eus-gaap--TreasuryStockCommonSha"/>
            <w:bookmarkEnd w:id="89"/>
            <w:r>
              <w:rPr/>
              <w:t xml:space="preserve">2,682,393 and </w:t>
            </w:r>
            <w:bookmarkStart w:id="90" w:name="xdx_900_eus-gaap--TreasuryStockCommonSha"/>
            <w:bookmarkEnd w:id="90"/>
            <w:r>
              <w:rPr/>
              <w:t>787,477 shares, respectively</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(1,018</w:t>
            </w:r>
          </w:p>
        </w:tc>
        <w:tc>
          <w:tcPr>
            <w:tcW w:w="113" w:type="dxa"/>
            <w:tcBorders/>
            <w:shd w:fill="FFFFFF" w:val="clear"/>
            <w:vAlign w:val="center"/>
          </w:tcPr>
          <w:p>
            <w:pPr>
              <w:pStyle w:val="TableContents"/>
              <w:bidi w:val="0"/>
              <w:spacing w:before="0" w:after="283"/>
              <w:jc w:val="left"/>
              <w:rPr/>
            </w:pPr>
            <w:r>
              <w:rPr/>
              <w:t>)</w:t>
            </w:r>
            <w:bookmarkStart w:id="91" w:name="xdx_40C_eus-gaap--AdditionalPaidInCapita"/>
            <w:bookmarkEnd w:id="91"/>
          </w:p>
        </w:tc>
      </w:tr>
      <w:tr>
        <w:trPr/>
        <w:tc>
          <w:tcPr>
            <w:tcW w:w="742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380,360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356,588</w:t>
            </w:r>
          </w:p>
        </w:tc>
        <w:tc>
          <w:tcPr>
            <w:tcW w:w="113" w:type="dxa"/>
            <w:tcBorders/>
            <w:shd w:fill="CCEEFF" w:val="clear"/>
            <w:vAlign w:val="center"/>
          </w:tcPr>
          <w:p>
            <w:pPr>
              <w:pStyle w:val="TableContents"/>
              <w:bidi w:val="0"/>
              <w:spacing w:before="0" w:after="283"/>
              <w:jc w:val="left"/>
              <w:rPr/>
            </w:pPr>
            <w:r>
              <w:rPr/>
              <w:t> </w:t>
            </w:r>
            <w:bookmarkStart w:id="92" w:name="xdx_403_eus-gaap--RetainedEarningsAccumu"/>
            <w:bookmarkEnd w:id="92"/>
          </w:p>
        </w:tc>
      </w:tr>
      <w:tr>
        <w:trPr/>
        <w:tc>
          <w:tcPr>
            <w:tcW w:w="742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(358,668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(329,090</w:t>
            </w:r>
          </w:p>
        </w:tc>
        <w:tc>
          <w:tcPr>
            <w:tcW w:w="113" w:type="dxa"/>
            <w:tcBorders/>
            <w:shd w:fill="FFFFFF" w:val="clear"/>
            <w:vAlign w:val="center"/>
          </w:tcPr>
          <w:p>
            <w:pPr>
              <w:pStyle w:val="TableContents"/>
              <w:bidi w:val="0"/>
              <w:spacing w:before="0" w:after="283"/>
              <w:jc w:val="left"/>
              <w:rPr/>
            </w:pPr>
            <w:r>
              <w:rPr/>
              <w:t>)</w:t>
            </w:r>
            <w:bookmarkStart w:id="93" w:name="xdx_408_eus-gaap--AccumulatedOtherCompre"/>
            <w:bookmarkEnd w:id="93"/>
          </w:p>
        </w:tc>
      </w:tr>
      <w:tr>
        <w:trPr/>
        <w:tc>
          <w:tcPr>
            <w:tcW w:w="742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4" w:name="xdx_40C_eus-gaap--StockholdersEquity_i02"/>
            <w:bookmarkEnd w:id="94"/>
          </w:p>
        </w:tc>
      </w:tr>
      <w:tr>
        <w:trPr/>
        <w:tc>
          <w:tcPr>
            <w:tcW w:w="7422"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pPr>
            <w:r>
              <w:rPr/>
              <w:t>20,088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26,652</w:t>
            </w:r>
          </w:p>
        </w:tc>
        <w:tc>
          <w:tcPr>
            <w:tcW w:w="113" w:type="dxa"/>
            <w:tcBorders/>
            <w:shd w:fill="FFFFFF" w:val="clear"/>
            <w:vAlign w:val="center"/>
          </w:tcPr>
          <w:p>
            <w:pPr>
              <w:pStyle w:val="TableContents"/>
              <w:bidi w:val="0"/>
              <w:spacing w:before="0" w:after="283"/>
              <w:jc w:val="left"/>
              <w:rPr/>
            </w:pPr>
            <w:r>
              <w:rPr/>
              <w:t> </w:t>
            </w:r>
            <w:bookmarkStart w:id="95" w:name="xdx_402_eus-gaap--LiabilitiesAndStockhol"/>
            <w:bookmarkEnd w:id="95"/>
          </w:p>
        </w:tc>
      </w:tr>
      <w:tr>
        <w:trPr/>
        <w:tc>
          <w:tcPr>
            <w:tcW w:w="7422"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jc w:val="right"/>
              <w:rPr/>
            </w:pPr>
            <w:r>
              <w:rPr/>
              <w:t>41,138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 w:name="sq_015"/>
      <w:bookmarkEnd w:id="96"/>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 w:name="xdx_30A_113_pn3n3_zGGmp3qi2dPc"/>
      <w:bookmarkStart w:id="98" w:name="xdx_30A_113_pn3n3_zGGmp3qi2dPc"/>
      <w:bookmarkEnd w:id="98"/>
    </w:p>
    <w:tbl>
      <w:tblPr>
        <w:tblW w:w="10205" w:type="dxa"/>
        <w:jc w:val="left"/>
        <w:tblInd w:w="0" w:type="dxa"/>
        <w:tblLayout w:type="fixed"/>
        <w:tblCellMar>
          <w:top w:w="0" w:type="dxa"/>
          <w:left w:w="0" w:type="dxa"/>
          <w:bottom w:w="0" w:type="dxa"/>
          <w:right w:w="0" w:type="dxa"/>
        </w:tblCellMar>
      </w:tblPr>
      <w:tblGrid>
        <w:gridCol w:w="3817"/>
        <w:gridCol w:w="60"/>
        <w:gridCol w:w="148"/>
        <w:gridCol w:w="1296"/>
        <w:gridCol w:w="100"/>
        <w:gridCol w:w="63"/>
        <w:gridCol w:w="148"/>
        <w:gridCol w:w="1296"/>
        <w:gridCol w:w="95"/>
        <w:gridCol w:w="60"/>
        <w:gridCol w:w="146"/>
        <w:gridCol w:w="1276"/>
        <w:gridCol w:w="99"/>
        <w:gridCol w:w="62"/>
        <w:gridCol w:w="146"/>
        <w:gridCol w:w="1276"/>
        <w:gridCol w:w="117"/>
      </w:tblGrid>
      <w:tr>
        <w:trPr/>
        <w:tc>
          <w:tcPr>
            <w:tcW w:w="38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9" w:name="xdx_49D_20251101__20260131_zlCbK7vMNHh2"/>
            <w:bookmarkEnd w:id="99"/>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00" w:name="xdx_494_20241101__20250131_z5IDMfEpwQL3"/>
            <w:bookmarkEnd w:id="100"/>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94_20250501__20260131_zzg9Bmuv7Hb1"/>
            <w:bookmarkEnd w:id="101"/>
          </w:p>
        </w:tc>
        <w:tc>
          <w:tcPr>
            <w:tcW w:w="14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02" w:name="xdx_49A_20240501__20250131_zDTmVMaEPjY4"/>
            <w:bookmarkEnd w:id="102"/>
          </w:p>
        </w:tc>
        <w:tc>
          <w:tcPr>
            <w:tcW w:w="14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7" w:type="dxa"/>
            <w:tcBorders/>
            <w:vAlign w:val="center"/>
          </w:tcPr>
          <w:p>
            <w:pPr>
              <w:pStyle w:val="TableContents"/>
              <w:bidi w:val="0"/>
              <w:spacing w:before="0" w:after="283"/>
              <w:jc w:val="left"/>
              <w:rPr/>
            </w:pPr>
            <w:r>
              <w:rPr/>
              <w:t> </w:t>
            </w:r>
          </w:p>
        </w:tc>
      </w:tr>
      <w:tr>
        <w:trPr/>
        <w:tc>
          <w:tcPr>
            <w:tcW w:w="3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w:t>
            </w:r>
          </w:p>
        </w:tc>
        <w:tc>
          <w:tcPr>
            <w:tcW w:w="117" w:type="dxa"/>
            <w:tcBorders/>
            <w:vAlign w:val="center"/>
          </w:tcPr>
          <w:p>
            <w:pPr>
              <w:pStyle w:val="TableContents"/>
              <w:bidi w:val="0"/>
              <w:spacing w:before="0" w:after="283"/>
              <w:jc w:val="left"/>
              <w:rPr/>
            </w:pPr>
            <w:r>
              <w:rPr/>
              <w:t> </w:t>
            </w:r>
          </w:p>
        </w:tc>
      </w:tr>
      <w:tr>
        <w:trPr/>
        <w:tc>
          <w:tcPr>
            <w:tcW w:w="38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3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bookmarkStart w:id="103" w:name="xdx_40E_eus-gaap--Revenues_maGPzwSO_zIGp"/>
            <w:bookmarkEnd w:id="103"/>
          </w:p>
        </w:tc>
      </w:tr>
      <w:tr>
        <w:trPr/>
        <w:tc>
          <w:tcPr>
            <w:tcW w:w="3817"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513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2,119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4,545</w:t>
            </w:r>
          </w:p>
        </w:tc>
        <w:tc>
          <w:tcPr>
            <w:tcW w:w="117" w:type="dxa"/>
            <w:tcBorders/>
            <w:shd w:fill="CCEEFF" w:val="clear"/>
            <w:vAlign w:val="center"/>
          </w:tcPr>
          <w:p>
            <w:pPr>
              <w:pStyle w:val="TableContents"/>
              <w:bidi w:val="0"/>
              <w:spacing w:before="0" w:after="283"/>
              <w:jc w:val="left"/>
              <w:rPr/>
            </w:pPr>
            <w:r>
              <w:rPr/>
              <w:t> </w:t>
            </w:r>
            <w:bookmarkStart w:id="104" w:name="xdx_40B_eus-gaap--CostOfRevenue_msGPzwSO"/>
            <w:bookmarkEnd w:id="104"/>
          </w:p>
        </w:tc>
      </w:tr>
      <w:tr>
        <w:trPr/>
        <w:tc>
          <w:tcPr>
            <w:tcW w:w="381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1,268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4,277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3,106</w:t>
            </w:r>
          </w:p>
        </w:tc>
        <w:tc>
          <w:tcPr>
            <w:tcW w:w="117" w:type="dxa"/>
            <w:tcBorders/>
            <w:shd w:fill="FFFFFF" w:val="clear"/>
            <w:vAlign w:val="center"/>
          </w:tcPr>
          <w:p>
            <w:pPr>
              <w:pStyle w:val="TableContents"/>
              <w:bidi w:val="0"/>
              <w:spacing w:before="0" w:after="283"/>
              <w:jc w:val="left"/>
              <w:rPr/>
            </w:pPr>
            <w:r>
              <w:rPr/>
              <w:t> </w:t>
            </w:r>
            <w:bookmarkStart w:id="105" w:name="xdx_402_eus-gaap--GrossProfit_iT_mtGPzwS"/>
            <w:bookmarkEnd w:id="105"/>
          </w:p>
        </w:tc>
      </w:tr>
      <w:tr>
        <w:trPr/>
        <w:tc>
          <w:tcPr>
            <w:tcW w:w="3817"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(755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(2,158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1,439</w:t>
            </w:r>
          </w:p>
        </w:tc>
        <w:tc>
          <w:tcPr>
            <w:tcW w:w="117"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06" w:name="xdx_408_eus-gaap--OperatingExpenses_msOI"/>
            <w:bookmarkEnd w:id="106"/>
          </w:p>
        </w:tc>
      </w:tr>
      <w:tr>
        <w:trPr/>
        <w:tc>
          <w:tcPr>
            <w:tcW w:w="381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8,363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24,160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15,702</w:t>
            </w:r>
          </w:p>
        </w:tc>
        <w:tc>
          <w:tcPr>
            <w:tcW w:w="117" w:type="dxa"/>
            <w:tcBorders/>
            <w:shd w:fill="CCEEFF" w:val="clear"/>
            <w:vAlign w:val="center"/>
          </w:tcPr>
          <w:p>
            <w:pPr>
              <w:pStyle w:val="TableContents"/>
              <w:bidi w:val="0"/>
              <w:spacing w:before="0" w:after="283"/>
              <w:jc w:val="left"/>
              <w:rPr/>
            </w:pPr>
            <w:r>
              <w:rPr/>
              <w:t> </w:t>
            </w:r>
            <w:bookmarkStart w:id="107" w:name="xdx_405_eus-gaap--OperatingIncomeLoss_iT"/>
            <w:bookmarkEnd w:id="107"/>
          </w:p>
        </w:tc>
      </w:tr>
      <w:tr>
        <w:trPr/>
        <w:tc>
          <w:tcPr>
            <w:tcW w:w="3817"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(9,118</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(5,875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(26,318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(14,263</w:t>
            </w:r>
          </w:p>
        </w:tc>
        <w:tc>
          <w:tcPr>
            <w:tcW w:w="117" w:type="dxa"/>
            <w:tcBorders/>
            <w:shd w:fill="FFFFFF" w:val="clear"/>
            <w:vAlign w:val="center"/>
          </w:tcPr>
          <w:p>
            <w:pPr>
              <w:pStyle w:val="TableContents"/>
              <w:bidi w:val="0"/>
              <w:spacing w:before="0" w:after="283"/>
              <w:jc w:val="left"/>
              <w:rPr/>
            </w:pPr>
            <w:r>
              <w:rPr/>
              <w:t>)</w:t>
            </w:r>
          </w:p>
        </w:tc>
      </w:tr>
      <w:tr>
        <w:trPr/>
        <w:tc>
          <w:tcPr>
            <w:tcW w:w="3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08" w:name="xdx_405_eus-gaap--InterestIncomeExpenseN"/>
            <w:bookmarkEnd w:id="108"/>
          </w:p>
        </w:tc>
      </w:tr>
      <w:tr>
        <w:trPr/>
        <w:tc>
          <w:tcPr>
            <w:tcW w:w="3817"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(726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(1,600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13</w:t>
            </w:r>
          </w:p>
        </w:tc>
        <w:tc>
          <w:tcPr>
            <w:tcW w:w="117" w:type="dxa"/>
            <w:tcBorders/>
            <w:shd w:fill="FFFFFF" w:val="clear"/>
            <w:vAlign w:val="center"/>
          </w:tcPr>
          <w:p>
            <w:pPr>
              <w:pStyle w:val="TableContents"/>
              <w:bidi w:val="0"/>
              <w:spacing w:before="0" w:after="283"/>
              <w:jc w:val="left"/>
              <w:rPr/>
            </w:pPr>
            <w:r>
              <w:rPr/>
              <w:t> </w:t>
            </w:r>
            <w:bookmarkStart w:id="109" w:name="xdx_406_eus-gaap--OtherNonoperatingIncom"/>
            <w:bookmarkEnd w:id="109"/>
          </w:p>
        </w:tc>
      </w:tr>
      <w:tr>
        <w:trPr/>
        <w:tc>
          <w:tcPr>
            <w:tcW w:w="3817" w:type="dxa"/>
            <w:tcBorders/>
            <w:shd w:fill="CCEEFF" w:val="clear"/>
            <w:vAlign w:val="center"/>
          </w:tcPr>
          <w:p>
            <w:pPr>
              <w:pStyle w:val="TableContents"/>
              <w:bidi w:val="0"/>
              <w:spacing w:before="0" w:after="283"/>
              <w:jc w:val="left"/>
              <w:rPr/>
            </w:pPr>
            <w:r>
              <w:rPr/>
              <w:t>Other income/(expense)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96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w:t>
            </w:r>
          </w:p>
        </w:tc>
        <w:tc>
          <w:tcPr>
            <w:tcW w:w="117" w:type="dxa"/>
            <w:tcBorders/>
            <w:shd w:fill="CCEEFF" w:val="clear"/>
            <w:vAlign w:val="center"/>
          </w:tcPr>
          <w:p>
            <w:pPr>
              <w:pStyle w:val="TableContents"/>
              <w:bidi w:val="0"/>
              <w:spacing w:before="0" w:after="283"/>
              <w:jc w:val="left"/>
              <w:rPr/>
            </w:pPr>
            <w:r>
              <w:rPr/>
              <w:t> </w:t>
            </w:r>
            <w:bookmarkStart w:id="110" w:name="xdx_409_ecustom--ChangeInFairValueOfDeri"/>
            <w:bookmarkEnd w:id="110"/>
          </w:p>
        </w:tc>
      </w:tr>
      <w:tr>
        <w:trPr/>
        <w:tc>
          <w:tcPr>
            <w:tcW w:w="3817"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(1,617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(1,617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11" w:name="xdx_402_eus-gaap--GainsLossesOnExtinguis"/>
            <w:bookmarkEnd w:id="111"/>
          </w:p>
        </w:tc>
      </w:tr>
      <w:tr>
        <w:trPr/>
        <w:tc>
          <w:tcPr>
            <w:tcW w:w="3817"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(838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(838</w:t>
            </w:r>
          </w:p>
        </w:tc>
        <w:tc>
          <w:tcPr>
            <w:tcW w:w="117" w:type="dxa"/>
            <w:tcBorders/>
            <w:shd w:fill="CCEEFF" w:val="clear"/>
            <w:vAlign w:val="center"/>
          </w:tcPr>
          <w:p>
            <w:pPr>
              <w:pStyle w:val="TableContents"/>
              <w:bidi w:val="0"/>
              <w:spacing w:before="0" w:after="283"/>
              <w:jc w:val="left"/>
              <w:rPr/>
            </w:pPr>
            <w:r>
              <w:rPr/>
              <w:t>)</w:t>
            </w:r>
            <w:bookmarkStart w:id="112" w:name="xdx_407_eus-gaap--ForeignCurrencyTransac"/>
            <w:bookmarkEnd w:id="112"/>
          </w:p>
        </w:tc>
      </w:tr>
      <w:tr>
        <w:trPr/>
        <w:tc>
          <w:tcPr>
            <w:tcW w:w="3817"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7" w:type="dxa"/>
            <w:tcBorders/>
            <w:shd w:fill="FFFFFF" w:val="clear"/>
            <w:vAlign w:val="center"/>
          </w:tcPr>
          <w:p>
            <w:pPr>
              <w:pStyle w:val="TableContents"/>
              <w:bidi w:val="0"/>
              <w:spacing w:before="0" w:after="283"/>
              <w:jc w:val="left"/>
              <w:rPr/>
            </w:pPr>
            <w:r>
              <w:rPr/>
              <w:t>)</w:t>
            </w:r>
            <w:bookmarkStart w:id="113" w:name="xdx_40D_eus-gaap--IncomeLossFromContinui"/>
            <w:bookmarkEnd w:id="113"/>
          </w:p>
        </w:tc>
      </w:tr>
      <w:tr>
        <w:trPr/>
        <w:tc>
          <w:tcPr>
            <w:tcW w:w="3817"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(11,366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(6,720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(29,578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(15,085</w:t>
            </w:r>
          </w:p>
        </w:tc>
        <w:tc>
          <w:tcPr>
            <w:tcW w:w="117" w:type="dxa"/>
            <w:tcBorders/>
            <w:shd w:fill="CCEEFF" w:val="clear"/>
            <w:vAlign w:val="center"/>
          </w:tcPr>
          <w:p>
            <w:pPr>
              <w:pStyle w:val="TableContents"/>
              <w:bidi w:val="0"/>
              <w:spacing w:before="0" w:after="283"/>
              <w:jc w:val="left"/>
              <w:rPr/>
            </w:pPr>
            <w:r>
              <w:rPr/>
              <w:t>)</w:t>
            </w:r>
            <w:bookmarkStart w:id="114" w:name="xdx_40B_eus-gaap--IncomeTaxExpenseBenefi"/>
            <w:bookmarkEnd w:id="114"/>
          </w:p>
        </w:tc>
      </w:tr>
      <w:tr>
        <w:trPr/>
        <w:tc>
          <w:tcPr>
            <w:tcW w:w="3817"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15" w:name="xdx_407_eus-gaap--NetIncomeLoss_iT_mtNIL"/>
            <w:bookmarkEnd w:id="115"/>
          </w:p>
        </w:tc>
      </w:tr>
      <w:tr>
        <w:trPr/>
        <w:tc>
          <w:tcPr>
            <w:tcW w:w="381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(11,366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(6,720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(29,578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(15,085</w:t>
            </w:r>
          </w:p>
        </w:tc>
        <w:tc>
          <w:tcPr>
            <w:tcW w:w="117" w:type="dxa"/>
            <w:tcBorders/>
            <w:shd w:fill="CCEEFF" w:val="clear"/>
            <w:vAlign w:val="center"/>
          </w:tcPr>
          <w:p>
            <w:pPr>
              <w:pStyle w:val="TableContents"/>
              <w:bidi w:val="0"/>
              <w:spacing w:before="0" w:after="283"/>
              <w:jc w:val="left"/>
              <w:rPr/>
            </w:pPr>
            <w:r>
              <w:rPr/>
              <w:t>)</w:t>
            </w:r>
          </w:p>
        </w:tc>
      </w:tr>
      <w:tr>
        <w:trPr/>
        <w:tc>
          <w:tcPr>
            <w:tcW w:w="3817"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16" w:name="xdx_903_eus-gaap--EarningsPerShareDilute"/>
            <w:bookmarkStart w:id="117" w:name="xdx_90D_eus-gaap--EarningsPerShareBasic_"/>
            <w:bookmarkEnd w:id="116"/>
            <w:bookmarkEnd w:id="117"/>
            <w:r>
              <w:rPr/>
              <w:t>(0.06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18" w:name="xdx_904_eus-gaap--EarningsPerShareDilute"/>
            <w:bookmarkStart w:id="119" w:name="xdx_90A_eus-gaap--EarningsPerShareBasic_"/>
            <w:bookmarkEnd w:id="118"/>
            <w:bookmarkEnd w:id="119"/>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20" w:name="xdx_904_eus-gaap--EarningsPerShareDilute"/>
            <w:bookmarkStart w:id="121" w:name="xdx_90F_eus-gaap--EarningsPerShareBasic_"/>
            <w:bookmarkEnd w:id="120"/>
            <w:bookmarkEnd w:id="121"/>
            <w:r>
              <w:rPr/>
              <w:t>(0.16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22" w:name="xdx_906_eus-gaap--EarningsPerShareDilute"/>
            <w:bookmarkStart w:id="123" w:name="xdx_904_eus-gaap--EarningsPerShareBasic_"/>
            <w:bookmarkEnd w:id="122"/>
            <w:bookmarkEnd w:id="123"/>
            <w:r>
              <w:rPr/>
              <w:t>(0.13</w:t>
            </w:r>
          </w:p>
        </w:tc>
        <w:tc>
          <w:tcPr>
            <w:tcW w:w="117" w:type="dxa"/>
            <w:tcBorders/>
            <w:shd w:fill="FFFFFF" w:val="clear"/>
            <w:vAlign w:val="center"/>
          </w:tcPr>
          <w:p>
            <w:pPr>
              <w:pStyle w:val="TableContents"/>
              <w:bidi w:val="0"/>
              <w:spacing w:before="0" w:after="283"/>
              <w:jc w:val="left"/>
              <w:rPr/>
            </w:pPr>
            <w:r>
              <w:rPr/>
              <w:t>)</w:t>
            </w:r>
          </w:p>
        </w:tc>
      </w:tr>
      <w:tr>
        <w:trPr/>
        <w:tc>
          <w:tcPr>
            <w:tcW w:w="3817" w:type="dxa"/>
            <w:tcBorders/>
            <w:shd w:fill="CCEEFF" w:val="clear"/>
            <w:vAlign w:val="center"/>
          </w:tcPr>
          <w:p>
            <w:pPr>
              <w:pStyle w:val="TableContents"/>
              <w:bidi w:val="0"/>
              <w:spacing w:before="0" w:after="283"/>
              <w:jc w:val="left"/>
              <w:rPr/>
            </w:pPr>
            <w:r>
              <w:rPr/>
              <w:t>Weighted average shares used to compute basic and diluted 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4" w:name="xdx_900_eus-gaap--WeightedAverageNumberO"/>
            <w:bookmarkStart w:id="125" w:name="xdx_90B_eus-gaap--WeightedAverageNumberO"/>
            <w:bookmarkEnd w:id="124"/>
            <w:bookmarkEnd w:id="125"/>
            <w:r>
              <w:rPr/>
              <w:t>195,499,846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6" w:name="xdx_90F_eus-gaap--WeightedAverageNumberO"/>
            <w:bookmarkStart w:id="127" w:name="xdx_90A_eus-gaap--WeightedAverageNumberO"/>
            <w:bookmarkEnd w:id="126"/>
            <w:bookmarkEnd w:id="127"/>
            <w:r>
              <w:rPr/>
              <w:t>147,543,452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8" w:name="xdx_90D_eus-gaap--WeightedAverageNumberO"/>
            <w:bookmarkStart w:id="129" w:name="xdx_90F_eus-gaap--WeightedAverageNumberO"/>
            <w:bookmarkEnd w:id="128"/>
            <w:bookmarkEnd w:id="129"/>
            <w:r>
              <w:rPr/>
              <w:t>184,009,438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0" w:name="xdx_905_eus-gaap--WeightedAverageNumberO"/>
            <w:bookmarkStart w:id="131" w:name="xdx_90D_eus-gaap--WeightedAverageNumberO"/>
            <w:bookmarkEnd w:id="130"/>
            <w:bookmarkEnd w:id="131"/>
            <w:r>
              <w:rPr/>
              <w:t>112,630,443</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 w:name="sq_016"/>
      <w:bookmarkEnd w:id="132"/>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xdx_307_114_pn3n3_zML910hc8f64"/>
      <w:bookmarkStart w:id="134" w:name="xdx_307_114_pn3n3_zML910hc8f64"/>
      <w:bookmarkEnd w:id="134"/>
    </w:p>
    <w:tbl>
      <w:tblPr>
        <w:tblW w:w="1202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1055"/>
        <w:gridCol w:w="95"/>
        <w:gridCol w:w="60"/>
        <w:gridCol w:w="155"/>
        <w:gridCol w:w="705"/>
        <w:gridCol w:w="95"/>
        <w:gridCol w:w="60"/>
        <w:gridCol w:w="163"/>
        <w:gridCol w:w="937"/>
        <w:gridCol w:w="95"/>
        <w:gridCol w:w="60"/>
        <w:gridCol w:w="188"/>
        <w:gridCol w:w="1182"/>
        <w:gridCol w:w="95"/>
        <w:gridCol w:w="60"/>
        <w:gridCol w:w="561"/>
        <w:gridCol w:w="1049"/>
        <w:gridCol w:w="60"/>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B9_us-gaap--StatementEquityComponen"/>
            <w:bookmarkEnd w:id="13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 w:name="xdx_4B8_us-gaap--StatementEquityComponen"/>
            <w:bookmarkEnd w:id="13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0_us-gaap--StatementEquityComponen"/>
            <w:bookmarkEnd w:id="137"/>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3_us-gaap--StatementEquityComponen"/>
            <w:bookmarkEnd w:id="138"/>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4_us-gaap--StatementEquityComponen"/>
            <w:bookmarkEnd w:id="139"/>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F_z3Lao5dKXRki"/>
            <w:bookmarkEnd w:id="140"/>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1" w:name="xdx_43F_c20250501__20260131_eus-gaap--St"/>
            <w:bookmarkEnd w:id="141"/>
          </w:p>
        </w:tc>
      </w:tr>
      <w:tr>
        <w:trPr/>
        <w:tc>
          <w:tcPr>
            <w:tcW w:w="1340" w:type="dxa"/>
            <w:tcBorders/>
            <w:shd w:fill="CCEEFF" w:val="clear"/>
            <w:vAlign w:val="center"/>
          </w:tcPr>
          <w:p>
            <w:pPr>
              <w:pStyle w:val="TableContents"/>
              <w:bidi w:val="0"/>
              <w:spacing w:before="0" w:after="283"/>
              <w:jc w:val="left"/>
              <w:rPr/>
            </w:pPr>
            <w:r>
              <w:rPr/>
              <w:t>Balance at May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2_eus-gaap--SharesOutstanding_iS_p"/>
            <w:bookmarkEnd w:id="142"/>
          </w:p>
        </w:tc>
        <w:tc>
          <w:tcPr>
            <w:tcW w:w="1220" w:type="dxa"/>
            <w:tcBorders/>
            <w:shd w:fill="CCEEFF" w:val="clear"/>
            <w:vAlign w:val="center"/>
          </w:tcPr>
          <w:p>
            <w:pPr>
              <w:pStyle w:val="TableContents"/>
              <w:bidi w:val="0"/>
              <w:spacing w:before="0" w:after="283"/>
              <w:jc w:val="right"/>
              <w:rPr/>
            </w:pPr>
            <w:r>
              <w:rPr/>
              <w:t>172,050,563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2_eus-gaap--TreasuryStockCommonSha"/>
            <w:bookmarkEnd w:id="143"/>
          </w:p>
        </w:tc>
        <w:tc>
          <w:tcPr>
            <w:tcW w:w="1055" w:type="dxa"/>
            <w:tcBorders/>
            <w:shd w:fill="CCEEFF" w:val="clear"/>
            <w:vAlign w:val="center"/>
          </w:tcPr>
          <w:p>
            <w:pPr>
              <w:pStyle w:val="TableContents"/>
              <w:bidi w:val="0"/>
              <w:spacing w:before="0" w:after="283"/>
              <w:jc w:val="right"/>
              <w:rPr/>
            </w:pPr>
            <w:r>
              <w:rPr/>
              <w:t>(787,477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356,588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(329,090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26,652</w:t>
            </w:r>
          </w:p>
        </w:tc>
        <w:tc>
          <w:tcPr>
            <w:tcW w:w="110" w:type="dxa"/>
            <w:tcBorders/>
            <w:shd w:fill="CCEEFF" w:val="clear"/>
            <w:vAlign w:val="center"/>
          </w:tcPr>
          <w:p>
            <w:pPr>
              <w:pStyle w:val="TableContents"/>
              <w:bidi w:val="0"/>
              <w:spacing w:before="0" w:after="283"/>
              <w:jc w:val="left"/>
              <w:rPr/>
            </w:pPr>
            <w:r>
              <w:rPr/>
              <w:t> </w:t>
            </w:r>
            <w:bookmarkStart w:id="144" w:name="xdx_402_eus-gaap--NetIncomeLoss_zu0EBBlZ"/>
            <w:bookmarkEnd w:id="144"/>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(29,578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(29,578</w:t>
            </w:r>
          </w:p>
        </w:tc>
        <w:tc>
          <w:tcPr>
            <w:tcW w:w="110" w:type="dxa"/>
            <w:tcBorders/>
            <w:shd w:fill="FFFFFF" w:val="clear"/>
            <w:vAlign w:val="center"/>
          </w:tcPr>
          <w:p>
            <w:pPr>
              <w:pStyle w:val="TableContents"/>
              <w:bidi w:val="0"/>
              <w:spacing w:before="0" w:after="283"/>
              <w:jc w:val="left"/>
              <w:rPr/>
            </w:pPr>
            <w:r>
              <w:rPr/>
              <w:t>)</w:t>
            </w:r>
            <w:bookmarkStart w:id="145" w:name="xdx_40D_eus-gaap--AdjustmentsToAdditiona"/>
            <w:bookmarkEnd w:id="145"/>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7,791</w:t>
            </w:r>
          </w:p>
        </w:tc>
        <w:tc>
          <w:tcPr>
            <w:tcW w:w="110" w:type="dxa"/>
            <w:tcBorders/>
            <w:shd w:fill="CCEEFF" w:val="clear"/>
            <w:vAlign w:val="center"/>
          </w:tcPr>
          <w:p>
            <w:pPr>
              <w:pStyle w:val="TableContents"/>
              <w:bidi w:val="0"/>
              <w:spacing w:before="0" w:after="283"/>
              <w:jc w:val="left"/>
              <w:rPr/>
            </w:pPr>
            <w:r>
              <w:rPr/>
              <w:t> </w:t>
            </w:r>
            <w:bookmarkStart w:id="146" w:name="xdx_40F_eus-gaap--StockIssuedDuringPerio"/>
            <w:bookmarkEnd w:id="146"/>
          </w:p>
        </w:tc>
      </w:tr>
      <w:tr>
        <w:trPr/>
        <w:tc>
          <w:tcPr>
            <w:tcW w:w="1340"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7" w:name="xdx_982_eus-gaap--StockIssuedDuringPerio"/>
            <w:bookmarkEnd w:id="147"/>
          </w:p>
        </w:tc>
        <w:tc>
          <w:tcPr>
            <w:tcW w:w="1220" w:type="dxa"/>
            <w:tcBorders/>
            <w:shd w:fill="FFFFFF" w:val="clear"/>
            <w:vAlign w:val="center"/>
          </w:tcPr>
          <w:p>
            <w:pPr>
              <w:pStyle w:val="TableContents"/>
              <w:bidi w:val="0"/>
              <w:spacing w:before="0" w:after="283"/>
              <w:jc w:val="right"/>
              <w:rPr/>
            </w:pPr>
            <w:r>
              <w:rPr/>
              <w:t>7,670,221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8" w:name="xdx_40E_eus-gaap--StockIssuedDuringPerio"/>
            <w:bookmarkEnd w:id="148"/>
          </w:p>
        </w:tc>
      </w:tr>
      <w:tr>
        <w:trPr/>
        <w:tc>
          <w:tcPr>
            <w:tcW w:w="1340" w:type="dxa"/>
            <w:tcBorders/>
            <w:shd w:fill="CCEEFF" w:val="clear"/>
            <w:vAlign w:val="center"/>
          </w:tcPr>
          <w:p>
            <w:pPr>
              <w:pStyle w:val="TableContents"/>
              <w:bidi w:val="0"/>
              <w:spacing w:before="0" w:after="283"/>
              <w:jc w:val="left"/>
              <w:rPr/>
            </w:pPr>
            <w:r>
              <w:rPr/>
              <w:t>Issuance of common stock –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9_eus-gaap--StockIssuedDuringPerio"/>
            <w:bookmarkEnd w:id="149"/>
          </w:p>
        </w:tc>
        <w:tc>
          <w:tcPr>
            <w:tcW w:w="1220" w:type="dxa"/>
            <w:tcBorders/>
            <w:shd w:fill="CCEEFF" w:val="clear"/>
            <w:vAlign w:val="center"/>
          </w:tcPr>
          <w:p>
            <w:pPr>
              <w:pStyle w:val="TableContents"/>
              <w:bidi w:val="0"/>
              <w:spacing w:before="0" w:after="283"/>
              <w:jc w:val="right"/>
              <w:rPr/>
            </w:pPr>
            <w:r>
              <w:rPr/>
              <w:t>10,812,551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5,180</w:t>
            </w:r>
          </w:p>
        </w:tc>
        <w:tc>
          <w:tcPr>
            <w:tcW w:w="110" w:type="dxa"/>
            <w:tcBorders/>
            <w:shd w:fill="CCEEFF" w:val="clear"/>
            <w:vAlign w:val="center"/>
          </w:tcPr>
          <w:p>
            <w:pPr>
              <w:pStyle w:val="TableContents"/>
              <w:bidi w:val="0"/>
              <w:spacing w:before="0" w:after="283"/>
              <w:jc w:val="left"/>
              <w:rPr/>
            </w:pPr>
            <w:r>
              <w:rPr/>
              <w:t> </w:t>
            </w:r>
            <w:bookmarkStart w:id="150" w:name="xdx_405_eus-gaap--StockIssuedDuringPerio"/>
            <w:bookmarkEnd w:id="150"/>
          </w:p>
        </w:tc>
      </w:tr>
      <w:tr>
        <w:trPr/>
        <w:tc>
          <w:tcPr>
            <w:tcW w:w="1340" w:type="dxa"/>
            <w:tcBorders/>
            <w:shd w:fill="FFFFFF" w:val="clear"/>
            <w:vAlign w:val="center"/>
          </w:tcPr>
          <w:p>
            <w:pPr>
              <w:pStyle w:val="TableContents"/>
              <w:bidi w:val="0"/>
              <w:spacing w:before="0" w:after="283"/>
              <w:jc w:val="left"/>
              <w:rPr/>
            </w:pPr>
            <w:r>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1" w:name="xdx_98D_eus-gaap--StockIssuedDuringPerio"/>
            <w:bookmarkEnd w:id="151"/>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28,256,386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10,820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10,848</w:t>
            </w:r>
          </w:p>
        </w:tc>
        <w:tc>
          <w:tcPr>
            <w:tcW w:w="110" w:type="dxa"/>
            <w:tcBorders/>
            <w:shd w:fill="FFFFFF" w:val="clear"/>
            <w:vAlign w:val="center"/>
          </w:tcPr>
          <w:p>
            <w:pPr>
              <w:pStyle w:val="TableContents"/>
              <w:bidi w:val="0"/>
              <w:spacing w:before="0" w:after="283"/>
              <w:jc w:val="left"/>
              <w:rPr/>
            </w:pPr>
            <w:r>
              <w:rPr/>
              <w:t> </w:t>
            </w:r>
            <w:bookmarkStart w:id="152" w:name="xdx_405_ecustom--StockIssuedDuringPeriod"/>
            <w:bookmarkEnd w:id="152"/>
          </w:p>
        </w:tc>
      </w:tr>
      <w:tr>
        <w:trPr/>
        <w:tc>
          <w:tcPr>
            <w:tcW w:w="134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3" w:name="xdx_98E_ecustom--StockIssuedDuringPeriod"/>
            <w:bookmarkEnd w:id="153"/>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(1,894,916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(805</w:t>
            </w:r>
          </w:p>
        </w:tc>
        <w:tc>
          <w:tcPr>
            <w:tcW w:w="110" w:type="dxa"/>
            <w:tcBorders/>
            <w:shd w:fill="CCEEFF" w:val="clear"/>
            <w:vAlign w:val="center"/>
          </w:tcPr>
          <w:p>
            <w:pPr>
              <w:pStyle w:val="TableContents"/>
              <w:bidi w:val="0"/>
              <w:spacing w:before="0" w:after="283"/>
              <w:jc w:val="left"/>
              <w:rPr/>
            </w:pPr>
            <w:r>
              <w:rPr/>
              <w:t>)</w:t>
            </w:r>
            <w:bookmarkStart w:id="154" w:name="xdx_438_c20250501__20260131_eus-gaap--St"/>
            <w:bookmarkEnd w:id="154"/>
          </w:p>
        </w:tc>
      </w:tr>
      <w:tr>
        <w:trPr/>
        <w:tc>
          <w:tcPr>
            <w:tcW w:w="1340" w:type="dxa"/>
            <w:tcBorders/>
            <w:shd w:fill="FFFFFF" w:val="clear"/>
            <w:vAlign w:val="center"/>
          </w:tcPr>
          <w:p>
            <w:pPr>
              <w:pStyle w:val="TableContents"/>
              <w:bidi w:val="0"/>
              <w:spacing w:before="0" w:after="283"/>
              <w:jc w:val="left"/>
              <w:rPr/>
            </w:pPr>
            <w:r>
              <w:rPr/>
              <w:t>Balances at January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5" w:name="xdx_984_eus-gaap--SharesOutstanding_iE_p"/>
            <w:bookmarkEnd w:id="155"/>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218,789,721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6" w:name="xdx_987_eus-gaap--TreasuryStockCommonSha"/>
            <w:bookmarkEnd w:id="156"/>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(2,682,393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380,360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(358,668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20,088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84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875"/>
        <w:gridCol w:w="95"/>
        <w:gridCol w:w="60"/>
        <w:gridCol w:w="155"/>
        <w:gridCol w:w="705"/>
        <w:gridCol w:w="95"/>
        <w:gridCol w:w="60"/>
        <w:gridCol w:w="163"/>
        <w:gridCol w:w="937"/>
        <w:gridCol w:w="60"/>
        <w:gridCol w:w="60"/>
        <w:gridCol w:w="188"/>
        <w:gridCol w:w="1182"/>
        <w:gridCol w:w="95"/>
        <w:gridCol w:w="60"/>
        <w:gridCol w:w="474"/>
        <w:gridCol w:w="1136"/>
        <w:gridCol w:w="95"/>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3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7" w:name="xdx_43D_c20240501__20250131_eus-gaap--St"/>
            <w:bookmarkEnd w:id="157"/>
          </w:p>
        </w:tc>
      </w:tr>
      <w:tr>
        <w:trPr/>
        <w:tc>
          <w:tcPr>
            <w:tcW w:w="1340" w:type="dxa"/>
            <w:tcBorders/>
            <w:shd w:fill="CCEEFF" w:val="clear"/>
            <w:vAlign w:val="center"/>
          </w:tcPr>
          <w:p>
            <w:pPr>
              <w:pStyle w:val="TableContents"/>
              <w:bidi w:val="0"/>
              <w:spacing w:before="0" w:after="283"/>
              <w:jc w:val="left"/>
              <w:rPr/>
            </w:pPr>
            <w:r>
              <w:rPr/>
              <w:t>Balance at May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D_eus-gaap--SharesOutstanding_iS_p"/>
            <w:bookmarkEnd w:id="158"/>
          </w:p>
        </w:tc>
        <w:tc>
          <w:tcPr>
            <w:tcW w:w="1220" w:type="dxa"/>
            <w:tcBorders/>
            <w:shd w:fill="CCEEFF" w:val="clear"/>
            <w:vAlign w:val="center"/>
          </w:tcPr>
          <w:p>
            <w:pPr>
              <w:pStyle w:val="TableContents"/>
              <w:bidi w:val="0"/>
              <w:spacing w:before="0" w:after="283"/>
              <w:jc w:val="right"/>
              <w:rPr/>
            </w:pPr>
            <w:r>
              <w:rPr/>
              <w:t>61,352,731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9_eus-gaap--TreasuryStockCommonSha"/>
            <w:bookmarkEnd w:id="159"/>
          </w:p>
        </w:tc>
        <w:tc>
          <w:tcPr>
            <w:tcW w:w="875" w:type="dxa"/>
            <w:tcBorders/>
            <w:shd w:fill="CCEEFF" w:val="clear"/>
            <w:vAlign w:val="center"/>
          </w:tcPr>
          <w:p>
            <w:pPr>
              <w:pStyle w:val="TableContents"/>
              <w:bidi w:val="0"/>
              <w:spacing w:before="0" w:after="283"/>
              <w:jc w:val="right"/>
              <w:rPr/>
            </w:pPr>
            <w:r>
              <w:rPr/>
              <w:t>(88,017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327,276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(307,579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19,344</w:t>
            </w:r>
          </w:p>
        </w:tc>
        <w:tc>
          <w:tcPr>
            <w:tcW w:w="110" w:type="dxa"/>
            <w:tcBorders/>
            <w:shd w:fill="CCEEFF" w:val="clear"/>
            <w:vAlign w:val="center"/>
          </w:tcPr>
          <w:p>
            <w:pPr>
              <w:pStyle w:val="TableContents"/>
              <w:bidi w:val="0"/>
              <w:spacing w:before="0" w:after="283"/>
              <w:jc w:val="left"/>
              <w:rPr/>
            </w:pPr>
            <w:r>
              <w:rPr/>
              <w:t> </w:t>
            </w:r>
            <w:bookmarkStart w:id="160" w:name="xdx_407_eus-gaap--NetIncomeLoss_zWDsrb52"/>
            <w:bookmarkEnd w:id="16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(15,085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(15,085</w:t>
            </w:r>
          </w:p>
        </w:tc>
        <w:tc>
          <w:tcPr>
            <w:tcW w:w="110" w:type="dxa"/>
            <w:tcBorders/>
            <w:shd w:fill="FFFFFF" w:val="clear"/>
            <w:vAlign w:val="center"/>
          </w:tcPr>
          <w:p>
            <w:pPr>
              <w:pStyle w:val="TableContents"/>
              <w:bidi w:val="0"/>
              <w:spacing w:before="0" w:after="283"/>
              <w:jc w:val="left"/>
              <w:rPr/>
            </w:pPr>
            <w:r>
              <w:rPr/>
              <w:t>)</w:t>
            </w:r>
            <w:bookmarkStart w:id="161" w:name="xdx_40D_eus-gaap--AdjustmentsToAdditiona"/>
            <w:bookmarkEnd w:id="161"/>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bookmarkStart w:id="162" w:name="xdx_407_eus-gaap--StockIssuedDuringPerio"/>
            <w:bookmarkEnd w:id="162"/>
          </w:p>
        </w:tc>
      </w:tr>
      <w:tr>
        <w:trPr/>
        <w:tc>
          <w:tcPr>
            <w:tcW w:w="1340"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0_eus-gaap--StockIssuedDuringPerio"/>
            <w:bookmarkEnd w:id="163"/>
          </w:p>
        </w:tc>
        <w:tc>
          <w:tcPr>
            <w:tcW w:w="1220" w:type="dxa"/>
            <w:tcBorders/>
            <w:shd w:fill="FFFFFF" w:val="clear"/>
            <w:vAlign w:val="center"/>
          </w:tcPr>
          <w:p>
            <w:pPr>
              <w:pStyle w:val="TableContents"/>
              <w:bidi w:val="0"/>
              <w:spacing w:before="0" w:after="283"/>
              <w:jc w:val="right"/>
              <w:rPr/>
            </w:pPr>
            <w:r>
              <w:rPr/>
              <w:t>2,864,808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630</w:t>
            </w:r>
          </w:p>
        </w:tc>
        <w:tc>
          <w:tcPr>
            <w:tcW w:w="110" w:type="dxa"/>
            <w:tcBorders/>
            <w:shd w:fill="FFFFFF" w:val="clear"/>
            <w:vAlign w:val="center"/>
          </w:tcPr>
          <w:p>
            <w:pPr>
              <w:pStyle w:val="TableContents"/>
              <w:bidi w:val="0"/>
              <w:spacing w:before="0" w:after="283"/>
              <w:jc w:val="left"/>
              <w:rPr/>
            </w:pPr>
            <w:r>
              <w:rPr/>
              <w:t> </w:t>
            </w:r>
            <w:bookmarkStart w:id="164" w:name="xdx_40F_eus-gaap--StockIssuedDuringPerio"/>
            <w:bookmarkEnd w:id="164"/>
          </w:p>
        </w:tc>
      </w:tr>
      <w:tr>
        <w:trPr/>
        <w:tc>
          <w:tcPr>
            <w:tcW w:w="1340" w:type="dxa"/>
            <w:tcBorders/>
            <w:shd w:fill="CCEEFF" w:val="clear"/>
            <w:vAlign w:val="center"/>
          </w:tcPr>
          <w:p>
            <w:pPr>
              <w:pStyle w:val="TableContents"/>
              <w:bidi w:val="0"/>
              <w:spacing w:before="0" w:after="283"/>
              <w:jc w:val="left"/>
              <w:rPr/>
            </w:pPr>
            <w:r>
              <w:rPr/>
              <w:t>Common stock issued upon vesting of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7_eus-gaap--StockIssuedDuringPerio"/>
            <w:bookmarkEnd w:id="165"/>
          </w:p>
        </w:tc>
        <w:tc>
          <w:tcPr>
            <w:tcW w:w="1220" w:type="dxa"/>
            <w:tcBorders/>
            <w:shd w:fill="CCEEFF" w:val="clear"/>
            <w:vAlign w:val="center"/>
          </w:tcPr>
          <w:p>
            <w:pPr>
              <w:pStyle w:val="TableContents"/>
              <w:bidi w:val="0"/>
              <w:spacing w:before="0" w:after="283"/>
              <w:jc w:val="right"/>
              <w:rPr/>
            </w:pPr>
            <w:r>
              <w:rPr/>
              <w:t>2,964,209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166" w:name="xdx_405_ecustom--StockIssuedDuringPeriod"/>
            <w:bookmarkEnd w:id="166"/>
          </w:p>
        </w:tc>
      </w:tr>
      <w:tr>
        <w:trPr/>
        <w:tc>
          <w:tcPr>
            <w:tcW w:w="1340" w:type="dxa"/>
            <w:tcBorders/>
            <w:shd w:fill="FFFFFF" w:val="clear"/>
            <w:vAlign w:val="center"/>
          </w:tcPr>
          <w:p>
            <w:pPr>
              <w:pStyle w:val="TableContents"/>
              <w:bidi w:val="0"/>
              <w:spacing w:before="0" w:after="283"/>
              <w:jc w:val="left"/>
              <w:rPr/>
            </w:pPr>
            <w:r>
              <w:rPr/>
              <w:t>Issuance of common stock – AGP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3_ecustom--StockIssuedDuringPeriod"/>
            <w:bookmarkEnd w:id="167"/>
          </w:p>
        </w:tc>
        <w:tc>
          <w:tcPr>
            <w:tcW w:w="1220" w:type="dxa"/>
            <w:tcBorders/>
            <w:shd w:fill="FFFFFF" w:val="clear"/>
            <w:vAlign w:val="center"/>
          </w:tcPr>
          <w:p>
            <w:pPr>
              <w:pStyle w:val="TableContents"/>
              <w:bidi w:val="0"/>
              <w:spacing w:before="0" w:after="283"/>
              <w:jc w:val="right"/>
              <w:rPr/>
            </w:pPr>
            <w:r>
              <w:rPr/>
              <w:t>66,720,451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16,879</w:t>
            </w:r>
          </w:p>
        </w:tc>
        <w:tc>
          <w:tcPr>
            <w:tcW w:w="110" w:type="dxa"/>
            <w:tcBorders/>
            <w:shd w:fill="FFFFFF" w:val="clear"/>
            <w:vAlign w:val="center"/>
          </w:tcPr>
          <w:p>
            <w:pPr>
              <w:pStyle w:val="TableContents"/>
              <w:bidi w:val="0"/>
              <w:spacing w:before="0" w:after="283"/>
              <w:jc w:val="left"/>
              <w:rPr/>
            </w:pPr>
            <w:r>
              <w:rPr/>
              <w:t> </w:t>
            </w:r>
            <w:bookmarkStart w:id="168" w:name="xdx_40A_ecustom--StockIssuedDuringPeriod"/>
            <w:bookmarkEnd w:id="168"/>
          </w:p>
        </w:tc>
      </w:tr>
      <w:tr>
        <w:trPr/>
        <w:tc>
          <w:tcPr>
            <w:tcW w:w="1340" w:type="dxa"/>
            <w:tcBorders/>
            <w:shd w:fill="CCEEFF" w:val="clear"/>
            <w:vAlign w:val="center"/>
          </w:tcPr>
          <w:p>
            <w:pPr>
              <w:pStyle w:val="TableContents"/>
              <w:bidi w:val="0"/>
              <w:spacing w:before="0" w:after="283"/>
              <w:jc w:val="left"/>
              <w:rPr/>
            </w:pPr>
            <w:r>
              <w:rPr/>
              <w:t>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2_ecustom--StockIssuedDuringPeriod"/>
            <w:bookmarkEnd w:id="169"/>
          </w:p>
        </w:tc>
        <w:tc>
          <w:tcPr>
            <w:tcW w:w="1220" w:type="dxa"/>
            <w:tcBorders/>
            <w:shd w:fill="CCEEFF" w:val="clear"/>
            <w:vAlign w:val="center"/>
          </w:tcPr>
          <w:p>
            <w:pPr>
              <w:pStyle w:val="TableContents"/>
              <w:bidi w:val="0"/>
              <w:spacing w:before="0" w:after="283"/>
              <w:jc w:val="right"/>
              <w:rPr/>
            </w:pPr>
            <w:r>
              <w:rPr/>
              <w:t>21,446,079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2,451</w:t>
            </w:r>
          </w:p>
        </w:tc>
        <w:tc>
          <w:tcPr>
            <w:tcW w:w="110" w:type="dxa"/>
            <w:tcBorders/>
            <w:shd w:fill="CCEEFF" w:val="clear"/>
            <w:vAlign w:val="center"/>
          </w:tcPr>
          <w:p>
            <w:pPr>
              <w:pStyle w:val="TableContents"/>
              <w:bidi w:val="0"/>
              <w:spacing w:before="0" w:after="283"/>
              <w:jc w:val="left"/>
              <w:rPr/>
            </w:pPr>
            <w:r>
              <w:rPr/>
              <w:t> </w:t>
            </w:r>
            <w:bookmarkStart w:id="170" w:name="xdx_405_eus-gaap--StockIssuedDuringPerio"/>
            <w:bookmarkEnd w:id="170"/>
          </w:p>
        </w:tc>
      </w:tr>
      <w:tr>
        <w:trPr/>
        <w:tc>
          <w:tcPr>
            <w:tcW w:w="1340" w:type="dxa"/>
            <w:tcBorders/>
            <w:shd w:fill="FFFFFF" w:val="clear"/>
            <w:vAlign w:val="center"/>
          </w:tcPr>
          <w:p>
            <w:pPr>
              <w:pStyle w:val="TableContents"/>
              <w:bidi w:val="0"/>
              <w:spacing w:before="0" w:after="283"/>
              <w:jc w:val="left"/>
              <w:rPr/>
            </w:pPr>
            <w:r>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C_eus-gaap--StockIssuedDuringPerio"/>
            <w:bookmarkEnd w:id="171"/>
          </w:p>
        </w:tc>
        <w:tc>
          <w:tcPr>
            <w:tcW w:w="1220" w:type="dxa"/>
            <w:tcBorders/>
            <w:shd w:fill="FFFFFF" w:val="clear"/>
            <w:vAlign w:val="center"/>
          </w:tcPr>
          <w:p>
            <w:pPr>
              <w:pStyle w:val="TableContents"/>
              <w:bidi w:val="0"/>
              <w:spacing w:before="0" w:after="283"/>
              <w:jc w:val="right"/>
              <w:rPr/>
            </w:pPr>
            <w:r>
              <w:rPr/>
              <w:t>15,442,429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bookmarkStart w:id="172" w:name="xdx_405_ecustom--StockIssuedDuringPeriod"/>
            <w:bookmarkEnd w:id="172"/>
          </w:p>
        </w:tc>
      </w:tr>
      <w:tr>
        <w:trPr/>
        <w:tc>
          <w:tcPr>
            <w:tcW w:w="134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3" w:name="xdx_98E_ecustom--StockIssuedDuringPeriod"/>
            <w:bookmarkEnd w:id="17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(699,460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(649</w:t>
            </w:r>
          </w:p>
        </w:tc>
        <w:tc>
          <w:tcPr>
            <w:tcW w:w="110" w:type="dxa"/>
            <w:tcBorders/>
            <w:shd w:fill="CCEEFF" w:val="clear"/>
            <w:vAlign w:val="center"/>
          </w:tcPr>
          <w:p>
            <w:pPr>
              <w:pStyle w:val="TableContents"/>
              <w:bidi w:val="0"/>
              <w:spacing w:before="0" w:after="283"/>
              <w:jc w:val="left"/>
              <w:rPr/>
            </w:pPr>
            <w:r>
              <w:rPr/>
              <w:t>)</w:t>
            </w:r>
            <w:bookmarkStart w:id="174" w:name="xdx_43F_c20240501__20250131_eus-gaap--St"/>
            <w:bookmarkEnd w:id="174"/>
          </w:p>
        </w:tc>
      </w:tr>
      <w:tr>
        <w:trPr/>
        <w:tc>
          <w:tcPr>
            <w:tcW w:w="1340" w:type="dxa"/>
            <w:tcBorders/>
            <w:shd w:fill="FFFFFF" w:val="clear"/>
            <w:vAlign w:val="center"/>
          </w:tcPr>
          <w:p>
            <w:pPr>
              <w:pStyle w:val="TableContents"/>
              <w:bidi w:val="0"/>
              <w:spacing w:before="0" w:after="283"/>
              <w:jc w:val="left"/>
              <w:rPr/>
            </w:pPr>
            <w:r>
              <w:rPr/>
              <w:t>Balances at January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5" w:name="xdx_986_eus-gaap--SharesOutstanding_iE_p"/>
            <w:bookmarkEnd w:id="175"/>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170,790,707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7_eus-gaap--TreasuryStockCommonSha"/>
            <w:bookmarkEnd w:id="176"/>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(787,477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352,468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(322,664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28,911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202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1055"/>
        <w:gridCol w:w="95"/>
        <w:gridCol w:w="60"/>
        <w:gridCol w:w="155"/>
        <w:gridCol w:w="705"/>
        <w:gridCol w:w="95"/>
        <w:gridCol w:w="60"/>
        <w:gridCol w:w="163"/>
        <w:gridCol w:w="937"/>
        <w:gridCol w:w="95"/>
        <w:gridCol w:w="60"/>
        <w:gridCol w:w="188"/>
        <w:gridCol w:w="1182"/>
        <w:gridCol w:w="95"/>
        <w:gridCol w:w="60"/>
        <w:gridCol w:w="563"/>
        <w:gridCol w:w="1047"/>
        <w:gridCol w:w="60"/>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7" w:name="xdx_430_c20251101__20260131_eus-gaap--St"/>
            <w:bookmarkEnd w:id="177"/>
          </w:p>
        </w:tc>
      </w:tr>
      <w:tr>
        <w:trPr/>
        <w:tc>
          <w:tcPr>
            <w:tcW w:w="1340" w:type="dxa"/>
            <w:tcBorders/>
            <w:shd w:fill="CCEEFF" w:val="clear"/>
            <w:vAlign w:val="center"/>
          </w:tcPr>
          <w:p>
            <w:pPr>
              <w:pStyle w:val="TableContents"/>
              <w:bidi w:val="0"/>
              <w:spacing w:before="0" w:after="283"/>
              <w:jc w:val="left"/>
              <w:rPr/>
            </w:pPr>
            <w:r>
              <w:rPr/>
              <w:t>Balance at November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6_eus-gaap--SharesOutstanding_iS_p"/>
            <w:bookmarkEnd w:id="178"/>
          </w:p>
        </w:tc>
        <w:tc>
          <w:tcPr>
            <w:tcW w:w="1220" w:type="dxa"/>
            <w:tcBorders/>
            <w:shd w:fill="CCEEFF" w:val="clear"/>
            <w:vAlign w:val="center"/>
          </w:tcPr>
          <w:p>
            <w:pPr>
              <w:pStyle w:val="TableContents"/>
              <w:bidi w:val="0"/>
              <w:spacing w:before="0" w:after="283"/>
              <w:jc w:val="right"/>
              <w:rPr/>
            </w:pPr>
            <w:r>
              <w:rPr/>
              <w:t>189,777,377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2_eus-gaap--TreasuryStockCommonSha"/>
            <w:bookmarkEnd w:id="179"/>
          </w:p>
        </w:tc>
        <w:tc>
          <w:tcPr>
            <w:tcW w:w="1055" w:type="dxa"/>
            <w:tcBorders/>
            <w:shd w:fill="CCEEFF" w:val="clear"/>
            <w:vAlign w:val="center"/>
          </w:tcPr>
          <w:p>
            <w:pPr>
              <w:pStyle w:val="TableContents"/>
              <w:bidi w:val="0"/>
              <w:spacing w:before="0" w:after="283"/>
              <w:jc w:val="right"/>
              <w:rPr/>
            </w:pPr>
            <w:r>
              <w:rPr/>
              <w:t>(787,477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370,429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(347,302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22,299</w:t>
            </w:r>
          </w:p>
        </w:tc>
        <w:tc>
          <w:tcPr>
            <w:tcW w:w="110" w:type="dxa"/>
            <w:tcBorders/>
            <w:shd w:fill="CCEEFF" w:val="clear"/>
            <w:vAlign w:val="center"/>
          </w:tcPr>
          <w:p>
            <w:pPr>
              <w:pStyle w:val="TableContents"/>
              <w:bidi w:val="0"/>
              <w:spacing w:before="0" w:after="283"/>
              <w:jc w:val="left"/>
              <w:rPr/>
            </w:pPr>
            <w:r>
              <w:rPr/>
              <w:t> </w:t>
            </w:r>
            <w:bookmarkStart w:id="180" w:name="xdx_402_eus-gaap--NetIncomeLoss_zwhVleY9"/>
            <w:bookmarkEnd w:id="18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(11,366</w:t>
            </w:r>
          </w:p>
        </w:tc>
        <w:tc>
          <w:tcPr>
            <w:tcW w:w="110" w:type="dxa"/>
            <w:tcBorders/>
            <w:shd w:fill="FFFFFF" w:val="clear"/>
            <w:vAlign w:val="center"/>
          </w:tcPr>
          <w:p>
            <w:pPr>
              <w:pStyle w:val="TableContents"/>
              <w:bidi w:val="0"/>
              <w:spacing w:before="0" w:after="283"/>
              <w:jc w:val="left"/>
              <w:rPr/>
            </w:pPr>
            <w:r>
              <w:rPr/>
              <w:t>)</w:t>
            </w:r>
            <w:bookmarkStart w:id="181" w:name="xdx_40D_eus-gaap--AdjustmentsToAdditiona"/>
            <w:bookmarkEnd w:id="181"/>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2,600</w:t>
            </w:r>
          </w:p>
        </w:tc>
        <w:tc>
          <w:tcPr>
            <w:tcW w:w="110" w:type="dxa"/>
            <w:tcBorders/>
            <w:shd w:fill="CCEEFF" w:val="clear"/>
            <w:vAlign w:val="center"/>
          </w:tcPr>
          <w:p>
            <w:pPr>
              <w:pStyle w:val="TableContents"/>
              <w:bidi w:val="0"/>
              <w:spacing w:before="0" w:after="283"/>
              <w:jc w:val="left"/>
              <w:rPr/>
            </w:pPr>
            <w:r>
              <w:rPr/>
              <w:t> </w:t>
            </w:r>
            <w:bookmarkStart w:id="182" w:name="xdx_40F_eus-gaap--StockIssuedDuringPerio"/>
            <w:bookmarkEnd w:id="182"/>
          </w:p>
        </w:tc>
      </w:tr>
      <w:tr>
        <w:trPr/>
        <w:tc>
          <w:tcPr>
            <w:tcW w:w="1340"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3_eus-gaap--StockIssuedDuringPerio"/>
            <w:bookmarkEnd w:id="183"/>
          </w:p>
        </w:tc>
        <w:tc>
          <w:tcPr>
            <w:tcW w:w="1220" w:type="dxa"/>
            <w:tcBorders/>
            <w:shd w:fill="FFFFFF" w:val="clear"/>
            <w:vAlign w:val="center"/>
          </w:tcPr>
          <w:p>
            <w:pPr>
              <w:pStyle w:val="TableContents"/>
              <w:bidi w:val="0"/>
              <w:spacing w:before="0" w:after="283"/>
              <w:jc w:val="right"/>
              <w:rPr/>
            </w:pPr>
            <w:r>
              <w:rPr/>
              <w:t>7,626,221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4" w:name="xdx_40E_eus-gaap--StockIssuedDuringPerio"/>
            <w:bookmarkEnd w:id="184"/>
          </w:p>
        </w:tc>
      </w:tr>
      <w:tr>
        <w:trPr/>
        <w:tc>
          <w:tcPr>
            <w:tcW w:w="1340" w:type="dxa"/>
            <w:tcBorders/>
            <w:shd w:fill="CCEEFF" w:val="clear"/>
            <w:vAlign w:val="center"/>
          </w:tcPr>
          <w:p>
            <w:pPr>
              <w:pStyle w:val="TableContents"/>
              <w:bidi w:val="0"/>
              <w:spacing w:before="0" w:after="283"/>
              <w:jc w:val="left"/>
              <w:rPr/>
            </w:pPr>
            <w:r>
              <w:rPr/>
              <w:t>Issuance of common stock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B_eus-gaap--StockIssuedDuringPerio"/>
            <w:bookmarkEnd w:id="185"/>
          </w:p>
        </w:tc>
        <w:tc>
          <w:tcPr>
            <w:tcW w:w="1220" w:type="dxa"/>
            <w:tcBorders/>
            <w:shd w:fill="CCEEFF" w:val="clear"/>
            <w:vAlign w:val="center"/>
          </w:tcPr>
          <w:p>
            <w:pPr>
              <w:pStyle w:val="TableContents"/>
              <w:bidi w:val="0"/>
              <w:spacing w:before="0" w:after="283"/>
              <w:jc w:val="right"/>
              <w:rPr/>
            </w:pPr>
            <w:r>
              <w:rPr/>
              <w:t>5,188,349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2,226</w:t>
            </w:r>
          </w:p>
        </w:tc>
        <w:tc>
          <w:tcPr>
            <w:tcW w:w="110" w:type="dxa"/>
            <w:tcBorders/>
            <w:shd w:fill="CCEEFF" w:val="clear"/>
            <w:vAlign w:val="center"/>
          </w:tcPr>
          <w:p>
            <w:pPr>
              <w:pStyle w:val="TableContents"/>
              <w:bidi w:val="0"/>
              <w:spacing w:before="0" w:after="283"/>
              <w:jc w:val="left"/>
              <w:rPr/>
            </w:pPr>
            <w:r>
              <w:rPr/>
              <w:t> </w:t>
            </w:r>
            <w:bookmarkStart w:id="186" w:name="xdx_405_eus-gaap--StockIssuedDuringPerio"/>
            <w:bookmarkEnd w:id="186"/>
          </w:p>
        </w:tc>
      </w:tr>
      <w:tr>
        <w:trPr/>
        <w:tc>
          <w:tcPr>
            <w:tcW w:w="1340" w:type="dxa"/>
            <w:tcBorders/>
            <w:shd w:fill="FFFFFF" w:val="clear"/>
            <w:vAlign w:val="center"/>
          </w:tcPr>
          <w:p>
            <w:pPr>
              <w:pStyle w:val="TableContents"/>
              <w:bidi w:val="0"/>
              <w:spacing w:before="0" w:after="283"/>
              <w:jc w:val="left"/>
              <w:rPr/>
            </w:pPr>
            <w:r>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7" w:name="xdx_98A_eus-gaap--StockIssuedDuringPerio"/>
            <w:bookmarkEnd w:id="187"/>
          </w:p>
        </w:tc>
        <w:tc>
          <w:tcPr>
            <w:tcW w:w="1220" w:type="dxa"/>
            <w:tcBorders/>
            <w:shd w:fill="FFFFFF" w:val="clear"/>
            <w:vAlign w:val="center"/>
          </w:tcPr>
          <w:p>
            <w:pPr>
              <w:pStyle w:val="TableContents"/>
              <w:bidi w:val="0"/>
              <w:spacing w:before="0" w:after="283"/>
              <w:jc w:val="right"/>
              <w:rPr/>
            </w:pPr>
            <w:r>
              <w:rPr/>
              <w:t>16,197,774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5,134</w:t>
            </w:r>
          </w:p>
        </w:tc>
        <w:tc>
          <w:tcPr>
            <w:tcW w:w="110" w:type="dxa"/>
            <w:tcBorders/>
            <w:shd w:fill="FFFFFF" w:val="clear"/>
            <w:vAlign w:val="center"/>
          </w:tcPr>
          <w:p>
            <w:pPr>
              <w:pStyle w:val="TableContents"/>
              <w:bidi w:val="0"/>
              <w:spacing w:before="0" w:after="283"/>
              <w:jc w:val="left"/>
              <w:rPr/>
            </w:pPr>
            <w:r>
              <w:rPr/>
              <w:t> </w:t>
            </w:r>
            <w:bookmarkStart w:id="188" w:name="xdx_405_ecustom--StockIssuedDuringPeriod"/>
            <w:bookmarkEnd w:id="188"/>
          </w:p>
        </w:tc>
      </w:tr>
      <w:tr>
        <w:trPr/>
        <w:tc>
          <w:tcPr>
            <w:tcW w:w="134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9" w:name="xdx_98D_ecustom--StockIssuedDuringPeriod"/>
            <w:bookmarkEnd w:id="18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(1,894,916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(805</w:t>
            </w:r>
          </w:p>
        </w:tc>
        <w:tc>
          <w:tcPr>
            <w:tcW w:w="110" w:type="dxa"/>
            <w:tcBorders/>
            <w:shd w:fill="CCEEFF" w:val="clear"/>
            <w:vAlign w:val="center"/>
          </w:tcPr>
          <w:p>
            <w:pPr>
              <w:pStyle w:val="TableContents"/>
              <w:bidi w:val="0"/>
              <w:spacing w:before="0" w:after="283"/>
              <w:jc w:val="left"/>
              <w:rPr/>
            </w:pPr>
            <w:r>
              <w:rPr/>
              <w:t>)</w:t>
            </w:r>
            <w:bookmarkStart w:id="190" w:name="xdx_435_c20251101__20260131_eus-gaap--St"/>
            <w:bookmarkEnd w:id="190"/>
          </w:p>
        </w:tc>
      </w:tr>
      <w:tr>
        <w:trPr/>
        <w:tc>
          <w:tcPr>
            <w:tcW w:w="1340" w:type="dxa"/>
            <w:tcBorders/>
            <w:shd w:fill="FFFFFF" w:val="clear"/>
            <w:vAlign w:val="center"/>
          </w:tcPr>
          <w:p>
            <w:pPr>
              <w:pStyle w:val="TableContents"/>
              <w:bidi w:val="0"/>
              <w:spacing w:before="0" w:after="283"/>
              <w:jc w:val="left"/>
              <w:rPr/>
            </w:pPr>
            <w:r>
              <w:rPr/>
              <w:t>Balances at January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1" w:name="xdx_989_eus-gaap--SharesOutstanding_iE_p"/>
            <w:bookmarkEnd w:id="19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218,789,721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2" w:name="xdx_98A_eus-gaap--TreasuryStockCommonSha"/>
            <w:bookmarkEnd w:id="19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(2,682,393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380,360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(358,668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20,088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84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875"/>
        <w:gridCol w:w="95"/>
        <w:gridCol w:w="60"/>
        <w:gridCol w:w="155"/>
        <w:gridCol w:w="705"/>
        <w:gridCol w:w="95"/>
        <w:gridCol w:w="60"/>
        <w:gridCol w:w="163"/>
        <w:gridCol w:w="937"/>
        <w:gridCol w:w="60"/>
        <w:gridCol w:w="60"/>
        <w:gridCol w:w="188"/>
        <w:gridCol w:w="1182"/>
        <w:gridCol w:w="95"/>
        <w:gridCol w:w="60"/>
        <w:gridCol w:w="474"/>
        <w:gridCol w:w="1136"/>
        <w:gridCol w:w="95"/>
        <w:gridCol w:w="60"/>
        <w:gridCol w:w="228"/>
        <w:gridCol w:w="111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3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93" w:name="xdx_437_c20241101__20250131_eus-gaap--St"/>
            <w:bookmarkEnd w:id="193"/>
          </w:p>
        </w:tc>
      </w:tr>
      <w:tr>
        <w:trPr/>
        <w:tc>
          <w:tcPr>
            <w:tcW w:w="1340" w:type="dxa"/>
            <w:tcBorders/>
            <w:shd w:fill="CCEEFF" w:val="clear"/>
            <w:vAlign w:val="center"/>
          </w:tcPr>
          <w:p>
            <w:pPr>
              <w:pStyle w:val="TableContents"/>
              <w:bidi w:val="0"/>
              <w:spacing w:before="0" w:after="283"/>
              <w:jc w:val="left"/>
              <w:rPr/>
            </w:pPr>
            <w:r>
              <w:rPr/>
              <w:t>Balance at November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4_eus-gaap--SharesOutstanding_iS_p"/>
            <w:bookmarkEnd w:id="194"/>
          </w:p>
        </w:tc>
        <w:tc>
          <w:tcPr>
            <w:tcW w:w="1220" w:type="dxa"/>
            <w:tcBorders/>
            <w:shd w:fill="CCEEFF" w:val="clear"/>
            <w:vAlign w:val="center"/>
          </w:tcPr>
          <w:p>
            <w:pPr>
              <w:pStyle w:val="TableContents"/>
              <w:bidi w:val="0"/>
              <w:spacing w:before="0" w:after="283"/>
              <w:jc w:val="right"/>
              <w:rPr/>
            </w:pPr>
            <w:r>
              <w:rPr/>
              <w:t>124,683,555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B_eus-gaap--TreasuryStockCommonSha"/>
            <w:bookmarkEnd w:id="195"/>
          </w:p>
        </w:tc>
        <w:tc>
          <w:tcPr>
            <w:tcW w:w="875" w:type="dxa"/>
            <w:tcBorders/>
            <w:shd w:fill="CCEEFF" w:val="clear"/>
            <w:vAlign w:val="center"/>
          </w:tcPr>
          <w:p>
            <w:pPr>
              <w:pStyle w:val="TableContents"/>
              <w:bidi w:val="0"/>
              <w:spacing w:before="0" w:after="283"/>
              <w:jc w:val="right"/>
              <w:rPr/>
            </w:pPr>
            <w:r>
              <w:rPr/>
              <w:t>(88,017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338,352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(315,944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22,119</w:t>
            </w:r>
          </w:p>
        </w:tc>
        <w:tc>
          <w:tcPr>
            <w:tcW w:w="110" w:type="dxa"/>
            <w:tcBorders/>
            <w:shd w:fill="CCEEFF" w:val="clear"/>
            <w:vAlign w:val="center"/>
          </w:tcPr>
          <w:p>
            <w:pPr>
              <w:pStyle w:val="TableContents"/>
              <w:bidi w:val="0"/>
              <w:spacing w:before="0" w:after="283"/>
              <w:jc w:val="left"/>
              <w:rPr/>
            </w:pPr>
            <w:r>
              <w:rPr/>
              <w:t> </w:t>
            </w:r>
            <w:bookmarkStart w:id="196" w:name="xdx_43E_c20241101__20250131_eus-gaap--St"/>
            <w:bookmarkEnd w:id="19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E_eus-gaap--SharesOutstanding_iS_p"/>
            <w:bookmarkEnd w:id="197"/>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124,683,555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F_eus-gaap--TreasuryStockCommonSha"/>
            <w:bookmarkEnd w:id="198"/>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(315,944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22,119</w:t>
            </w:r>
          </w:p>
        </w:tc>
        <w:tc>
          <w:tcPr>
            <w:tcW w:w="110" w:type="dxa"/>
            <w:tcBorders/>
            <w:shd w:fill="CCEEFF" w:val="clear"/>
            <w:vAlign w:val="center"/>
          </w:tcPr>
          <w:p>
            <w:pPr>
              <w:pStyle w:val="TableContents"/>
              <w:bidi w:val="0"/>
              <w:spacing w:before="0" w:after="283"/>
              <w:jc w:val="left"/>
              <w:rPr/>
            </w:pPr>
            <w:r>
              <w:rPr/>
              <w:t> </w:t>
            </w:r>
            <w:bookmarkStart w:id="199" w:name="xdx_402_eus-gaap--NetIncomeLoss_zASnpfVs"/>
            <w:bookmarkEnd w:id="199"/>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(6,720</w:t>
            </w:r>
          </w:p>
        </w:tc>
        <w:tc>
          <w:tcPr>
            <w:tcW w:w="110" w:type="dxa"/>
            <w:tcBorders/>
            <w:shd w:fill="FFFFFF" w:val="clear"/>
            <w:vAlign w:val="center"/>
          </w:tcPr>
          <w:p>
            <w:pPr>
              <w:pStyle w:val="TableContents"/>
              <w:bidi w:val="0"/>
              <w:spacing w:before="0" w:after="283"/>
              <w:jc w:val="left"/>
              <w:rPr/>
            </w:pPr>
            <w:r>
              <w:rPr/>
              <w:t>)</w:t>
            </w:r>
            <w:bookmarkStart w:id="200" w:name="xdx_40D_eus-gaap--AdjustmentsToAdditiona"/>
            <w:bookmarkEnd w:id="200"/>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780</w:t>
            </w:r>
          </w:p>
        </w:tc>
        <w:tc>
          <w:tcPr>
            <w:tcW w:w="110" w:type="dxa"/>
            <w:tcBorders/>
            <w:shd w:fill="CCEEFF" w:val="clear"/>
            <w:vAlign w:val="center"/>
          </w:tcPr>
          <w:p>
            <w:pPr>
              <w:pStyle w:val="TableContents"/>
              <w:bidi w:val="0"/>
              <w:spacing w:before="0" w:after="283"/>
              <w:jc w:val="left"/>
              <w:rPr/>
            </w:pPr>
            <w:r>
              <w:rPr/>
              <w:t> </w:t>
            </w:r>
            <w:bookmarkStart w:id="201" w:name="xdx_407_eus-gaap--StockIssuedDuringPerio"/>
            <w:bookmarkEnd w:id="201"/>
          </w:p>
        </w:tc>
      </w:tr>
      <w:tr>
        <w:trPr/>
        <w:tc>
          <w:tcPr>
            <w:tcW w:w="1340"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2" w:name="xdx_986_eus-gaap--StockIssuedDuringPerio"/>
            <w:bookmarkEnd w:id="202"/>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3" w:name="xdx_40F_eus-gaap--StockIssuedDuringPerio"/>
            <w:bookmarkEnd w:id="203"/>
          </w:p>
        </w:tc>
      </w:tr>
      <w:tr>
        <w:trPr/>
        <w:tc>
          <w:tcPr>
            <w:tcW w:w="1340" w:type="dxa"/>
            <w:tcBorders/>
            <w:shd w:fill="CCEEFF" w:val="clear"/>
            <w:vAlign w:val="center"/>
          </w:tcPr>
          <w:p>
            <w:pPr>
              <w:pStyle w:val="TableContents"/>
              <w:bidi w:val="0"/>
              <w:spacing w:before="0" w:after="283"/>
              <w:jc w:val="left"/>
              <w:rPr/>
            </w:pPr>
            <w:r>
              <w:rPr/>
              <w:t>Common stock issued upon vesting of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6_eus-gaap--StockIssuedDuringPerio"/>
            <w:bookmarkEnd w:id="204"/>
          </w:p>
        </w:tc>
        <w:tc>
          <w:tcPr>
            <w:tcW w:w="1220" w:type="dxa"/>
            <w:tcBorders/>
            <w:shd w:fill="CCEEFF" w:val="clear"/>
            <w:vAlign w:val="center"/>
          </w:tcPr>
          <w:p>
            <w:pPr>
              <w:pStyle w:val="TableContents"/>
              <w:bidi w:val="0"/>
              <w:spacing w:before="0" w:after="283"/>
              <w:jc w:val="right"/>
              <w:rPr/>
            </w:pPr>
            <w:r>
              <w:rPr/>
              <w:t>2,954,209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205" w:name="xdx_405_ecustom--StockIssuedDuringPeriod"/>
            <w:bookmarkEnd w:id="205"/>
          </w:p>
        </w:tc>
      </w:tr>
      <w:tr>
        <w:trPr/>
        <w:tc>
          <w:tcPr>
            <w:tcW w:w="1340" w:type="dxa"/>
            <w:tcBorders/>
            <w:shd w:fill="FFFFFF" w:val="clear"/>
            <w:vAlign w:val="center"/>
          </w:tcPr>
          <w:p>
            <w:pPr>
              <w:pStyle w:val="TableContents"/>
              <w:bidi w:val="0"/>
              <w:spacing w:before="0" w:after="283"/>
              <w:jc w:val="left"/>
              <w:rPr/>
            </w:pPr>
            <w:r>
              <w:rPr/>
              <w:t>Issuance of common stock – AGP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0_ecustom--StockIssuedDuringPeriod"/>
            <w:bookmarkEnd w:id="206"/>
          </w:p>
        </w:tc>
        <w:tc>
          <w:tcPr>
            <w:tcW w:w="1220" w:type="dxa"/>
            <w:tcBorders/>
            <w:shd w:fill="FFFFFF" w:val="clear"/>
            <w:vAlign w:val="center"/>
          </w:tcPr>
          <w:p>
            <w:pPr>
              <w:pStyle w:val="TableContents"/>
              <w:bidi w:val="0"/>
              <w:spacing w:before="0" w:after="283"/>
              <w:jc w:val="right"/>
              <w:rPr/>
            </w:pPr>
            <w:r>
              <w:rPr/>
              <w:t>27,710,514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9,371</w:t>
            </w:r>
          </w:p>
        </w:tc>
        <w:tc>
          <w:tcPr>
            <w:tcW w:w="110" w:type="dxa"/>
            <w:tcBorders/>
            <w:shd w:fill="FFFFFF" w:val="clear"/>
            <w:vAlign w:val="center"/>
          </w:tcPr>
          <w:p>
            <w:pPr>
              <w:pStyle w:val="TableContents"/>
              <w:bidi w:val="0"/>
              <w:spacing w:before="0" w:after="283"/>
              <w:jc w:val="left"/>
              <w:rPr/>
            </w:pPr>
            <w:r>
              <w:rPr/>
              <w:t> </w:t>
            </w:r>
            <w:bookmarkStart w:id="207" w:name="xdx_40A_ecustom--StockIssuedDuringPeriod"/>
            <w:bookmarkEnd w:id="207"/>
          </w:p>
        </w:tc>
      </w:tr>
      <w:tr>
        <w:trPr/>
        <w:tc>
          <w:tcPr>
            <w:tcW w:w="1340" w:type="dxa"/>
            <w:tcBorders/>
            <w:shd w:fill="CCEEFF" w:val="clear"/>
            <w:vAlign w:val="center"/>
          </w:tcPr>
          <w:p>
            <w:pPr>
              <w:pStyle w:val="TableContents"/>
              <w:bidi w:val="0"/>
              <w:spacing w:before="0" w:after="283"/>
              <w:jc w:val="left"/>
              <w:rPr/>
            </w:pPr>
            <w:r>
              <w:rPr/>
              <w:t>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C_ecustom--StockIssuedDuringPeriod"/>
            <w:bookmarkEnd w:id="208"/>
          </w:p>
        </w:tc>
        <w:tc>
          <w:tcPr>
            <w:tcW w:w="1220" w:type="dxa"/>
            <w:tcBorders/>
            <w:shd w:fill="CCEEFF" w:val="clear"/>
            <w:vAlign w:val="center"/>
          </w:tcPr>
          <w:p>
            <w:pPr>
              <w:pStyle w:val="TableContents"/>
              <w:bidi w:val="0"/>
              <w:spacing w:before="0" w:after="283"/>
              <w:jc w:val="right"/>
              <w:rPr/>
            </w:pPr>
            <w:r>
              <w:rPr/>
              <w:t>15,442,429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4,008</w:t>
            </w:r>
          </w:p>
        </w:tc>
        <w:tc>
          <w:tcPr>
            <w:tcW w:w="110" w:type="dxa"/>
            <w:tcBorders/>
            <w:shd w:fill="CCEEFF" w:val="clear"/>
            <w:vAlign w:val="center"/>
          </w:tcPr>
          <w:p>
            <w:pPr>
              <w:pStyle w:val="TableContents"/>
              <w:bidi w:val="0"/>
              <w:spacing w:before="0" w:after="283"/>
              <w:jc w:val="left"/>
              <w:rPr/>
            </w:pPr>
            <w:r>
              <w:rPr/>
              <w:t> </w:t>
            </w:r>
            <w:bookmarkStart w:id="209" w:name="xdx_406_ecustom--StockIssuedDuringPeriod"/>
            <w:bookmarkEnd w:id="209"/>
          </w:p>
        </w:tc>
      </w:tr>
      <w:tr>
        <w:trPr/>
        <w:tc>
          <w:tcPr>
            <w:tcW w:w="1340" w:type="dxa"/>
            <w:tcBorders/>
            <w:shd w:fill="FFFFFF" w:val="clear"/>
            <w:vAlign w:val="center"/>
          </w:tcPr>
          <w:p>
            <w:pPr>
              <w:pStyle w:val="TableContents"/>
              <w:bidi w:val="0"/>
              <w:spacing w:before="0" w:after="283"/>
              <w:jc w:val="left"/>
              <w:rPr/>
            </w:pPr>
            <w:r>
              <w:rPr/>
              <w:t>Issuance of common stock – Capital Raise,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0" w:name="xdx_984_ecustom--StockIssuedDuringPeriod"/>
            <w:bookmarkEnd w:id="210"/>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(699,460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110" w:type="dxa"/>
            <w:tcBorders/>
            <w:shd w:fill="FFFFFF" w:val="clear"/>
            <w:vAlign w:val="center"/>
          </w:tcPr>
          <w:p>
            <w:pPr>
              <w:pStyle w:val="TableContents"/>
              <w:bidi w:val="0"/>
              <w:spacing w:before="0" w:after="283"/>
              <w:jc w:val="left"/>
              <w:rPr/>
            </w:pPr>
            <w:r>
              <w:rPr/>
              <w:t>)</w:t>
            </w:r>
            <w:bookmarkStart w:id="211" w:name="xdx_439_c20241101__20250131_eus-gaap--St"/>
            <w:bookmarkEnd w:id="211"/>
          </w:p>
        </w:tc>
      </w:tr>
      <w:tr>
        <w:trPr/>
        <w:tc>
          <w:tcPr>
            <w:tcW w:w="1340" w:type="dxa"/>
            <w:tcBorders/>
            <w:shd w:fill="CCEEFF" w:val="clear"/>
            <w:vAlign w:val="center"/>
          </w:tcPr>
          <w:p>
            <w:pPr>
              <w:pStyle w:val="TableContents"/>
              <w:bidi w:val="0"/>
              <w:spacing w:before="0" w:after="283"/>
              <w:jc w:val="left"/>
              <w:rPr/>
            </w:pPr>
            <w:r>
              <w:rPr/>
              <w:t>Balances at January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2" w:name="xdx_98F_eus-gaap--SharesOutstanding_iE_p"/>
            <w:bookmarkEnd w:id="212"/>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170,790,707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 w:name="xdx_989_eus-gaap--TreasuryStockCommonSha"/>
            <w:bookmarkEnd w:id="213"/>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(787,477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352,468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(322,664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28,911</w:t>
            </w:r>
          </w:p>
        </w:tc>
        <w:tc>
          <w:tcPr>
            <w:tcW w:w="110" w:type="dxa"/>
            <w:tcBorders/>
            <w:shd w:fill="CCEEFF" w:val="clear"/>
            <w:vAlign w:val="center"/>
          </w:tcPr>
          <w:p>
            <w:pPr>
              <w:pStyle w:val="TableContents"/>
              <w:bidi w:val="0"/>
              <w:spacing w:before="0" w:after="283"/>
              <w:jc w:val="left"/>
              <w:rPr/>
            </w:pPr>
            <w:r>
              <w:rPr/>
              <w:t> </w:t>
            </w:r>
            <w:bookmarkStart w:id="214" w:name="xdx_43F_c20241101__20250131_eus-gaap--St"/>
            <w:bookmarkEnd w:id="21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5" w:name="xdx_982_eus-gaap--SharesOutstanding_iE_p"/>
            <w:bookmarkEnd w:id="21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170,790,707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6" w:name="xdx_98C_eus-gaap--TreasuryStockCommonSha"/>
            <w:bookmarkEnd w:id="216"/>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(787,477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(322,664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7" w:name="sq_017"/>
      <w:bookmarkEnd w:id="217"/>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8" w:name="xdx_308_112_pn3n3_zgYqoFQGas3a"/>
      <w:bookmarkStart w:id="219" w:name="xdx_308_112_pn3n3_zgYqoFQGas3a"/>
      <w:bookmarkEnd w:id="219"/>
    </w:p>
    <w:tbl>
      <w:tblPr>
        <w:tblW w:w="10205" w:type="dxa"/>
        <w:jc w:val="left"/>
        <w:tblInd w:w="0" w:type="dxa"/>
        <w:tblLayout w:type="fixed"/>
        <w:tblCellMar>
          <w:top w:w="0" w:type="dxa"/>
          <w:left w:w="0" w:type="dxa"/>
          <w:bottom w:w="0" w:type="dxa"/>
          <w:right w:w="0" w:type="dxa"/>
        </w:tblCellMar>
      </w:tblPr>
      <w:tblGrid>
        <w:gridCol w:w="7032"/>
        <w:gridCol w:w="60"/>
        <w:gridCol w:w="215"/>
        <w:gridCol w:w="1165"/>
        <w:gridCol w:w="146"/>
        <w:gridCol w:w="92"/>
        <w:gridCol w:w="215"/>
        <w:gridCol w:w="1165"/>
        <w:gridCol w:w="115"/>
      </w:tblGrid>
      <w:tr>
        <w:trPr/>
        <w:tc>
          <w:tcPr>
            <w:tcW w:w="70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0" w:name="xdx_490_20250501__20260131_zPwQ3InEQSX4"/>
            <w:bookmarkEnd w:id="220"/>
          </w:p>
        </w:tc>
        <w:tc>
          <w:tcPr>
            <w:tcW w:w="13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221" w:name="xdx_493_20240501__20250131_zKfVh8hrnbk6"/>
            <w:bookmarkEnd w:id="221"/>
          </w:p>
        </w:tc>
        <w:tc>
          <w:tcPr>
            <w:tcW w:w="13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5" w:type="dxa"/>
            <w:tcBorders/>
            <w:vAlign w:val="center"/>
          </w:tcPr>
          <w:p>
            <w:pPr>
              <w:pStyle w:val="TableContents"/>
              <w:bidi w:val="0"/>
              <w:spacing w:before="0" w:after="283"/>
              <w:jc w:val="left"/>
              <w:rPr/>
            </w:pPr>
            <w:r>
              <w:rPr/>
              <w:t> </w:t>
            </w:r>
          </w:p>
        </w:tc>
      </w:tr>
      <w:tr>
        <w:trPr/>
        <w:tc>
          <w:tcPr>
            <w:tcW w:w="7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w:t>
            </w:r>
          </w:p>
        </w:tc>
        <w:tc>
          <w:tcPr>
            <w:tcW w:w="115" w:type="dxa"/>
            <w:tcBorders/>
            <w:vAlign w:val="center"/>
          </w:tcPr>
          <w:p>
            <w:pPr>
              <w:pStyle w:val="TableContents"/>
              <w:bidi w:val="0"/>
              <w:spacing w:before="0" w:after="283"/>
              <w:jc w:val="left"/>
              <w:rPr/>
            </w:pPr>
            <w:r>
              <w:rPr/>
              <w:t> </w:t>
            </w:r>
          </w:p>
        </w:tc>
      </w:tr>
      <w:tr>
        <w:trPr/>
        <w:tc>
          <w:tcPr>
            <w:tcW w:w="70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7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bookmarkStart w:id="222" w:name="xdx_408_eus-gaap--NetCashProvidedByUsedI"/>
            <w:bookmarkEnd w:id="222"/>
          </w:p>
        </w:tc>
      </w:tr>
      <w:tr>
        <w:trPr/>
        <w:tc>
          <w:tcPr>
            <w:tcW w:w="7032"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23" w:name="xdx_403_eus-gaap--NetIncomeLoss_i01_maNC"/>
            <w:bookmarkEnd w:id="223"/>
          </w:p>
        </w:tc>
      </w:tr>
      <w:tr>
        <w:trPr/>
        <w:tc>
          <w:tcPr>
            <w:tcW w:w="703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165" w:type="dxa"/>
            <w:tcBorders/>
            <w:shd w:fill="FFFFFF" w:val="clear"/>
            <w:vAlign w:val="center"/>
          </w:tcPr>
          <w:p>
            <w:pPr>
              <w:pStyle w:val="TableContents"/>
              <w:bidi w:val="0"/>
              <w:spacing w:before="0" w:after="283"/>
              <w:jc w:val="right"/>
              <w:rPr/>
            </w:pPr>
            <w:r>
              <w:rPr/>
              <w:t>(29,578</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165" w:type="dxa"/>
            <w:tcBorders/>
            <w:shd w:fill="FFFFFF" w:val="clear"/>
            <w:vAlign w:val="center"/>
          </w:tcPr>
          <w:p>
            <w:pPr>
              <w:pStyle w:val="TableContents"/>
              <w:bidi w:val="0"/>
              <w:spacing w:before="0" w:after="283"/>
              <w:jc w:val="right"/>
              <w:rPr/>
            </w:pPr>
            <w:r>
              <w:rPr/>
              <w:t>(15,085</w:t>
            </w:r>
          </w:p>
        </w:tc>
        <w:tc>
          <w:tcPr>
            <w:tcW w:w="115" w:type="dxa"/>
            <w:tcBorders/>
            <w:shd w:fill="FFFFFF" w:val="clear"/>
            <w:vAlign w:val="center"/>
          </w:tcPr>
          <w:p>
            <w:pPr>
              <w:pStyle w:val="TableContents"/>
              <w:bidi w:val="0"/>
              <w:spacing w:before="0" w:after="283"/>
              <w:jc w:val="left"/>
              <w:rPr/>
            </w:pPr>
            <w:r>
              <w:rPr/>
              <w:t>)</w:t>
            </w:r>
            <w:bookmarkStart w:id="224" w:name="xdx_40A_eus-gaap--AdjustmentsNoncashItem"/>
            <w:bookmarkEnd w:id="224"/>
          </w:p>
        </w:tc>
      </w:tr>
      <w:tr>
        <w:trPr/>
        <w:tc>
          <w:tcPr>
            <w:tcW w:w="7032"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25" w:name="xdx_409_eus-gaap--Depreciation_i02_maNCP"/>
            <w:bookmarkEnd w:id="225"/>
          </w:p>
        </w:tc>
      </w:tr>
      <w:tr>
        <w:trPr/>
        <w:tc>
          <w:tcPr>
            <w:tcW w:w="7032" w:type="dxa"/>
            <w:tcBorders/>
            <w:shd w:fill="FFFFFF" w:val="clear"/>
            <w:vAlign w:val="center"/>
          </w:tcPr>
          <w:p>
            <w:pPr>
              <w:pStyle w:val="TableContents"/>
              <w:bidi w:val="0"/>
              <w:spacing w:before="0" w:after="283"/>
              <w:jc w:val="left"/>
              <w:rPr/>
            </w:pPr>
            <w:r>
              <w:rPr/>
              <w:t>Depreciation of fixed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632</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610</w:t>
            </w:r>
          </w:p>
        </w:tc>
        <w:tc>
          <w:tcPr>
            <w:tcW w:w="115" w:type="dxa"/>
            <w:tcBorders/>
            <w:shd w:fill="FFFFFF" w:val="clear"/>
            <w:vAlign w:val="center"/>
          </w:tcPr>
          <w:p>
            <w:pPr>
              <w:pStyle w:val="TableContents"/>
              <w:bidi w:val="0"/>
              <w:spacing w:before="0" w:after="283"/>
              <w:jc w:val="left"/>
              <w:rPr/>
            </w:pPr>
            <w:r>
              <w:rPr/>
              <w:t> </w:t>
            </w:r>
            <w:bookmarkStart w:id="226" w:name="xdx_40A_ecustom--ForeignCurrencyTransact"/>
            <w:bookmarkEnd w:id="226"/>
          </w:p>
        </w:tc>
      </w:tr>
      <w:tr>
        <w:trPr/>
        <w:tc>
          <w:tcPr>
            <w:tcW w:w="7032"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w:t>
            </w:r>
          </w:p>
        </w:tc>
        <w:tc>
          <w:tcPr>
            <w:tcW w:w="115" w:type="dxa"/>
            <w:tcBorders/>
            <w:shd w:fill="CCEEFF" w:val="clear"/>
            <w:vAlign w:val="center"/>
          </w:tcPr>
          <w:p>
            <w:pPr>
              <w:pStyle w:val="TableContents"/>
              <w:bidi w:val="0"/>
              <w:spacing w:before="0" w:after="283"/>
              <w:jc w:val="left"/>
              <w:rPr/>
            </w:pPr>
            <w:r>
              <w:rPr/>
              <w:t>)</w:t>
            </w:r>
            <w:bookmarkStart w:id="227" w:name="xdx_40D_eus-gaap--GainLossOnSaleOfProper"/>
            <w:bookmarkEnd w:id="227"/>
          </w:p>
        </w:tc>
      </w:tr>
      <w:tr>
        <w:trPr/>
        <w:tc>
          <w:tcPr>
            <w:tcW w:w="7032"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111</w:t>
            </w:r>
          </w:p>
        </w:tc>
        <w:tc>
          <w:tcPr>
            <w:tcW w:w="115" w:type="dxa"/>
            <w:tcBorders/>
            <w:shd w:fill="FFFFFF" w:val="clear"/>
            <w:vAlign w:val="center"/>
          </w:tcPr>
          <w:p>
            <w:pPr>
              <w:pStyle w:val="TableContents"/>
              <w:bidi w:val="0"/>
              <w:spacing w:before="0" w:after="283"/>
              <w:jc w:val="left"/>
              <w:rPr/>
            </w:pPr>
            <w:r>
              <w:rPr/>
              <w:t> </w:t>
            </w:r>
            <w:bookmarkStart w:id="228" w:name="xdx_402_eus-gaap--AmortizationOfIntangib"/>
            <w:bookmarkEnd w:id="228"/>
          </w:p>
        </w:tc>
      </w:tr>
      <w:tr>
        <w:trPr/>
        <w:tc>
          <w:tcPr>
            <w:tcW w:w="7032"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99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99</w:t>
            </w:r>
          </w:p>
        </w:tc>
        <w:tc>
          <w:tcPr>
            <w:tcW w:w="115" w:type="dxa"/>
            <w:tcBorders/>
            <w:shd w:fill="CCEEFF" w:val="clear"/>
            <w:vAlign w:val="center"/>
          </w:tcPr>
          <w:p>
            <w:pPr>
              <w:pStyle w:val="TableContents"/>
              <w:bidi w:val="0"/>
              <w:spacing w:before="0" w:after="283"/>
              <w:jc w:val="left"/>
              <w:rPr/>
            </w:pPr>
            <w:r>
              <w:rPr/>
              <w:t> </w:t>
            </w:r>
            <w:bookmarkStart w:id="229" w:name="xdx_403_eus-gaap--OperatingLeaseRightOfU"/>
            <w:bookmarkEnd w:id="229"/>
          </w:p>
        </w:tc>
      </w:tr>
      <w:tr>
        <w:trPr/>
        <w:tc>
          <w:tcPr>
            <w:tcW w:w="7032"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675</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633</w:t>
            </w:r>
          </w:p>
        </w:tc>
        <w:tc>
          <w:tcPr>
            <w:tcW w:w="115" w:type="dxa"/>
            <w:tcBorders/>
            <w:shd w:fill="FFFFFF" w:val="clear"/>
            <w:vAlign w:val="center"/>
          </w:tcPr>
          <w:p>
            <w:pPr>
              <w:pStyle w:val="TableContents"/>
              <w:bidi w:val="0"/>
              <w:spacing w:before="0" w:after="283"/>
              <w:jc w:val="left"/>
              <w:rPr/>
            </w:pPr>
            <w:r>
              <w:rPr/>
              <w:t> </w:t>
            </w:r>
            <w:bookmarkStart w:id="230" w:name="xdx_40E_eus-gaap--ShareBasedCompensation"/>
            <w:bookmarkEnd w:id="230"/>
          </w:p>
        </w:tc>
      </w:tr>
      <w:tr>
        <w:trPr/>
        <w:tc>
          <w:tcPr>
            <w:tcW w:w="7032"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7,791</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1,331</w:t>
            </w:r>
          </w:p>
        </w:tc>
        <w:tc>
          <w:tcPr>
            <w:tcW w:w="115" w:type="dxa"/>
            <w:tcBorders/>
            <w:shd w:fill="CCEEFF" w:val="clear"/>
            <w:vAlign w:val="center"/>
          </w:tcPr>
          <w:p>
            <w:pPr>
              <w:pStyle w:val="TableContents"/>
              <w:bidi w:val="0"/>
              <w:spacing w:before="0" w:after="283"/>
              <w:jc w:val="left"/>
              <w:rPr/>
            </w:pPr>
            <w:r>
              <w:rPr/>
              <w:t> </w:t>
            </w:r>
            <w:bookmarkStart w:id="231" w:name="xdx_406_ecustom--ChangeInFairValueOfDeri"/>
            <w:bookmarkEnd w:id="231"/>
          </w:p>
        </w:tc>
      </w:tr>
      <w:tr>
        <w:trPr/>
        <w:tc>
          <w:tcPr>
            <w:tcW w:w="7032"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1,617</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32" w:name="xdx_40B_eus-gaap--GainLossOnSaleOfOtherA"/>
            <w:bookmarkEnd w:id="232"/>
          </w:p>
        </w:tc>
      </w:tr>
      <w:tr>
        <w:trPr/>
        <w:tc>
          <w:tcPr>
            <w:tcW w:w="7032" w:type="dxa"/>
            <w:tcBorders/>
            <w:shd w:fill="CCEEFF" w:val="clear"/>
            <w:vAlign w:val="center"/>
          </w:tcPr>
          <w:p>
            <w:pPr>
              <w:pStyle w:val="TableContents"/>
              <w:bidi w:val="0"/>
              <w:spacing w:before="0" w:after="283"/>
              <w:jc w:val="left"/>
              <w:rPr/>
            </w:pPr>
            <w:r>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838</w:t>
            </w:r>
          </w:p>
        </w:tc>
        <w:tc>
          <w:tcPr>
            <w:tcW w:w="115" w:type="dxa"/>
            <w:tcBorders/>
            <w:shd w:fill="CCEEFF" w:val="clear"/>
            <w:vAlign w:val="center"/>
          </w:tcPr>
          <w:p>
            <w:pPr>
              <w:pStyle w:val="TableContents"/>
              <w:bidi w:val="0"/>
              <w:spacing w:before="0" w:after="283"/>
              <w:jc w:val="left"/>
              <w:rPr/>
            </w:pPr>
            <w:r>
              <w:rPr/>
              <w:t> </w:t>
            </w:r>
            <w:bookmarkStart w:id="233" w:name="xdx_40D_eus-gaap--IncreaseDecreaseInOper"/>
            <w:bookmarkEnd w:id="233"/>
          </w:p>
        </w:tc>
      </w:tr>
      <w:tr>
        <w:trPr/>
        <w:tc>
          <w:tcPr>
            <w:tcW w:w="7032"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34" w:name="xdx_409_eus-gaap--IncreaseDecreaseInAcco"/>
            <w:bookmarkEnd w:id="234"/>
          </w:p>
        </w:tc>
      </w:tr>
      <w:tr>
        <w:trPr/>
        <w:tc>
          <w:tcPr>
            <w:tcW w:w="7032"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(4,941</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(830</w:t>
            </w:r>
          </w:p>
        </w:tc>
        <w:tc>
          <w:tcPr>
            <w:tcW w:w="115" w:type="dxa"/>
            <w:tcBorders/>
            <w:shd w:fill="CCEEFF" w:val="clear"/>
            <w:vAlign w:val="center"/>
          </w:tcPr>
          <w:p>
            <w:pPr>
              <w:pStyle w:val="TableContents"/>
              <w:bidi w:val="0"/>
              <w:spacing w:before="0" w:after="283"/>
              <w:jc w:val="left"/>
              <w:rPr/>
            </w:pPr>
            <w:r>
              <w:rPr/>
              <w:t>)</w:t>
            </w:r>
            <w:bookmarkStart w:id="235" w:name="xdx_405_eus-gaap--IncreaseDecreaseInCont"/>
            <w:bookmarkEnd w:id="235"/>
          </w:p>
        </w:tc>
      </w:tr>
      <w:tr>
        <w:trPr/>
        <w:tc>
          <w:tcPr>
            <w:tcW w:w="7032"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363</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(460</w:t>
            </w:r>
          </w:p>
        </w:tc>
        <w:tc>
          <w:tcPr>
            <w:tcW w:w="115" w:type="dxa"/>
            <w:tcBorders/>
            <w:shd w:fill="FFFFFF" w:val="clear"/>
            <w:vAlign w:val="center"/>
          </w:tcPr>
          <w:p>
            <w:pPr>
              <w:pStyle w:val="TableContents"/>
              <w:bidi w:val="0"/>
              <w:spacing w:before="0" w:after="283"/>
              <w:jc w:val="left"/>
              <w:rPr/>
            </w:pPr>
            <w:r>
              <w:rPr/>
              <w:t>)</w:t>
            </w:r>
            <w:bookmarkStart w:id="236" w:name="xdx_409_eus-gaap--IncreaseDecreaseInInve"/>
            <w:bookmarkEnd w:id="236"/>
          </w:p>
        </w:tc>
      </w:tr>
      <w:tr>
        <w:trPr/>
        <w:tc>
          <w:tcPr>
            <w:tcW w:w="7032"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(2,246</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366</w:t>
            </w:r>
          </w:p>
        </w:tc>
        <w:tc>
          <w:tcPr>
            <w:tcW w:w="115" w:type="dxa"/>
            <w:tcBorders/>
            <w:shd w:fill="CCEEFF" w:val="clear"/>
            <w:vAlign w:val="center"/>
          </w:tcPr>
          <w:p>
            <w:pPr>
              <w:pStyle w:val="TableContents"/>
              <w:bidi w:val="0"/>
              <w:spacing w:before="0" w:after="283"/>
              <w:jc w:val="left"/>
              <w:rPr/>
            </w:pPr>
            <w:r>
              <w:rPr/>
              <w:t> </w:t>
            </w:r>
            <w:bookmarkStart w:id="237" w:name="xdx_404_eus-gaap--IncreaseDecreaseInOthe"/>
            <w:bookmarkEnd w:id="237"/>
          </w:p>
        </w:tc>
      </w:tr>
      <w:tr>
        <w:trPr/>
        <w:tc>
          <w:tcPr>
            <w:tcW w:w="7032"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(1,557</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996</w:t>
            </w:r>
          </w:p>
        </w:tc>
        <w:tc>
          <w:tcPr>
            <w:tcW w:w="115" w:type="dxa"/>
            <w:tcBorders/>
            <w:shd w:fill="FFFFFF" w:val="clear"/>
            <w:vAlign w:val="center"/>
          </w:tcPr>
          <w:p>
            <w:pPr>
              <w:pStyle w:val="TableContents"/>
              <w:bidi w:val="0"/>
              <w:spacing w:before="0" w:after="283"/>
              <w:jc w:val="left"/>
              <w:rPr/>
            </w:pPr>
            <w:r>
              <w:rPr/>
              <w:t> </w:t>
            </w:r>
            <w:bookmarkStart w:id="238" w:name="xdx_40E_eus-gaap--IncreaseDecreaseInAcco"/>
            <w:bookmarkEnd w:id="238"/>
          </w:p>
        </w:tc>
      </w:tr>
      <w:tr>
        <w:trPr/>
        <w:tc>
          <w:tcPr>
            <w:tcW w:w="703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978</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(2,731</w:t>
            </w:r>
          </w:p>
        </w:tc>
        <w:tc>
          <w:tcPr>
            <w:tcW w:w="115" w:type="dxa"/>
            <w:tcBorders/>
            <w:shd w:fill="CCEEFF" w:val="clear"/>
            <w:vAlign w:val="center"/>
          </w:tcPr>
          <w:p>
            <w:pPr>
              <w:pStyle w:val="TableContents"/>
              <w:bidi w:val="0"/>
              <w:spacing w:before="0" w:after="283"/>
              <w:jc w:val="left"/>
              <w:rPr/>
            </w:pPr>
            <w:r>
              <w:rPr/>
              <w:t>)</w:t>
            </w:r>
            <w:bookmarkStart w:id="239" w:name="xdx_408_eus-gaap--IncreaseDecreaseInOthe"/>
            <w:bookmarkEnd w:id="239"/>
          </w:p>
        </w:tc>
      </w:tr>
      <w:tr>
        <w:trPr/>
        <w:tc>
          <w:tcPr>
            <w:tcW w:w="7032" w:type="dxa"/>
            <w:tcBorders/>
            <w:shd w:fill="FFFFFF" w:val="clear"/>
            <w:vAlign w:val="center"/>
          </w:tcPr>
          <w:p>
            <w:pPr>
              <w:pStyle w:val="TableContents"/>
              <w:bidi w:val="0"/>
              <w:spacing w:before="0" w:after="283"/>
              <w:jc w:val="left"/>
              <w:rPr/>
            </w:pPr>
            <w:r>
              <w:rPr/>
              <w:t>Earnout payable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(150</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(150</w:t>
            </w:r>
          </w:p>
        </w:tc>
        <w:tc>
          <w:tcPr>
            <w:tcW w:w="115" w:type="dxa"/>
            <w:tcBorders/>
            <w:shd w:fill="FFFFFF" w:val="clear"/>
            <w:vAlign w:val="center"/>
          </w:tcPr>
          <w:p>
            <w:pPr>
              <w:pStyle w:val="TableContents"/>
              <w:bidi w:val="0"/>
              <w:spacing w:before="0" w:after="283"/>
              <w:jc w:val="left"/>
              <w:rPr/>
            </w:pPr>
            <w:r>
              <w:rPr/>
              <w:t>)</w:t>
            </w:r>
            <w:bookmarkStart w:id="240" w:name="xdx_40F_eus-gaap--IncreaseDecreaseInAccr"/>
            <w:bookmarkEnd w:id="240"/>
          </w:p>
        </w:tc>
      </w:tr>
      <w:tr>
        <w:trPr/>
        <w:tc>
          <w:tcPr>
            <w:tcW w:w="703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1,776</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453</w:t>
            </w:r>
          </w:p>
        </w:tc>
        <w:tc>
          <w:tcPr>
            <w:tcW w:w="115" w:type="dxa"/>
            <w:tcBorders/>
            <w:shd w:fill="CCEEFF" w:val="clear"/>
            <w:vAlign w:val="center"/>
          </w:tcPr>
          <w:p>
            <w:pPr>
              <w:pStyle w:val="TableContents"/>
              <w:bidi w:val="0"/>
              <w:spacing w:before="0" w:after="283"/>
              <w:jc w:val="left"/>
              <w:rPr/>
            </w:pPr>
            <w:r>
              <w:rPr/>
              <w:t> </w:t>
            </w:r>
            <w:bookmarkStart w:id="241" w:name="xdx_409_eus-gaap--IncreaseDecreaseInOper"/>
            <w:bookmarkEnd w:id="241"/>
          </w:p>
        </w:tc>
      </w:tr>
      <w:tr>
        <w:trPr/>
        <w:tc>
          <w:tcPr>
            <w:tcW w:w="7032" w:type="dxa"/>
            <w:tcBorders/>
            <w:shd w:fill="FFFFFF" w:val="clear"/>
            <w:vAlign w:val="center"/>
          </w:tcPr>
          <w:p>
            <w:pPr>
              <w:pStyle w:val="TableContents"/>
              <w:bidi w:val="0"/>
              <w:spacing w:before="0" w:after="283"/>
              <w:jc w:val="left"/>
              <w:rPr/>
            </w:pPr>
            <w:r>
              <w:rPr/>
              <w:t>Right-of-use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(755</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(506</w:t>
            </w:r>
          </w:p>
        </w:tc>
        <w:tc>
          <w:tcPr>
            <w:tcW w:w="115" w:type="dxa"/>
            <w:tcBorders/>
            <w:shd w:fill="FFFFFF" w:val="clear"/>
            <w:vAlign w:val="center"/>
          </w:tcPr>
          <w:p>
            <w:pPr>
              <w:pStyle w:val="TableContents"/>
              <w:bidi w:val="0"/>
              <w:spacing w:before="0" w:after="283"/>
              <w:jc w:val="left"/>
              <w:rPr/>
            </w:pPr>
            <w:r>
              <w:rPr/>
              <w:t>)</w:t>
            </w:r>
            <w:bookmarkStart w:id="242" w:name="xdx_401_eus-gaap--IncreaseDecreaseInCont"/>
            <w:bookmarkEnd w:id="242"/>
          </w:p>
        </w:tc>
      </w:tr>
      <w:tr>
        <w:trPr/>
        <w:tc>
          <w:tcPr>
            <w:tcW w:w="7032"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5,372</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115" w:type="dxa"/>
            <w:tcBorders/>
            <w:shd w:fill="CCEEFF" w:val="clear"/>
            <w:vAlign w:val="center"/>
          </w:tcPr>
          <w:p>
            <w:pPr>
              <w:pStyle w:val="TableContents"/>
              <w:bidi w:val="0"/>
              <w:spacing w:before="0" w:after="283"/>
              <w:jc w:val="left"/>
              <w:rPr/>
            </w:pPr>
            <w:r>
              <w:rPr/>
              <w:t>)</w:t>
            </w:r>
            <w:bookmarkStart w:id="243" w:name="xdx_40B_eus-gaap--NetCashProvidedByUsedI"/>
            <w:bookmarkEnd w:id="243"/>
          </w:p>
        </w:tc>
      </w:tr>
      <w:tr>
        <w:trPr/>
        <w:tc>
          <w:tcPr>
            <w:tcW w:w="7032"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(19,924</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(14,628</w:t>
            </w:r>
          </w:p>
        </w:tc>
        <w:tc>
          <w:tcPr>
            <w:tcW w:w="115" w:type="dxa"/>
            <w:tcBorders/>
            <w:shd w:fill="FFFFFF" w:val="clear"/>
            <w:vAlign w:val="center"/>
          </w:tcPr>
          <w:p>
            <w:pPr>
              <w:pStyle w:val="TableContents"/>
              <w:bidi w:val="0"/>
              <w:spacing w:before="0" w:after="283"/>
              <w:jc w:val="left"/>
              <w:rPr/>
            </w:pPr>
            <w:r>
              <w:rPr/>
              <w:t>)</w:t>
            </w:r>
            <w:bookmarkStart w:id="244" w:name="xdx_401_eus-gaap--NetCashProvidedByUsedI"/>
            <w:bookmarkEnd w:id="244"/>
          </w:p>
        </w:tc>
      </w:tr>
      <w:tr>
        <w:trPr/>
        <w:tc>
          <w:tcPr>
            <w:tcW w:w="7032"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45" w:name="xdx_406_eus-gaap--PaymentsToAcquirePrope"/>
            <w:bookmarkEnd w:id="245"/>
          </w:p>
        </w:tc>
      </w:tr>
      <w:tr>
        <w:trPr/>
        <w:tc>
          <w:tcPr>
            <w:tcW w:w="7032"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(1,754</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115" w:type="dxa"/>
            <w:tcBorders/>
            <w:shd w:fill="FFFFFF" w:val="clear"/>
            <w:vAlign w:val="center"/>
          </w:tcPr>
          <w:p>
            <w:pPr>
              <w:pStyle w:val="TableContents"/>
              <w:bidi w:val="0"/>
              <w:spacing w:before="0" w:after="283"/>
              <w:jc w:val="left"/>
              <w:rPr/>
            </w:pPr>
            <w:r>
              <w:rPr/>
              <w:t>)</w:t>
            </w:r>
            <w:bookmarkStart w:id="246" w:name="xdx_40E_eus-gaap--NetCashProvidedByUsedI"/>
            <w:bookmarkEnd w:id="246"/>
          </w:p>
        </w:tc>
      </w:tr>
      <w:tr>
        <w:trPr/>
        <w:tc>
          <w:tcPr>
            <w:tcW w:w="7032"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(1,754</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(350</w:t>
            </w:r>
          </w:p>
        </w:tc>
        <w:tc>
          <w:tcPr>
            <w:tcW w:w="115" w:type="dxa"/>
            <w:tcBorders/>
            <w:shd w:fill="CCEEFF" w:val="clear"/>
            <w:vAlign w:val="center"/>
          </w:tcPr>
          <w:p>
            <w:pPr>
              <w:pStyle w:val="TableContents"/>
              <w:bidi w:val="0"/>
              <w:spacing w:before="0" w:after="283"/>
              <w:jc w:val="left"/>
              <w:rPr/>
            </w:pPr>
            <w:r>
              <w:rPr/>
              <w:t>)</w:t>
            </w:r>
            <w:bookmarkStart w:id="247" w:name="xdx_404_eus-gaap--NetCashProvidedByUsedI"/>
            <w:bookmarkEnd w:id="247"/>
          </w:p>
        </w:tc>
      </w:tr>
      <w:tr>
        <w:trPr/>
        <w:tc>
          <w:tcPr>
            <w:tcW w:w="7032"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48" w:name="xdx_405_eus-gaap--PaymentsRelatedToTaxWi"/>
            <w:bookmarkEnd w:id="248"/>
          </w:p>
        </w:tc>
      </w:tr>
      <w:tr>
        <w:trPr/>
        <w:tc>
          <w:tcPr>
            <w:tcW w:w="7032" w:type="dxa"/>
            <w:tcBorders/>
            <w:shd w:fill="CCEEFF" w:val="clear"/>
            <w:vAlign w:val="center"/>
          </w:tcPr>
          <w:p>
            <w:pPr>
              <w:pStyle w:val="TableContents"/>
              <w:bidi w:val="0"/>
              <w:spacing w:before="0" w:after="283"/>
              <w:jc w:val="left"/>
              <w:rPr/>
            </w:pPr>
            <w:r>
              <w:rPr/>
              <w:t>Cash paid for tax withholding related to shares withheld</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(806</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(649</w:t>
            </w:r>
          </w:p>
        </w:tc>
        <w:tc>
          <w:tcPr>
            <w:tcW w:w="115" w:type="dxa"/>
            <w:tcBorders/>
            <w:shd w:fill="CCEEFF" w:val="clear"/>
            <w:vAlign w:val="center"/>
          </w:tcPr>
          <w:p>
            <w:pPr>
              <w:pStyle w:val="TableContents"/>
              <w:bidi w:val="0"/>
              <w:spacing w:before="0" w:after="283"/>
              <w:jc w:val="left"/>
              <w:rPr/>
            </w:pPr>
            <w:r>
              <w:rPr/>
              <w:t>)</w:t>
            </w:r>
            <w:bookmarkStart w:id="249" w:name="xdx_409_eus-gaap--ProceedsFromConvertibl"/>
            <w:bookmarkEnd w:id="249"/>
          </w:p>
        </w:tc>
      </w:tr>
      <w:tr>
        <w:trPr/>
        <w:tc>
          <w:tcPr>
            <w:tcW w:w="7032"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17,645</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3,171</w:t>
            </w:r>
          </w:p>
        </w:tc>
        <w:tc>
          <w:tcPr>
            <w:tcW w:w="115" w:type="dxa"/>
            <w:tcBorders/>
            <w:shd w:fill="FFFFFF" w:val="clear"/>
            <w:vAlign w:val="center"/>
          </w:tcPr>
          <w:p>
            <w:pPr>
              <w:pStyle w:val="TableContents"/>
              <w:bidi w:val="0"/>
              <w:spacing w:before="0" w:after="283"/>
              <w:jc w:val="left"/>
              <w:rPr/>
            </w:pPr>
            <w:r>
              <w:rPr/>
              <w:t> </w:t>
            </w:r>
            <w:bookmarkStart w:id="250" w:name="xdx_407_eus-gaap--ProceedsFromIssuanceIn"/>
            <w:bookmarkEnd w:id="250"/>
          </w:p>
        </w:tc>
      </w:tr>
      <w:tr>
        <w:trPr/>
        <w:tc>
          <w:tcPr>
            <w:tcW w:w="7032" w:type="dxa"/>
            <w:tcBorders/>
            <w:shd w:fill="CCEEFF" w:val="clear"/>
            <w:vAlign w:val="center"/>
          </w:tcPr>
          <w:p>
            <w:pPr>
              <w:pStyle w:val="TableContents"/>
              <w:bidi w:val="0"/>
              <w:spacing w:before="0" w:after="283"/>
              <w:jc w:val="left"/>
              <w:rPr/>
            </w:pPr>
            <w:r>
              <w:rPr/>
              <w:t>Proceeds from 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2,451</w:t>
            </w:r>
          </w:p>
        </w:tc>
        <w:tc>
          <w:tcPr>
            <w:tcW w:w="115" w:type="dxa"/>
            <w:tcBorders/>
            <w:shd w:fill="CCEEFF" w:val="clear"/>
            <w:vAlign w:val="center"/>
          </w:tcPr>
          <w:p>
            <w:pPr>
              <w:pStyle w:val="TableContents"/>
              <w:bidi w:val="0"/>
              <w:spacing w:before="0" w:after="283"/>
              <w:jc w:val="left"/>
              <w:rPr/>
            </w:pPr>
            <w:r>
              <w:rPr/>
              <w:t> </w:t>
            </w:r>
            <w:bookmarkStart w:id="251" w:name="xdx_40F_eus-gaap--ProceedsFromIssuanceOf"/>
            <w:bookmarkEnd w:id="251"/>
          </w:p>
        </w:tc>
      </w:tr>
      <w:tr>
        <w:trPr/>
        <w:tc>
          <w:tcPr>
            <w:tcW w:w="7032" w:type="dxa"/>
            <w:tcBorders/>
            <w:shd w:fill="FFFFFF" w:val="clear"/>
            <w:vAlign w:val="center"/>
          </w:tcPr>
          <w:p>
            <w:pPr>
              <w:pStyle w:val="TableContents"/>
              <w:bidi w:val="0"/>
              <w:spacing w:before="0" w:after="283"/>
              <w:jc w:val="left"/>
              <w:rPr/>
            </w:pPr>
            <w:r>
              <w:rPr/>
              <w:t>Proceeds from 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5,180</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16,880</w:t>
            </w:r>
          </w:p>
        </w:tc>
        <w:tc>
          <w:tcPr>
            <w:tcW w:w="115" w:type="dxa"/>
            <w:tcBorders/>
            <w:shd w:fill="FFFFFF" w:val="clear"/>
            <w:vAlign w:val="center"/>
          </w:tcPr>
          <w:p>
            <w:pPr>
              <w:pStyle w:val="TableContents"/>
              <w:bidi w:val="0"/>
              <w:spacing w:before="0" w:after="283"/>
              <w:jc w:val="left"/>
              <w:rPr/>
            </w:pPr>
            <w:r>
              <w:rPr/>
              <w:t> </w:t>
            </w:r>
            <w:bookmarkStart w:id="252" w:name="xdx_403_eus-gaap--NetCashProvidedByUsedI"/>
            <w:bookmarkEnd w:id="252"/>
          </w:p>
        </w:tc>
      </w:tr>
      <w:tr>
        <w:trPr/>
        <w:tc>
          <w:tcPr>
            <w:tcW w:w="7032"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22,019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21,853</w:t>
            </w:r>
          </w:p>
        </w:tc>
        <w:tc>
          <w:tcPr>
            <w:tcW w:w="115" w:type="dxa"/>
            <w:tcBorders/>
            <w:shd w:fill="CCEEFF" w:val="clear"/>
            <w:vAlign w:val="center"/>
          </w:tcPr>
          <w:p>
            <w:pPr>
              <w:pStyle w:val="TableContents"/>
              <w:bidi w:val="0"/>
              <w:spacing w:before="0" w:after="283"/>
              <w:jc w:val="left"/>
              <w:rPr/>
            </w:pPr>
            <w:r>
              <w:rPr/>
              <w:t> </w:t>
            </w:r>
            <w:bookmarkStart w:id="253" w:name="xdx_40D_eus-gaap--CashCashEquivalentsRes"/>
            <w:bookmarkEnd w:id="253"/>
          </w:p>
        </w:tc>
      </w:tr>
      <w:tr>
        <w:trPr/>
        <w:tc>
          <w:tcPr>
            <w:tcW w:w="7032" w:type="dxa"/>
            <w:tcBorders/>
            <w:shd w:fill="FFFFFF" w:val="clear"/>
            <w:vAlign w:val="center"/>
          </w:tcPr>
          <w:p>
            <w:pPr>
              <w:pStyle w:val="TableContents"/>
              <w:bidi w:val="0"/>
              <w:spacing w:before="0" w:after="283"/>
              <w:jc w:val="left"/>
              <w:rPr/>
            </w:pPr>
            <w:r>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6,875</w:t>
            </w:r>
          </w:p>
        </w:tc>
        <w:tc>
          <w:tcPr>
            <w:tcW w:w="115" w:type="dxa"/>
            <w:tcBorders/>
            <w:shd w:fill="FFFFFF" w:val="clear"/>
            <w:vAlign w:val="center"/>
          </w:tcPr>
          <w:p>
            <w:pPr>
              <w:pStyle w:val="TableContents"/>
              <w:bidi w:val="0"/>
              <w:spacing w:before="0" w:after="283"/>
              <w:jc w:val="left"/>
              <w:rPr/>
            </w:pPr>
            <w:r>
              <w:rPr/>
              <w:t> </w:t>
            </w:r>
            <w:bookmarkStart w:id="254" w:name="xdx_408_eus-gaap--CashCashEquivalentsRes"/>
            <w:bookmarkEnd w:id="254"/>
          </w:p>
        </w:tc>
      </w:tr>
      <w:tr>
        <w:trPr/>
        <w:tc>
          <w:tcPr>
            <w:tcW w:w="7032" w:type="dxa"/>
            <w:tcBorders/>
            <w:shd w:fill="CCEEFF" w:val="clear"/>
            <w:vAlign w:val="center"/>
          </w:tcPr>
          <w:p>
            <w:pPr>
              <w:pStyle w:val="TableContents"/>
              <w:bidi w:val="0"/>
              <w:spacing w:before="0" w:after="283"/>
              <w:jc w:val="left"/>
              <w:rPr/>
            </w:pPr>
            <w:r>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6,869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3,305</w:t>
            </w:r>
          </w:p>
        </w:tc>
        <w:tc>
          <w:tcPr>
            <w:tcW w:w="115" w:type="dxa"/>
            <w:tcBorders/>
            <w:shd w:fill="CCEEFF" w:val="clear"/>
            <w:vAlign w:val="center"/>
          </w:tcPr>
          <w:p>
            <w:pPr>
              <w:pStyle w:val="TableContents"/>
              <w:bidi w:val="0"/>
              <w:spacing w:before="0" w:after="283"/>
              <w:jc w:val="left"/>
              <w:rPr/>
            </w:pPr>
            <w:r>
              <w:rPr/>
              <w:t> </w:t>
            </w:r>
            <w:bookmarkStart w:id="255" w:name="xdx_40F_eus-gaap--CashCashEquivalentsRes"/>
            <w:bookmarkEnd w:id="255"/>
          </w:p>
        </w:tc>
      </w:tr>
      <w:tr>
        <w:trPr/>
        <w:tc>
          <w:tcPr>
            <w:tcW w:w="7032" w:type="dxa"/>
            <w:tcBorders/>
            <w:shd w:fill="FFFFFF" w:val="clear"/>
            <w:vAlign w:val="center"/>
          </w:tcPr>
          <w:p>
            <w:pPr>
              <w:pStyle w:val="TableContents"/>
              <w:bidi w:val="0"/>
              <w:spacing w:before="0" w:after="283"/>
              <w:jc w:val="left"/>
              <w:rPr/>
            </w:pPr>
            <w:r>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7,210</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10,180</w:t>
            </w:r>
          </w:p>
        </w:tc>
        <w:tc>
          <w:tcPr>
            <w:tcW w:w="115" w:type="dxa"/>
            <w:tcBorders/>
            <w:shd w:fill="FFFFFF" w:val="clear"/>
            <w:vAlign w:val="center"/>
          </w:tcPr>
          <w:p>
            <w:pPr>
              <w:pStyle w:val="TableContents"/>
              <w:bidi w:val="0"/>
              <w:spacing w:before="0" w:after="283"/>
              <w:jc w:val="left"/>
              <w:rPr/>
            </w:pPr>
            <w:r>
              <w:rPr/>
              <w:t> </w:t>
            </w:r>
            <w:bookmarkStart w:id="256" w:name="xdx_400_eus-gaap--NoncashInvestingAndFin"/>
            <w:bookmarkEnd w:id="256"/>
          </w:p>
        </w:tc>
      </w:tr>
      <w:tr>
        <w:trPr/>
        <w:tc>
          <w:tcPr>
            <w:tcW w:w="7032"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57" w:name="xdx_407_eus-gaap--StockIssued1_i01_zUPaa"/>
            <w:bookmarkEnd w:id="257"/>
          </w:p>
        </w:tc>
      </w:tr>
      <w:tr>
        <w:trPr/>
        <w:tc>
          <w:tcPr>
            <w:tcW w:w="7032"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165" w:type="dxa"/>
            <w:tcBorders/>
            <w:shd w:fill="FFFFFF" w:val="cle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165" w:type="dxa"/>
            <w:tcBorders/>
            <w:shd w:fill="FFFFFF" w:val="clear"/>
            <w:vAlign w:val="center"/>
          </w:tcPr>
          <w:p>
            <w:pPr>
              <w:pStyle w:val="TableContents"/>
              <w:bidi w:val="0"/>
              <w:spacing w:before="0" w:after="283"/>
              <w:jc w:val="right"/>
              <w:rPr/>
            </w:pPr>
            <w:r>
              <w:rPr/>
              <w:t>630</w:t>
            </w:r>
          </w:p>
        </w:tc>
        <w:tc>
          <w:tcPr>
            <w:tcW w:w="115" w:type="dxa"/>
            <w:tcBorders/>
            <w:shd w:fill="FFFFFF" w:val="clear"/>
            <w:vAlign w:val="center"/>
          </w:tcPr>
          <w:p>
            <w:pPr>
              <w:pStyle w:val="TableContents"/>
              <w:bidi w:val="0"/>
              <w:spacing w:before="0" w:after="283"/>
              <w:jc w:val="left"/>
              <w:rPr/>
            </w:pPr>
            <w:r>
              <w:rPr/>
              <w:t> </w:t>
            </w:r>
            <w:bookmarkStart w:id="258" w:name="xdx_408_eus-gaap--DebtConversionConverte"/>
            <w:bookmarkEnd w:id="258"/>
          </w:p>
        </w:tc>
      </w:tr>
      <w:tr>
        <w:trPr/>
        <w:tc>
          <w:tcPr>
            <w:tcW w:w="7032" w:type="dxa"/>
            <w:tcBorders/>
            <w:shd w:fill="CCEEFF" w:val="clear"/>
            <w:vAlign w:val="center"/>
          </w:tcPr>
          <w:p>
            <w:pPr>
              <w:pStyle w:val="TableContents"/>
              <w:bidi w:val="0"/>
              <w:spacing w:before="0" w:after="283"/>
              <w:jc w:val="left"/>
              <w:rPr/>
            </w:pPr>
            <w:r>
              <w:rPr/>
              <w:t>Common stock issued related to conversion of convertible debt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10,248</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15</w:t>
            </w:r>
          </w:p>
        </w:tc>
        <w:tc>
          <w:tcPr>
            <w:tcW w:w="115" w:type="dxa"/>
            <w:tcBorders/>
            <w:shd w:fill="CCEEFF" w:val="clear"/>
            <w:vAlign w:val="center"/>
          </w:tcPr>
          <w:p>
            <w:pPr>
              <w:pStyle w:val="TableContents"/>
              <w:bidi w:val="0"/>
              <w:spacing w:before="0" w:after="283"/>
              <w:jc w:val="left"/>
              <w:rPr/>
            </w:pPr>
            <w:r>
              <w:rPr/>
              <w:t> </w:t>
            </w:r>
            <w:bookmarkStart w:id="259" w:name="xdx_403_eus-gaap--RightOfUseAssetObtaine"/>
            <w:bookmarkEnd w:id="259"/>
          </w:p>
        </w:tc>
      </w:tr>
      <w:tr>
        <w:trPr/>
        <w:tc>
          <w:tcPr>
            <w:tcW w:w="7032" w:type="dxa"/>
            <w:tcBorders/>
            <w:shd w:fill="FFFF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1,276</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0" w:name="sq_018"/>
      <w:bookmarkEnd w:id="260"/>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1" w:name="xdx_80D_eus-gaap--BusinessDescriptionAnd"/>
      <w:bookmarkEnd w:id="261"/>
      <w:r>
        <w:rPr>
          <w:rFonts w:ascii="Times New Roman;Times;Serif" w:hAnsi="Times New Roman;Times;Serif"/>
          <w:b/>
          <w:i w:val="false"/>
          <w:caps w:val="false"/>
          <w:smallCaps w:val="false"/>
          <w:sz w:val="20"/>
        </w:rPr>
        <w:t xml:space="preserve">(1) </w:t>
      </w:r>
      <w:bookmarkStart w:id="262" w:name="xdx_82D_zXjtwU6XpNmd"/>
      <w:bookmarkEnd w:id="262"/>
      <w:r>
        <w:rPr>
          <w:rFonts w:ascii="Times New Roman;Times;Serif" w:hAnsi="Times New Roman;Times;Serif"/>
          <w:b/>
          <w:i w:val="false"/>
          <w:caps w:val="false"/>
          <w:smallCaps w:val="false"/>
          <w:sz w:val="20"/>
        </w:rPr>
        <w:t>Background, Basis of Presentation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2025, as filed with the SEC and elsewhere in subsequent Exchange Act filings, including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2026, the Company incurred a net loss of approximately $</w:t>
      </w:r>
      <w:bookmarkStart w:id="263" w:name="xdx_90B_eus-gaap--NetIncomeLoss_iN_pn5n6"/>
      <w:bookmarkEnd w:id="263"/>
      <w:r>
        <w:rPr>
          <w:rFonts w:ascii="Times New Roman;Times;Serif" w:hAnsi="Times New Roman;Times;Serif"/>
          <w:b w:val="false"/>
          <w:i w:val="false"/>
          <w:caps w:val="false"/>
          <w:smallCaps w:val="false"/>
          <w:sz w:val="20"/>
        </w:rPr>
        <w:t>29.6 million and used cash in operations of approximately $</w:t>
      </w:r>
      <w:bookmarkStart w:id="264" w:name="xdx_90E_eus-gaap--NetCashProvidedByUsedI"/>
      <w:bookmarkEnd w:id="264"/>
      <w:r>
        <w:rPr>
          <w:rFonts w:ascii="Times New Roman;Times;Serif" w:hAnsi="Times New Roman;Times;Serif"/>
          <w:b w:val="false"/>
          <w:i w:val="false"/>
          <w:caps w:val="false"/>
          <w:smallCaps w:val="false"/>
          <w:sz w:val="20"/>
        </w:rPr>
        <w:t>19.9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5" w:name="xdx_800_eus-gaap--SignificantAccountingP"/>
      <w:bookmarkEnd w:id="265"/>
      <w:r>
        <w:rPr>
          <w:rFonts w:ascii="Times New Roman;Times;Serif" w:hAnsi="Times New Roman;Times;Serif"/>
          <w:b/>
          <w:i w:val="false"/>
          <w:caps w:val="false"/>
          <w:smallCaps w:val="false"/>
          <w:sz w:val="20"/>
        </w:rPr>
        <w:t xml:space="preserve">(2) </w:t>
      </w:r>
      <w:bookmarkStart w:id="266" w:name="xdx_82D_zP5N0tvVlWm4"/>
      <w:bookmarkEnd w:id="26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7" w:name="xdx_84B_eus-gaap--ConsolidationPolicyTex"/>
      <w:bookmarkEnd w:id="267"/>
      <w:r>
        <w:rPr>
          <w:rFonts w:ascii="Times New Roman;Times;Serif" w:hAnsi="Times New Roman;Times;Serif"/>
          <w:b/>
          <w:i/>
          <w:caps w:val="false"/>
          <w:smallCaps w:val="false"/>
          <w:sz w:val="20"/>
        </w:rPr>
        <w:t xml:space="preserve">(a) </w:t>
      </w:r>
      <w:bookmarkStart w:id="268" w:name="xdx_861_z7xi9TtH0LAb"/>
      <w:bookmarkEnd w:id="268"/>
      <w:r>
        <w:rPr>
          <w:rFonts w:ascii="Times New Roman;Times;Serif" w:hAnsi="Times New Roman;Times;Serif"/>
          <w:b/>
          <w:i/>
          <w:caps w:val="false"/>
          <w:smallCaps w:val="false"/>
          <w:sz w:val="20"/>
        </w:rPr>
        <w:t>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Oregon Wave Energy Partners I LLC (DE), and ReedSport OPT WavePark, LLC (OR). Ocean Power Technologies Ltd. in the United Kingdom was dissolved on April 22, 2025. ReedSport OPT WavePark, LLC (OR) and Oregon Wave Energy Partners I, LLC (DE) were dissolved during the first quarter of fiscal 2024.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9" w:name="xdx_84F_eus-gaap--UseOfEstimates_zo6Sh07"/>
      <w:bookmarkEnd w:id="269"/>
      <w:r>
        <w:rPr>
          <w:rFonts w:ascii="Times New Roman;Times;Serif" w:hAnsi="Times New Roman;Times;Serif"/>
          <w:b/>
          <w:i/>
          <w:caps w:val="false"/>
          <w:smallCaps w:val="false"/>
          <w:sz w:val="20"/>
        </w:rPr>
        <w:t xml:space="preserve">(b) </w:t>
      </w:r>
      <w:bookmarkStart w:id="270" w:name="xdx_866_zcZqH7MeXb0b"/>
      <w:bookmarkEnd w:id="270"/>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share-based compensation based on the likelihood of meeting performance obligations, over time revenue recognition, valuation consideration related to business combinations, including contingent consideration based on actual and projected revenues, in addition to discount rates and present values, and other assumptions and estimates used to evaluate the recoverability of long-lived assets, goodwill and other intangible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1" w:name="xdx_84C_eus-gaap--CashAndCashEquivalents"/>
      <w:bookmarkEnd w:id="271"/>
      <w:r>
        <w:rPr>
          <w:rFonts w:ascii="Times New Roman;Times;Serif" w:hAnsi="Times New Roman;Times;Serif"/>
          <w:b/>
          <w:i/>
          <w:caps w:val="false"/>
          <w:smallCaps w:val="false"/>
          <w:sz w:val="20"/>
        </w:rPr>
        <w:t xml:space="preserve">(c) </w:t>
      </w:r>
      <w:bookmarkStart w:id="272" w:name="xdx_861_zUyWWWsuAF19"/>
      <w:bookmarkEnd w:id="272"/>
      <w:r>
        <w:rPr>
          <w:rFonts w:ascii="Times New Roman;Times;Serif" w:hAnsi="Times New Roman;Times;Serif"/>
          <w:b/>
          <w:i/>
          <w:caps w:val="false"/>
          <w:smallCaps w:val="false"/>
          <w:sz w:val="20"/>
        </w:rPr>
        <w:t>Cash, Cash Equivalents, 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The Company had cash and cash equivalents of approximately $</w:t>
      </w:r>
      <w:bookmarkStart w:id="273" w:name="xdx_90A_eus-gaap--CashEquivalentsAtCarry"/>
      <w:bookmarkEnd w:id="273"/>
      <w:r>
        <w:rPr>
          <w:rFonts w:ascii="Times New Roman;Times;Serif" w:hAnsi="Times New Roman;Times;Serif"/>
          <w:b w:val="false"/>
          <w:i w:val="false"/>
          <w:caps w:val="false"/>
          <w:smallCaps w:val="false"/>
          <w:sz w:val="20"/>
        </w:rPr>
        <w:t>7.1 million and $</w:t>
      </w:r>
      <w:bookmarkStart w:id="274" w:name="xdx_902_eus-gaap--CashEquivalentsAtCarry"/>
      <w:bookmarkEnd w:id="274"/>
      <w:r>
        <w:rPr>
          <w:rFonts w:ascii="Times New Roman;Times;Serif" w:hAnsi="Times New Roman;Times;Serif"/>
          <w:b w:val="false"/>
          <w:i w:val="false"/>
          <w:caps w:val="false"/>
          <w:smallCaps w:val="false"/>
          <w:sz w:val="20"/>
        </w:rPr>
        <w:t>6.7 million as of January 31, 2026 and April 30, 2025,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275" w:name="xdx_903_eus-gaap--Deposits_iI_pn3d_c2026"/>
      <w:bookmarkEnd w:id="275"/>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6" w:name="xdx_898_eus-gaap--ScheduleOfRestrictedCa"/>
      <w:bookmarkEnd w:id="276"/>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7" w:name="xdx_8BE_z0NBcE2HNPDk"/>
      <w:bookmarkEnd w:id="277"/>
      <w:r>
        <w:rPr>
          <w:rFonts w:ascii="Times New Roman;Times;Serif" w:hAnsi="Times New Roman;Times;Serif"/>
          <w:b w:val="false"/>
          <w:i w:val="false"/>
          <w:caps w:val="false"/>
          <w:smallCaps w:val="false"/>
          <w:sz w:val="20"/>
        </w:rPr>
        <w:t>Schedule of Cash, Cash Equivalents and Restricted Cash </w:t>
      </w:r>
    </w:p>
    <w:tbl>
      <w:tblPr>
        <w:tblW w:w="10050" w:type="dxa"/>
        <w:jc w:val="left"/>
        <w:tblInd w:w="0" w:type="dxa"/>
        <w:tblLayout w:type="fixed"/>
        <w:tblCellMar>
          <w:top w:w="0" w:type="dxa"/>
          <w:left w:w="0" w:type="dxa"/>
          <w:bottom w:w="0" w:type="dxa"/>
          <w:right w:w="0" w:type="dxa"/>
        </w:tblCellMar>
      </w:tblPr>
      <w:tblGrid>
        <w:gridCol w:w="6560"/>
        <w:gridCol w:w="60"/>
        <w:gridCol w:w="355"/>
        <w:gridCol w:w="1420"/>
        <w:gridCol w:w="60"/>
        <w:gridCol w:w="60"/>
        <w:gridCol w:w="292"/>
        <w:gridCol w:w="1168"/>
        <w:gridCol w:w="75"/>
      </w:tblGrid>
      <w:tr>
        <w:trPr/>
        <w:tc>
          <w:tcPr>
            <w:tcW w:w="6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8" w:name="xdx_495_20260131_zkIZPUEtTqV1"/>
            <w:bookmarkEnd w:id="278"/>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9A_20250430_zrvVtyhVZt14"/>
            <w:bookmarkEnd w:id="279"/>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280" w:name="xdx_40D_eus-gaap--CashAndCashEquivalents"/>
            <w:bookmarkEnd w:id="280"/>
          </w:p>
        </w:tc>
      </w:tr>
      <w:tr>
        <w:trPr/>
        <w:tc>
          <w:tcPr>
            <w:tcW w:w="65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7,056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6,715</w:t>
            </w:r>
          </w:p>
        </w:tc>
        <w:tc>
          <w:tcPr>
            <w:tcW w:w="75" w:type="dxa"/>
            <w:tcBorders/>
            <w:shd w:fill="CCEEFF" w:val="clear"/>
            <w:vAlign w:val="center"/>
          </w:tcPr>
          <w:p>
            <w:pPr>
              <w:pStyle w:val="TableContents"/>
              <w:bidi w:val="0"/>
              <w:spacing w:before="0" w:after="283"/>
              <w:jc w:val="left"/>
              <w:rPr/>
            </w:pPr>
            <w:r>
              <w:rPr/>
              <w:t> </w:t>
            </w:r>
            <w:bookmarkStart w:id="281" w:name="xdx_401_eus-gaap--RestrictedCash_iI_pn3n"/>
            <w:bookmarkEnd w:id="281"/>
          </w:p>
        </w:tc>
      </w:tr>
      <w:tr>
        <w:trPr/>
        <w:tc>
          <w:tcPr>
            <w:tcW w:w="6560" w:type="dxa"/>
            <w:tcBorders/>
            <w:shd w:fill="FFFFFF" w:val="clear"/>
            <w:vAlign w:val="center"/>
          </w:tcPr>
          <w:p>
            <w:pPr>
              <w:pStyle w:val="TableContents"/>
              <w:bidi w:val="0"/>
              <w:spacing w:before="0" w:after="283"/>
              <w:jc w:val="left"/>
              <w:rPr/>
            </w:pPr>
            <w:r>
              <w:rPr/>
              <w:t>Restricted cash, long-term</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bookmarkStart w:id="282" w:name="xdx_400_eus-gaap--CashCashEquivalentsRes"/>
            <w:bookmarkEnd w:id="282"/>
          </w:p>
        </w:tc>
      </w:tr>
      <w:tr>
        <w:trPr/>
        <w:tc>
          <w:tcPr>
            <w:tcW w:w="6560" w:type="dxa"/>
            <w:tcBorders/>
            <w:shd w:fill="CCEEFF" w:val="clear"/>
            <w:vAlign w:val="center"/>
          </w:tcPr>
          <w:p>
            <w:pPr>
              <w:pStyle w:val="TableContents"/>
              <w:bidi w:val="0"/>
              <w:spacing w:before="0" w:after="283"/>
              <w:jc w:val="left"/>
              <w:rPr/>
            </w:pPr>
            <w:r>
              <w:rPr/>
              <w:t>Cash, cash equivalents, restricted cash and restricted cash equivalents</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7,210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6,869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83" w:name="xdx_8AB_zeREVrSydIli"/>
      <w:bookmarkEnd w:id="28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4" w:name="xdx_84E_eus-gaap--InventoryPolicyTextBlo"/>
      <w:bookmarkEnd w:id="284"/>
      <w:r>
        <w:rPr>
          <w:rFonts w:ascii="Times New Roman;Times;Serif" w:hAnsi="Times New Roman;Times;Serif"/>
          <w:b/>
          <w:i/>
          <w:caps w:val="false"/>
          <w:smallCaps w:val="false"/>
          <w:sz w:val="20"/>
        </w:rPr>
        <w:t xml:space="preserve">(d) </w:t>
      </w:r>
      <w:bookmarkStart w:id="285" w:name="xdx_867_zTLFBBOiGWO3"/>
      <w:bookmarkEnd w:id="285"/>
      <w:r>
        <w:rPr>
          <w:rFonts w:ascii="Times New Roman;Times;Serif" w:hAnsi="Times New Roman;Times;Serif"/>
          <w:b/>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330 (ASC 330), inventory is stated at the lower of cost or net realizable value applicable to goods on hand. Items remain in inventory until they are shipped to the customer, at which time the costs are transferred on a first in first out ( FIFO) basis to cost of revenues, or moved to leased assets as applicable, following the matching principle where costs and revenues are recognized in the same period. The Company has three classes of inventory; raw materials, work in process, and finished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6" w:name="xdx_84F_eus-gaap--TradeAndOtherAccountsR"/>
      <w:bookmarkEnd w:id="286"/>
      <w:r>
        <w:rPr>
          <w:rFonts w:ascii="Times New Roman;Times;Serif" w:hAnsi="Times New Roman;Times;Serif"/>
          <w:b/>
          <w:i/>
          <w:caps w:val="false"/>
          <w:smallCaps w:val="false"/>
          <w:sz w:val="20"/>
        </w:rPr>
        <w:t xml:space="preserve">(e) </w:t>
      </w:r>
      <w:bookmarkStart w:id="287" w:name="xdx_86A_z0WVONZlJAte"/>
      <w:bookmarkEnd w:id="287"/>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During the nine months ended January 31, 2026, the Company increased its allowance for credit losses primarily in connection with a specific customer whose outstanding balance exhibited extended aging and increased collection uncertainty. As a result of this customer-specific evaluation, the allowance for credit losses was approximately $</w:t>
      </w:r>
      <w:bookmarkStart w:id="288" w:name="xdx_900_eus-gaap--AllowanceForDoubtfulAc"/>
      <w:bookmarkEnd w:id="288"/>
      <w:r>
        <w:rPr>
          <w:rFonts w:ascii="Times New Roman;Times;Serif" w:hAnsi="Times New Roman;Times;Serif"/>
          <w:b w:val="false"/>
          <w:i w:val="false"/>
          <w:caps w:val="false"/>
          <w:smallCaps w:val="false"/>
          <w:sz w:val="20"/>
        </w:rPr>
        <w:t>560,000 at January 31, 2026, compared to $</w:t>
      </w:r>
      <w:bookmarkStart w:id="289" w:name="xdx_906_eus-gaap--AllowanceForDoubtfulAc"/>
      <w:bookmarkEnd w:id="289"/>
      <w:r>
        <w:rPr>
          <w:rFonts w:ascii="Times New Roman;Times;Serif" w:hAnsi="Times New Roman;Times;Serif"/>
          <w:b w:val="false"/>
          <w:i w:val="false"/>
          <w:caps w:val="false"/>
          <w:smallCaps w:val="false"/>
          <w:sz w:val="20"/>
        </w:rPr>
        <w:t>100,000 at April 30, 2025. Expected credit losses are written off in the period in which the underlying financial assets are determined to be uncollectible.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terms. Generally, invoicing occurs after the services are performed or control of the product has transferred to the customer. Accounts receivable, net represents an unconditional right to consideration arising from the Company’s performance under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0" w:name="xdx_84E_eus-gaap--PropertyPlantAndEquipm"/>
      <w:bookmarkEnd w:id="290"/>
      <w:r>
        <w:rPr>
          <w:rFonts w:ascii="Times New Roman;Times;Serif" w:hAnsi="Times New Roman;Times;Serif"/>
          <w:b/>
          <w:i/>
          <w:caps w:val="false"/>
          <w:smallCaps w:val="false"/>
          <w:sz w:val="20"/>
        </w:rPr>
        <w:t xml:space="preserve">(f) </w:t>
      </w:r>
      <w:bookmarkStart w:id="291" w:name="xdx_86E_zlI9Xuar05D7"/>
      <w:bookmarkEnd w:id="291"/>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net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2" w:name="xdx_8BA_z31ISaAM3Eta"/>
      <w:bookmarkStart w:id="293" w:name="xdx_89D_ecustom--PropertyPlantAndEquipme"/>
      <w:bookmarkEnd w:id="292"/>
      <w:bookmarkEnd w:id="293"/>
      <w:r>
        <w:rPr>
          <w:rFonts w:ascii="Times New Roman;Times;Serif" w:hAnsi="Times New Roman;Times;Serif"/>
          <w:b w:val="false"/>
          <w:i w:val="false"/>
          <w:caps w:val="false"/>
          <w:smallCaps w:val="false"/>
          <w:sz w:val="20"/>
        </w:rPr>
        <w:t>Schedule of Property and Equipment Estimated Useful Life </w:t>
      </w:r>
    </w:p>
    <w:tbl>
      <w:tblPr>
        <w:tblW w:w="6610" w:type="dxa"/>
        <w:jc w:val="left"/>
        <w:tblInd w:w="0" w:type="dxa"/>
        <w:tblLayout w:type="fixed"/>
        <w:tblCellMar>
          <w:top w:w="0" w:type="dxa"/>
          <w:left w:w="0" w:type="dxa"/>
          <w:bottom w:w="28" w:type="dxa"/>
          <w:right w:w="0" w:type="dxa"/>
        </w:tblCellMar>
      </w:tblPr>
      <w:tblGrid>
        <w:gridCol w:w="2675"/>
        <w:gridCol w:w="60"/>
        <w:gridCol w:w="3875"/>
      </w:tblGrid>
      <w:tr>
        <w:trPr/>
        <w:tc>
          <w:tcPr>
            <w:tcW w:w="26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Estimated depreciable life</w:t>
            </w:r>
          </w:p>
        </w:tc>
      </w:tr>
      <w:tr>
        <w:trPr/>
        <w:tc>
          <w:tcPr>
            <w:tcW w:w="267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both"/>
              <w:rPr/>
            </w:pPr>
            <w:r>
              <w:rPr/>
              <w:t> </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bookmarkStart w:id="294" w:name="xdx_907_eus-gaap--PropertyPlantAndEquipm"/>
            <w:bookmarkEnd w:id="294"/>
            <w:r>
              <w:rPr>
                <w:rFonts w:ascii="Times New Roman;Times;Serif" w:hAnsi="Times New Roman;Times;Serif"/>
                <w:sz w:val="20"/>
              </w:rPr>
              <w:t>5-</w:t>
            </w:r>
            <w:bookmarkStart w:id="295" w:name="xdx_909_eus-gaap--PropertyPlantAndEquipm"/>
            <w:bookmarkEnd w:id="295"/>
            <w:r>
              <w:rPr>
                <w:rFonts w:ascii="Times New Roman;Times;Serif" w:hAnsi="Times New Roman;Times;Serif"/>
                <w:sz w:val="20"/>
              </w:rPr>
              <w:t>7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bookmarkStart w:id="296" w:name="xdx_904_eus-gaap--PropertyPlantAndEquipm"/>
            <w:bookmarkEnd w:id="296"/>
            <w:r>
              <w:rPr>
                <w:rFonts w:ascii="Times New Roman;Times;Serif" w:hAnsi="Times New Roman;Times;Serif"/>
                <w:sz w:val="20"/>
              </w:rPr>
              <w:t>3 years</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bookmarkStart w:id="297" w:name="xdx_90A_eus-gaap--PropertyPlantAndEquipm"/>
            <w:bookmarkEnd w:id="297"/>
            <w:r>
              <w:rPr>
                <w:rFonts w:ascii="Times New Roman;Times;Serif" w:hAnsi="Times New Roman;Times;Serif"/>
                <w:sz w:val="20"/>
              </w:rPr>
              <w:t>3-</w:t>
            </w:r>
            <w:bookmarkStart w:id="298" w:name="xdx_908_eus-gaap--PropertyPlantAndEquipm"/>
            <w:bookmarkEnd w:id="298"/>
            <w:r>
              <w:rPr>
                <w:rFonts w:ascii="Times New Roman;Times;Serif" w:hAnsi="Times New Roman;Times;Serif"/>
                <w:sz w:val="20"/>
              </w:rPr>
              <w:t>7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bookmarkStart w:id="299" w:name="xdx_90B_eus-gaap--PropertyPlantAndEquipm"/>
            <w:bookmarkEnd w:id="299"/>
            <w:r>
              <w:rPr>
                <w:rFonts w:ascii="Times New Roman;Times;Serif" w:hAnsi="Times New Roman;Times;Serif"/>
                <w:sz w:val="20"/>
              </w:rPr>
              <w:t>Shorter of the estimated useful life or lease term</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Leased Power Buoy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bookmarkStart w:id="300" w:name="xdx_903_eus-gaap--PropertyPlantAndEquipm"/>
            <w:bookmarkEnd w:id="300"/>
            <w:r>
              <w:rPr>
                <w:rFonts w:ascii="Times New Roman;Times;Serif" w:hAnsi="Times New Roman;Times;Serif"/>
                <w:sz w:val="20"/>
              </w:rPr>
              <w:t>10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Leased WAM-V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bookmarkStart w:id="301" w:name="xdx_907_eus-gaap--PropertyPlantAndEquipm"/>
            <w:bookmarkEnd w:id="301"/>
            <w:r>
              <w:rPr>
                <w:rFonts w:ascii="Times New Roman;Times;Serif" w:hAnsi="Times New Roman;Times;Serif"/>
                <w:sz w:val="20"/>
              </w:rPr>
              <w:t>10 years</w:t>
            </w:r>
          </w:p>
        </w:tc>
      </w:tr>
    </w:tbl>
    <w:p>
      <w:pPr>
        <w:pStyle w:val="TextBody"/>
        <w:bidi w:val="0"/>
        <w:spacing w:before="0" w:after="0"/>
        <w:ind w:left="0" w:right="0" w:hanging="0"/>
        <w:jc w:val="both"/>
        <w:rPr>
          <w:caps w:val="false"/>
          <w:smallCaps w:val="false"/>
        </w:rPr>
      </w:pPr>
      <w:bookmarkStart w:id="302" w:name="xdx_8A3_zPJy9aLV2Cwh"/>
      <w:bookmarkEnd w:id="30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3" w:name="xdx_84E_eus-gaap--ForeignCurrencyTransac"/>
      <w:bookmarkEnd w:id="303"/>
      <w:r>
        <w:rPr>
          <w:rFonts w:ascii="Times New Roman;Times;Serif" w:hAnsi="Times New Roman;Times;Serif"/>
          <w:b/>
          <w:i/>
          <w:caps w:val="false"/>
          <w:smallCaps w:val="false"/>
          <w:sz w:val="20"/>
        </w:rPr>
        <w:t xml:space="preserve">(g) </w:t>
      </w:r>
      <w:bookmarkStart w:id="304" w:name="xdx_863_znzGuEpo5wYi"/>
      <w:bookmarkEnd w:id="304"/>
      <w:r>
        <w:rPr>
          <w:rFonts w:ascii="Times New Roman;Times;Serif" w:hAnsi="Times New Roman;Times;Serif"/>
          <w:b/>
          <w:i/>
          <w:caps w:val="false"/>
          <w:smallCaps w:val="false"/>
          <w:sz w:val="20"/>
        </w:rPr>
        <w:t>Foreign Exchange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a foreign currency may result in realized and unrealized foreign exchange gains or losses from exchange rate fluctuations, which, if applicable, are included in “Foreign exchange loss”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5" w:name="xdx_84E_eus-gaap--ConcentrationRiskCredi"/>
      <w:bookmarkEnd w:id="305"/>
      <w:r>
        <w:rPr>
          <w:rFonts w:ascii="Times New Roman;Times;Serif" w:hAnsi="Times New Roman;Times;Serif"/>
          <w:b/>
          <w:i/>
          <w:caps w:val="false"/>
          <w:smallCaps w:val="false"/>
          <w:sz w:val="20"/>
        </w:rPr>
        <w:t xml:space="preserve">(h) </w:t>
      </w:r>
      <w:bookmarkStart w:id="306" w:name="xdx_863_zRHlTvew3QFc"/>
      <w:bookmarkEnd w:id="306"/>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performs a credit evaluation of new customers prior to extending credit terms and monitors existing customers for changes in credit quality. The Company invests its excess cash in a money market fund and does not believe that it is exposed to any significant risks related to its cash accounts or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nine months ended January 31, 2026 and 2025, the Company had five and four customers, respectively, whose revenues accounted for at least 10% of the Company’s consolidated revenues. These revenues accounted for approximately </w:t>
      </w:r>
      <w:bookmarkStart w:id="307" w:name="xdx_90A_eus-gaap--ConcentrationRiskPerce"/>
      <w:bookmarkEnd w:id="307"/>
      <w:r>
        <w:rPr>
          <w:rFonts w:ascii="Times New Roman;Times;Serif" w:hAnsi="Times New Roman;Times;Serif"/>
          <w:b w:val="false"/>
          <w:i w:val="false"/>
          <w:caps w:val="false"/>
          <w:smallCaps w:val="false"/>
          <w:sz w:val="20"/>
        </w:rPr>
        <w:t xml:space="preserve">81% and </w:t>
      </w:r>
      <w:bookmarkStart w:id="308" w:name="xdx_90B_eus-gaap--ConcentrationRiskPerce"/>
      <w:bookmarkEnd w:id="308"/>
      <w:r>
        <w:rPr>
          <w:rFonts w:ascii="Times New Roman;Times;Serif" w:hAnsi="Times New Roman;Times;Serif"/>
          <w:b w:val="false"/>
          <w:i w:val="false"/>
          <w:caps w:val="false"/>
          <w:smallCaps w:val="false"/>
          <w:sz w:val="20"/>
        </w:rPr>
        <w:t xml:space="preserve">73% of the Company’s total revenues for the respective periods. For the three months ended January 31, 2026 and 2025, the Company had two and three customers, respectively, whose revenues accounted for at least 10% of the Company’s consolidated revenues. These revenues accounted for approximately </w:t>
      </w:r>
      <w:bookmarkStart w:id="309" w:name="xdx_905_eus-gaap--ConcentrationRiskPerce"/>
      <w:bookmarkEnd w:id="309"/>
      <w:r>
        <w:rPr>
          <w:rFonts w:ascii="Times New Roman;Times;Serif" w:hAnsi="Times New Roman;Times;Serif"/>
          <w:b w:val="false"/>
          <w:i w:val="false"/>
          <w:caps w:val="false"/>
          <w:smallCaps w:val="false"/>
          <w:sz w:val="20"/>
        </w:rPr>
        <w:t xml:space="preserve">73% and </w:t>
      </w:r>
      <w:bookmarkStart w:id="310" w:name="xdx_903_eus-gaap--ConcentrationRiskPerce"/>
      <w:bookmarkEnd w:id="310"/>
      <w:r>
        <w:rPr>
          <w:rFonts w:ascii="Times New Roman;Times;Serif" w:hAnsi="Times New Roman;Times;Serif"/>
          <w:b w:val="false"/>
          <w:i w:val="false"/>
          <w:caps w:val="false"/>
          <w:smallCaps w:val="false"/>
          <w:sz w:val="20"/>
        </w:rPr>
        <w:t>95% of the Company’s total revenues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2026 and 2025, the Company had one and four customers, respectively, whose total receivable balance accounted for at least 10% of the Company’s consolidated receivables. These receivables accounted for approximately </w:t>
      </w:r>
      <w:bookmarkStart w:id="311" w:name="xdx_90E_eus-gaap--ConcentrationRiskPerce"/>
      <w:bookmarkEnd w:id="311"/>
      <w:r>
        <w:rPr>
          <w:rFonts w:ascii="Times New Roman;Times;Serif" w:hAnsi="Times New Roman;Times;Serif"/>
          <w:b w:val="false"/>
          <w:i w:val="false"/>
          <w:caps w:val="false"/>
          <w:smallCaps w:val="false"/>
          <w:sz w:val="20"/>
        </w:rPr>
        <w:t xml:space="preserve">76% and </w:t>
      </w:r>
      <w:bookmarkStart w:id="312" w:name="xdx_905_eus-gaap--ConcentrationRiskPerce"/>
      <w:bookmarkEnd w:id="312"/>
      <w:r>
        <w:rPr>
          <w:rFonts w:ascii="Times New Roman;Times;Serif" w:hAnsi="Times New Roman;Times;Serif"/>
          <w:b w:val="false"/>
          <w:i w:val="false"/>
          <w:caps w:val="false"/>
          <w:smallCaps w:val="false"/>
          <w:sz w:val="20"/>
        </w:rPr>
        <w:t>95% of the Company’s total receivables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2026, one commercial customer represented about </w:t>
      </w:r>
      <w:bookmarkStart w:id="313" w:name="xdx_90A_eus-gaap--ConcentrationRiskPerce"/>
      <w:bookmarkEnd w:id="313"/>
      <w:r>
        <w:rPr>
          <w:rFonts w:ascii="Times New Roman;Times;Serif" w:hAnsi="Times New Roman;Times;Serif"/>
          <w:b w:val="false"/>
          <w:i w:val="false"/>
          <w:caps w:val="false"/>
          <w:smallCaps w:val="false"/>
          <w:sz w:val="20"/>
        </w:rPr>
        <w:t xml:space="preserve">5% of our accounts receivable balance. As part of that contract, we granted extended payment terms that are not typical for the Company, which increases our credit exposure. We continue to monitor this receivable closely, and while we have not recorded an allowance because we believe collectability is probable, we acknowledge that these terms carry additional risk if the customer’s financial condition changes. In addition, we have fully reserved one other receivable balance from one customer that represented </w:t>
      </w:r>
      <w:bookmarkStart w:id="314" w:name="xdx_90A_eus-gaap--ConcentrationRiskPerce"/>
      <w:bookmarkEnd w:id="314"/>
      <w:r>
        <w:rPr>
          <w:rFonts w:ascii="Times New Roman;Times;Serif" w:hAnsi="Times New Roman;Times;Serif"/>
          <w:b w:val="false"/>
          <w:i w:val="false"/>
          <w:caps w:val="false"/>
          <w:smallCaps w:val="false"/>
          <w:sz w:val="20"/>
        </w:rPr>
        <w:t>6% of the total gross accounts receivable balance, recognizing a loss of $</w:t>
      </w:r>
      <w:bookmarkStart w:id="315" w:name="xdx_901_eus-gaap--IncomeTaxExpenseBenefi"/>
      <w:bookmarkEnd w:id="315"/>
      <w:r>
        <w:rPr>
          <w:rFonts w:ascii="Times New Roman;Times;Serif" w:hAnsi="Times New Roman;Times;Serif"/>
          <w:b w:val="false"/>
          <w:i w:val="false"/>
          <w:caps w:val="false"/>
          <w:smallCaps w:val="false"/>
          <w:sz w:val="20"/>
        </w:rPr>
        <w:t>373,000 for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6" w:name="xdx_844_eus-gaap--ShareBasedCompensation"/>
      <w:bookmarkEnd w:id="316"/>
      <w:r>
        <w:rPr>
          <w:rFonts w:ascii="Times New Roman;Times;Serif" w:hAnsi="Times New Roman;Times;Serif"/>
          <w:b/>
          <w:i/>
          <w:caps w:val="false"/>
          <w:smallCaps w:val="false"/>
          <w:sz w:val="20"/>
        </w:rPr>
        <w:t xml:space="preserve">(i) </w:t>
      </w:r>
      <w:bookmarkStart w:id="317" w:name="xdx_86C_zzZ0zp92WRE6"/>
      <w:bookmarkEnd w:id="317"/>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nine months ended January 31, 2026 and 2025 was approximately $</w:t>
      </w:r>
      <w:bookmarkStart w:id="318" w:name="xdx_90C_eus-gaap--ShareBasedCompensation"/>
      <w:bookmarkEnd w:id="318"/>
      <w:r>
        <w:rPr>
          <w:rFonts w:ascii="Times New Roman;Times;Serif" w:hAnsi="Times New Roman;Times;Serif"/>
          <w:b w:val="false"/>
          <w:i w:val="false"/>
          <w:caps w:val="false"/>
          <w:smallCaps w:val="false"/>
          <w:sz w:val="20"/>
        </w:rPr>
        <w:t>7.8 million and $</w:t>
      </w:r>
      <w:bookmarkStart w:id="319" w:name="xdx_900_eus-gaap--ShareBasedCompensation"/>
      <w:bookmarkEnd w:id="319"/>
      <w:r>
        <w:rPr>
          <w:rFonts w:ascii="Times New Roman;Times;Serif" w:hAnsi="Times New Roman;Times;Serif"/>
          <w:b w:val="false"/>
          <w:i w:val="false"/>
          <w:caps w:val="false"/>
          <w:smallCaps w:val="false"/>
          <w:sz w:val="20"/>
        </w:rPr>
        <w:t>1.3 million, respectively. The aggregate share-based compensation expense recorded in the Consolidated Statements of Operations for the three months ended January 31, 2026 and 2025 was approximately $</w:t>
      </w:r>
      <w:bookmarkStart w:id="320" w:name="xdx_90A_eus-gaap--ShareBasedCompensation"/>
      <w:bookmarkEnd w:id="320"/>
      <w:r>
        <w:rPr>
          <w:rFonts w:ascii="Times New Roman;Times;Serif" w:hAnsi="Times New Roman;Times;Serif"/>
          <w:b w:val="false"/>
          <w:i w:val="false"/>
          <w:caps w:val="false"/>
          <w:smallCaps w:val="false"/>
          <w:sz w:val="20"/>
        </w:rPr>
        <w:t>2.6 million and $</w:t>
      </w:r>
      <w:bookmarkStart w:id="321" w:name="xdx_90A_eus-gaap--ShareBasedCompensation"/>
      <w:bookmarkEnd w:id="321"/>
      <w:r>
        <w:rPr>
          <w:rFonts w:ascii="Times New Roman;Times;Serif" w:hAnsi="Times New Roman;Times;Serif"/>
          <w:b w:val="false"/>
          <w:i w:val="false"/>
          <w:caps w:val="false"/>
          <w:smallCaps w:val="false"/>
          <w:sz w:val="20"/>
        </w:rPr>
        <w:t>0.8 million, respectively. The Company’s policy is to account for forfeitures of share-based compensation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implication, the Company maintains those shares in the Company’s treasury stock account. Shares held in the Company’s treasury stock account are not available for future RSU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2" w:name="xdx_84D_eus-gaap--RevenueFromContractWit"/>
      <w:bookmarkEnd w:id="322"/>
      <w:r>
        <w:rPr>
          <w:rFonts w:ascii="Times New Roman;Times;Serif" w:hAnsi="Times New Roman;Times;Serif"/>
          <w:b/>
          <w:i/>
          <w:caps w:val="false"/>
          <w:smallCaps w:val="false"/>
          <w:sz w:val="20"/>
        </w:rPr>
        <w:t xml:space="preserve">(j) </w:t>
      </w:r>
      <w:bookmarkStart w:id="323" w:name="xdx_86B_z5Ah700bKp88"/>
      <w:bookmarkEnd w:id="323"/>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January 31, 2026 or 2025.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For the quarter ended January 31, 2026 the Company recorded one-time losses associated with two contracts in strategically important markets. The expenses associated with these projects are now substantially complete, although they will continue to generate revenue over the next several months. Importantly, our core programs and commercial pipeline continue to demonstrate improving margin quality and operating leverage.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nine-month period ended January 31, 2026, the Company recognized approximately $</w:t>
      </w:r>
      <w:bookmarkStart w:id="324" w:name="xdx_90E_eus-gaap--Revenues_pn5n6_c202505"/>
      <w:bookmarkEnd w:id="324"/>
      <w:r>
        <w:rPr>
          <w:rFonts w:ascii="Times New Roman;Times;Serif" w:hAnsi="Times New Roman;Times;Serif"/>
          <w:b w:val="false"/>
          <w:i w:val="false"/>
          <w:caps w:val="false"/>
          <w:smallCaps w:val="false"/>
          <w:sz w:val="20"/>
        </w:rPr>
        <w:t>1.7 million in revenue related to performance obligations satisfied at a point in time and approximately $</w:t>
      </w:r>
      <w:bookmarkStart w:id="325" w:name="xdx_903_eus-gaap--Revenues_pn5n6_c202505"/>
      <w:bookmarkEnd w:id="325"/>
      <w:r>
        <w:rPr>
          <w:rFonts w:ascii="Times New Roman;Times;Serif" w:hAnsi="Times New Roman;Times;Serif"/>
          <w:b w:val="false"/>
          <w:i w:val="false"/>
          <w:caps w:val="false"/>
          <w:smallCaps w:val="false"/>
          <w:sz w:val="20"/>
        </w:rPr>
        <w:t>0.4 million in revenue related to performance obligations satisfied over time. During the nine-month period ended January 31, 2025, the Company recognized approximately $</w:t>
      </w:r>
      <w:bookmarkStart w:id="326" w:name="xdx_908_eus-gaap--Revenues_pn5n6_c202405"/>
      <w:bookmarkEnd w:id="326"/>
      <w:r>
        <w:rPr>
          <w:rFonts w:ascii="Times New Roman;Times;Serif" w:hAnsi="Times New Roman;Times;Serif"/>
          <w:b w:val="false"/>
          <w:i w:val="false"/>
          <w:caps w:val="false"/>
          <w:smallCaps w:val="false"/>
          <w:sz w:val="20"/>
        </w:rPr>
        <w:t>4.0 million in revenue related to performance obligations satisfied at a point in time and approximately $</w:t>
      </w:r>
      <w:bookmarkStart w:id="327" w:name="xdx_900_eus-gaap--Revenues_pn5n6_c202405"/>
      <w:bookmarkEnd w:id="327"/>
      <w:r>
        <w:rPr>
          <w:rFonts w:ascii="Times New Roman;Times;Serif" w:hAnsi="Times New Roman;Times;Serif"/>
          <w:b w:val="false"/>
          <w:i w:val="false"/>
          <w:caps w:val="false"/>
          <w:smallCaps w:val="false"/>
          <w:sz w:val="20"/>
        </w:rPr>
        <w:t>0.5 million in revenue related to performance obligations satisfied over time. During the three-month period ended January 31, 2026, the Company recognized approximately $</w:t>
      </w:r>
      <w:bookmarkStart w:id="328" w:name="xdx_90B_eus-gaap--Revenues_pn5n6_c202511"/>
      <w:bookmarkEnd w:id="328"/>
      <w:r>
        <w:rPr>
          <w:rFonts w:ascii="Times New Roman;Times;Serif" w:hAnsi="Times New Roman;Times;Serif"/>
          <w:b w:val="false"/>
          <w:i w:val="false"/>
          <w:caps w:val="false"/>
          <w:smallCaps w:val="false"/>
          <w:sz w:val="20"/>
        </w:rPr>
        <w:t>0.4 million in revenue related to performance obligations satisfied at a point in time and approximately $</w:t>
      </w:r>
      <w:bookmarkStart w:id="329" w:name="xdx_90D_eus-gaap--Revenues_pn5n6_c202511"/>
      <w:bookmarkEnd w:id="329"/>
      <w:r>
        <w:rPr>
          <w:rFonts w:ascii="Times New Roman;Times;Serif" w:hAnsi="Times New Roman;Times;Serif"/>
          <w:b w:val="false"/>
          <w:i w:val="false"/>
          <w:caps w:val="false"/>
          <w:smallCaps w:val="false"/>
          <w:sz w:val="20"/>
        </w:rPr>
        <w:t>0.1 million in revenue related to performance obligations satisfied over time. During the three-month period ended January 31, 2025, the Company recognized approximately $</w:t>
      </w:r>
      <w:bookmarkStart w:id="330" w:name="xdx_901_eus-gaap--Revenues_pn5n6_c202411"/>
      <w:bookmarkEnd w:id="330"/>
      <w:r>
        <w:rPr>
          <w:rFonts w:ascii="Times New Roman;Times;Serif" w:hAnsi="Times New Roman;Times;Serif"/>
          <w:b w:val="false"/>
          <w:i w:val="false"/>
          <w:caps w:val="false"/>
          <w:smallCaps w:val="false"/>
          <w:sz w:val="20"/>
        </w:rPr>
        <w:t>0.4 million in revenue related to performance obligations satisfied at a point in time and approximately $</w:t>
      </w:r>
      <w:bookmarkStart w:id="331" w:name="xdx_90C_eus-gaap--Revenues_pn5n6_c202411"/>
      <w:bookmarkEnd w:id="331"/>
      <w:r>
        <w:rPr>
          <w:rFonts w:ascii="Times New Roman;Times;Serif" w:hAnsi="Times New Roman;Times;Serif"/>
          <w:b w:val="false"/>
          <w:i w:val="false"/>
          <w:caps w:val="false"/>
          <w:smallCaps w:val="false"/>
          <w:sz w:val="20"/>
        </w:rPr>
        <w:t>0.4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agreements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each of the three-month periods ended January 31, 2026 and 2025, the majority of the Company’s contracts were classified as firm fixed-price and the remainder were cost-sharing.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financing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2" w:name="xdx_890_eus-gaap--DisaggregationOfRevenu"/>
      <w:bookmarkEnd w:id="332"/>
      <w:r>
        <w:rPr>
          <w:rFonts w:ascii="Times New Roman;Times;Serif" w:hAnsi="Times New Roman;Times;Serif"/>
          <w:b w:val="false"/>
          <w:i w:val="false"/>
          <w:caps w:val="false"/>
          <w:smallCaps w:val="false"/>
          <w:sz w:val="20"/>
        </w:rPr>
        <w:t>The table below represents the total revenue recognized under ASC 606 and ASC 842 for the three and nine months ended January 31,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B3_zNFun4iSnskf"/>
      <w:bookmarkEnd w:id="333"/>
      <w:r>
        <w:rPr>
          <w:rFonts w:ascii="Times New Roman;Times;Serif" w:hAnsi="Times New Roman;Times;Serif"/>
          <w:b w:val="false"/>
          <w:i w:val="false"/>
          <w:caps w:val="false"/>
          <w:smallCaps w:val="false"/>
          <w:sz w:val="20"/>
        </w:rPr>
        <w:t>Schedule of Revenue Recognized Under ASC 606 and ASC 842 </w:t>
      </w:r>
    </w:p>
    <w:tbl>
      <w:tblPr>
        <w:tblW w:w="10205" w:type="dxa"/>
        <w:jc w:val="left"/>
        <w:tblInd w:w="0" w:type="dxa"/>
        <w:tblLayout w:type="fixed"/>
        <w:tblCellMar>
          <w:top w:w="0" w:type="dxa"/>
          <w:left w:w="0" w:type="dxa"/>
          <w:bottom w:w="0" w:type="dxa"/>
          <w:right w:w="0" w:type="dxa"/>
        </w:tblCellMar>
      </w:tblPr>
      <w:tblGrid>
        <w:gridCol w:w="2372"/>
        <w:gridCol w:w="60"/>
        <w:gridCol w:w="337"/>
        <w:gridCol w:w="915"/>
        <w:gridCol w:w="100"/>
        <w:gridCol w:w="100"/>
        <w:gridCol w:w="337"/>
        <w:gridCol w:w="915"/>
        <w:gridCol w:w="100"/>
        <w:gridCol w:w="100"/>
        <w:gridCol w:w="237"/>
        <w:gridCol w:w="639"/>
        <w:gridCol w:w="60"/>
        <w:gridCol w:w="60"/>
        <w:gridCol w:w="337"/>
        <w:gridCol w:w="915"/>
        <w:gridCol w:w="100"/>
        <w:gridCol w:w="100"/>
        <w:gridCol w:w="444"/>
        <w:gridCol w:w="809"/>
        <w:gridCol w:w="100"/>
        <w:gridCol w:w="100"/>
        <w:gridCol w:w="237"/>
        <w:gridCol w:w="639"/>
        <w:gridCol w:w="92"/>
      </w:tblGrid>
      <w:tr>
        <w:trPr/>
        <w:tc>
          <w:tcPr>
            <w:tcW w:w="23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4" w:name="xdx_49B_20251101__20260131__us-gaap--Adj"/>
            <w:bookmarkEnd w:id="334"/>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606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335" w:name="xdx_491_20251101__20260131__us-gaap--Adj"/>
            <w:bookmarkEnd w:id="335"/>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842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336" w:name="xdx_491_20251101__20260131_zMiYCk6LXsYk"/>
            <w:bookmarkEnd w:id="336"/>
          </w:p>
        </w:tc>
        <w:tc>
          <w:tcPr>
            <w:tcW w:w="8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1_20241101__20250131__us-gaap--Adj"/>
            <w:bookmarkEnd w:id="337"/>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606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338" w:name="xdx_49C_20241101__20250131__us-gaap--Adj"/>
            <w:bookmarkEnd w:id="338"/>
          </w:p>
        </w:tc>
        <w:tc>
          <w:tcPr>
            <w:tcW w:w="12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842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339" w:name="xdx_49E_20241101__20250131_zbMeFc6GtMPk"/>
            <w:bookmarkEnd w:id="339"/>
          </w:p>
        </w:tc>
        <w:tc>
          <w:tcPr>
            <w:tcW w:w="8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2"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 2026</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 2025</w:t>
            </w:r>
          </w:p>
        </w:tc>
        <w:tc>
          <w:tcPr>
            <w:tcW w:w="92"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2"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0" w:type="dxa"/>
            <w:gridSpan w:val="10"/>
            <w:tcBorders/>
            <w:vAlign w:val="center"/>
          </w:tcPr>
          <w:p>
            <w:pPr>
              <w:pStyle w:val="TableContents"/>
              <w:bidi w:val="0"/>
              <w:spacing w:before="0" w:after="283"/>
              <w:jc w:val="center"/>
              <w:rPr/>
            </w:pPr>
            <w:r>
              <w:rPr/>
              <w:t>(in thousands)</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1" w:type="dxa"/>
            <w:gridSpan w:val="10"/>
            <w:tcBorders/>
            <w:vAlign w:val="center"/>
          </w:tcPr>
          <w:p>
            <w:pPr>
              <w:pStyle w:val="TableContents"/>
              <w:bidi w:val="0"/>
              <w:spacing w:before="0" w:after="283"/>
              <w:jc w:val="center"/>
              <w:rPr/>
            </w:pPr>
            <w:r>
              <w:rPr/>
              <w:t>(in thousands)</w:t>
            </w:r>
          </w:p>
        </w:tc>
        <w:tc>
          <w:tcPr>
            <w:tcW w:w="92"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bookmarkStart w:id="340" w:name="xdx_40B_eus-gaap--Revenues_pn3n3_hsrt--P"/>
            <w:bookmarkEnd w:id="340"/>
          </w:p>
        </w:tc>
      </w:tr>
      <w:tr>
        <w:trPr/>
        <w:tc>
          <w:tcPr>
            <w:tcW w:w="2372"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58</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64</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639" w:type="dxa"/>
            <w:tcBorders/>
            <w:shd w:fill="FFFFFF" w:val="clear"/>
            <w:vAlign w:val="center"/>
          </w:tcPr>
          <w:p>
            <w:pPr>
              <w:pStyle w:val="TableContents"/>
              <w:bidi w:val="0"/>
              <w:spacing w:before="0" w:after="283"/>
              <w:jc w:val="right"/>
              <w:rPr/>
            </w:pPr>
            <w:r>
              <w:rPr/>
              <w:t>122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580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w:t>
            </w:r>
          </w:p>
        </w:tc>
        <w:tc>
          <w:tcPr>
            <w:tcW w:w="809" w:type="dxa"/>
            <w:tcBorders/>
            <w:shd w:fill="FFFFFF" w:val="clear"/>
            <w:vAlign w:val="center"/>
          </w:tcPr>
          <w:p>
            <w:pPr>
              <w:pStyle w:val="TableContents"/>
              <w:bidi w:val="0"/>
              <w:spacing w:before="0" w:after="283"/>
              <w:jc w:val="right"/>
              <w:rPr/>
            </w:pPr>
            <w:r>
              <w:rPr/>
              <w:t>74</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639" w:type="dxa"/>
            <w:tcBorders/>
            <w:shd w:fill="FFFFFF" w:val="clear"/>
            <w:vAlign w:val="center"/>
          </w:tcPr>
          <w:p>
            <w:pPr>
              <w:pStyle w:val="TableContents"/>
              <w:bidi w:val="0"/>
              <w:spacing w:before="0" w:after="283"/>
              <w:jc w:val="right"/>
              <w:rPr/>
            </w:pPr>
            <w:r>
              <w:rPr/>
              <w:t>654</w:t>
            </w:r>
          </w:p>
        </w:tc>
        <w:tc>
          <w:tcPr>
            <w:tcW w:w="92" w:type="dxa"/>
            <w:tcBorders/>
            <w:shd w:fill="FFFFFF" w:val="clear"/>
            <w:vAlign w:val="center"/>
          </w:tcPr>
          <w:p>
            <w:pPr>
              <w:pStyle w:val="TableContents"/>
              <w:bidi w:val="0"/>
              <w:spacing w:before="0" w:after="283"/>
              <w:jc w:val="left"/>
              <w:rPr/>
            </w:pPr>
            <w:r>
              <w:rPr/>
              <w:t> </w:t>
            </w:r>
            <w:bookmarkStart w:id="341" w:name="xdx_409_eus-gaap--Revenues_pn3n3_hsrt--P"/>
            <w:bookmarkEnd w:id="341"/>
          </w:p>
        </w:tc>
      </w:tr>
      <w:tr>
        <w:trPr/>
        <w:tc>
          <w:tcPr>
            <w:tcW w:w="2372"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37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62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171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171</w:t>
            </w:r>
          </w:p>
        </w:tc>
        <w:tc>
          <w:tcPr>
            <w:tcW w:w="92" w:type="dxa"/>
            <w:tcBorders/>
            <w:shd w:fill="CCEEFF" w:val="clear"/>
            <w:vAlign w:val="center"/>
          </w:tcPr>
          <w:p>
            <w:pPr>
              <w:pStyle w:val="TableContents"/>
              <w:bidi w:val="0"/>
              <w:spacing w:before="0" w:after="283"/>
              <w:jc w:val="left"/>
              <w:rPr/>
            </w:pPr>
            <w:r>
              <w:rPr/>
              <w:t> </w:t>
            </w:r>
            <w:bookmarkStart w:id="342" w:name="xdx_402_eus-gaap--Revenues_pn3n3_hsrt--P"/>
            <w:bookmarkEnd w:id="342"/>
          </w:p>
        </w:tc>
      </w:tr>
      <w:tr>
        <w:trPr/>
        <w:tc>
          <w:tcPr>
            <w:tcW w:w="2372"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329</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329</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bookmarkStart w:id="343" w:name="xdx_400_eus-gaap--Revenues_pn3n3_hsrt--P"/>
            <w:bookmarkEnd w:id="343"/>
          </w:p>
        </w:tc>
      </w:tr>
      <w:tr>
        <w:trPr/>
        <w:tc>
          <w:tcPr>
            <w:tcW w:w="237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412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101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513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751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825</w:t>
            </w:r>
          </w:p>
        </w:tc>
        <w:tc>
          <w:tcPr>
            <w:tcW w:w="92" w:type="dxa"/>
            <w:tcBorders/>
            <w:shd w:fill="CCEEFF"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bookmarkStart w:id="344" w:name="xdx_40C_eus-gaap--Revenues_pn3n3_hsrt--S"/>
            <w:bookmarkEnd w:id="344"/>
          </w:p>
        </w:tc>
      </w:tr>
      <w:tr>
        <w:trPr/>
        <w:tc>
          <w:tcPr>
            <w:tcW w:w="2372"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45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37</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639" w:type="dxa"/>
            <w:tcBorders/>
            <w:shd w:fill="FFFFFF" w:val="clear"/>
            <w:vAlign w:val="center"/>
          </w:tcPr>
          <w:p>
            <w:pPr>
              <w:pStyle w:val="TableContents"/>
              <w:bidi w:val="0"/>
              <w:spacing w:before="0" w:after="283"/>
              <w:jc w:val="right"/>
              <w:rPr/>
            </w:pPr>
            <w:r>
              <w:rPr/>
              <w:t>82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326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w:t>
            </w:r>
          </w:p>
        </w:tc>
        <w:tc>
          <w:tcPr>
            <w:tcW w:w="809"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639" w:type="dxa"/>
            <w:tcBorders/>
            <w:shd w:fill="FFFFFF" w:val="clear"/>
            <w:vAlign w:val="center"/>
          </w:tcPr>
          <w:p>
            <w:pPr>
              <w:pStyle w:val="TableContents"/>
              <w:bidi w:val="0"/>
              <w:spacing w:before="0" w:after="283"/>
              <w:jc w:val="right"/>
              <w:rPr/>
            </w:pPr>
            <w:r>
              <w:rPr/>
              <w:t>326</w:t>
            </w:r>
          </w:p>
        </w:tc>
        <w:tc>
          <w:tcPr>
            <w:tcW w:w="92" w:type="dxa"/>
            <w:tcBorders/>
            <w:shd w:fill="FFFFFF" w:val="clear"/>
            <w:vAlign w:val="center"/>
          </w:tcPr>
          <w:p>
            <w:pPr>
              <w:pStyle w:val="TableContents"/>
              <w:bidi w:val="0"/>
              <w:spacing w:before="0" w:after="283"/>
              <w:jc w:val="left"/>
              <w:rPr/>
            </w:pPr>
            <w:r>
              <w:rPr/>
              <w:t> </w:t>
            </w:r>
            <w:bookmarkStart w:id="345" w:name="xdx_405_eus-gaap--Revenues_pn3n3_hsrt--S"/>
            <w:bookmarkEnd w:id="345"/>
          </w:p>
        </w:tc>
      </w:tr>
      <w:tr>
        <w:trPr/>
        <w:tc>
          <w:tcPr>
            <w:tcW w:w="2372" w:type="dxa"/>
            <w:tcBorders/>
            <w:shd w:fill="CCEEFF" w:val="clear"/>
            <w:vAlign w:val="center"/>
          </w:tcPr>
          <w:p>
            <w:pPr>
              <w:pStyle w:val="TableContents"/>
              <w:bidi w:val="0"/>
              <w:spacing w:before="0" w:after="283"/>
              <w:jc w:val="left"/>
              <w:rPr/>
            </w:pPr>
            <w:r>
              <w:rPr/>
              <w:t>EMEA</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72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64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136</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425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74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499</w:t>
            </w:r>
          </w:p>
        </w:tc>
        <w:tc>
          <w:tcPr>
            <w:tcW w:w="92" w:type="dxa"/>
            <w:tcBorders/>
            <w:shd w:fill="CCEEFF" w:val="clear"/>
            <w:vAlign w:val="center"/>
          </w:tcPr>
          <w:p>
            <w:pPr>
              <w:pStyle w:val="TableContents"/>
              <w:bidi w:val="0"/>
              <w:spacing w:before="0" w:after="283"/>
              <w:jc w:val="left"/>
              <w:rPr/>
            </w:pPr>
            <w:r>
              <w:rPr/>
              <w:t> </w:t>
            </w:r>
            <w:bookmarkStart w:id="346" w:name="xdx_405_eus-gaap--Revenues_pn3n3_hsrt--S"/>
            <w:bookmarkEnd w:id="346"/>
          </w:p>
        </w:tc>
      </w:tr>
      <w:tr>
        <w:trPr/>
        <w:tc>
          <w:tcPr>
            <w:tcW w:w="2372" w:type="dxa"/>
            <w:tcBorders/>
            <w:shd w:fill="FFFFFF" w:val="clear"/>
            <w:vAlign w:val="center"/>
          </w:tcPr>
          <w:p>
            <w:pPr>
              <w:pStyle w:val="TableContents"/>
              <w:bidi w:val="0"/>
              <w:spacing w:before="0" w:after="283"/>
              <w:jc w:val="left"/>
              <w:rPr/>
            </w:pPr>
            <w:r>
              <w:rPr/>
              <w:t>Asia and Australia</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295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295</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bookmarkStart w:id="347" w:name="xdx_40B_eus-gaap--Revenues_pn3n3_hsrt--S"/>
            <w:bookmarkEnd w:id="347"/>
          </w:p>
        </w:tc>
      </w:tr>
      <w:tr>
        <w:trPr/>
        <w:tc>
          <w:tcPr>
            <w:tcW w:w="237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412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101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513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751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825</w:t>
            </w:r>
          </w:p>
        </w:tc>
        <w:tc>
          <w:tcPr>
            <w:tcW w:w="92" w:type="dxa"/>
            <w:tcBorders/>
            <w:shd w:fill="CCEEFF" w:val="clear"/>
            <w:vAlign w:val="center"/>
          </w:tcPr>
          <w:p>
            <w:pPr>
              <w:pStyle w:val="TableContents"/>
              <w:bidi w:val="0"/>
              <w:spacing w:before="0" w:after="283"/>
              <w:jc w:val="left"/>
              <w:rPr/>
            </w:pPr>
            <w:r>
              <w:rPr/>
              <w:t> </w:t>
            </w:r>
            <w:bookmarkStart w:id="348" w:name="xdx_40D_eus-gaap--Revenues_pn3n3_hsrt--S"/>
            <w:bookmarkEnd w:id="348"/>
          </w:p>
        </w:tc>
      </w:tr>
      <w:tr>
        <w:trPr/>
        <w:tc>
          <w:tcPr>
            <w:tcW w:w="2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0"/>
        <w:gridCol w:w="60"/>
        <w:gridCol w:w="231"/>
        <w:gridCol w:w="927"/>
        <w:gridCol w:w="92"/>
        <w:gridCol w:w="92"/>
        <w:gridCol w:w="309"/>
        <w:gridCol w:w="842"/>
        <w:gridCol w:w="92"/>
        <w:gridCol w:w="92"/>
        <w:gridCol w:w="215"/>
        <w:gridCol w:w="860"/>
        <w:gridCol w:w="60"/>
        <w:gridCol w:w="60"/>
        <w:gridCol w:w="231"/>
        <w:gridCol w:w="927"/>
        <w:gridCol w:w="92"/>
        <w:gridCol w:w="92"/>
        <w:gridCol w:w="309"/>
        <w:gridCol w:w="842"/>
        <w:gridCol w:w="92"/>
        <w:gridCol w:w="92"/>
        <w:gridCol w:w="215"/>
        <w:gridCol w:w="860"/>
        <w:gridCol w:w="81"/>
      </w:tblGrid>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9" w:name="xdx_49F_20250501__20260131__us-gaap--Adj"/>
            <w:bookmarkEnd w:id="349"/>
          </w:p>
        </w:tc>
        <w:tc>
          <w:tcPr>
            <w:tcW w:w="11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606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350" w:name="xdx_49E_20250501__20260131__us-gaap--Adj"/>
            <w:bookmarkEnd w:id="350"/>
          </w:p>
        </w:tc>
        <w:tc>
          <w:tcPr>
            <w:tcW w:w="11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842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351" w:name="xdx_49D_20250501__20260131_zVOLZri9Iflb"/>
            <w:bookmarkEnd w:id="351"/>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2" w:name="xdx_490_20240501__20250131__us-gaap--Adj"/>
            <w:bookmarkEnd w:id="352"/>
          </w:p>
        </w:tc>
        <w:tc>
          <w:tcPr>
            <w:tcW w:w="11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606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353" w:name="xdx_492_20240501__20250131__us-gaap--Adj"/>
            <w:bookmarkEnd w:id="353"/>
          </w:p>
        </w:tc>
        <w:tc>
          <w:tcPr>
            <w:tcW w:w="11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ASC 842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354" w:name="xdx_496_20240501__20250131_zM2X4crzXwQj"/>
            <w:bookmarkEnd w:id="354"/>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1"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 2026</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 2025</w:t>
            </w:r>
          </w:p>
        </w:tc>
        <w:tc>
          <w:tcPr>
            <w:tcW w:w="81"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2" w:type="dxa"/>
            <w:gridSpan w:val="10"/>
            <w:tcBorders/>
            <w:vAlign w:val="center"/>
          </w:tcPr>
          <w:p>
            <w:pPr>
              <w:pStyle w:val="TableContents"/>
              <w:bidi w:val="0"/>
              <w:spacing w:before="0" w:after="283"/>
              <w:jc w:val="center"/>
              <w:rPr/>
            </w:pPr>
            <w:r>
              <w:rPr/>
              <w:t>(in thousands)</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10"/>
            <w:tcBorders/>
            <w:vAlign w:val="center"/>
          </w:tcPr>
          <w:p>
            <w:pPr>
              <w:pStyle w:val="TableContents"/>
              <w:bidi w:val="0"/>
              <w:spacing w:before="0" w:after="283"/>
              <w:jc w:val="center"/>
              <w:rPr/>
            </w:pPr>
            <w:r>
              <w:rPr/>
              <w:t>(in thousands)</w:t>
            </w:r>
          </w:p>
        </w:tc>
        <w:tc>
          <w:tcPr>
            <w:tcW w:w="81" w:type="dxa"/>
            <w:tcBorders/>
            <w:vAlign w:val="center"/>
          </w:tcPr>
          <w:p>
            <w:pPr>
              <w:pStyle w:val="TableContents"/>
              <w:bidi w:val="0"/>
              <w:spacing w:before="0" w:after="283"/>
              <w:jc w:val="left"/>
              <w:rPr/>
            </w:pPr>
            <w:r>
              <w:rPr/>
              <w:t> </w:t>
            </w:r>
          </w:p>
        </w:tc>
      </w:tr>
      <w:tr>
        <w:trPr/>
        <w:tc>
          <w:tcPr>
            <w:tcW w:w="2440"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355" w:name="xdx_403_eus-gaap--Revenues_pn3n3_hsrt--P"/>
            <w:bookmarkEnd w:id="355"/>
          </w:p>
        </w:tc>
      </w:tr>
      <w:tr>
        <w:trPr/>
        <w:tc>
          <w:tcPr>
            <w:tcW w:w="2440"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927" w:type="dxa"/>
            <w:tcBorders/>
            <w:shd w:fill="FFFFFF" w:val="clear"/>
            <w:vAlign w:val="center"/>
          </w:tcPr>
          <w:p>
            <w:pPr>
              <w:pStyle w:val="TableContents"/>
              <w:bidi w:val="0"/>
              <w:spacing w:before="0" w:after="283"/>
              <w:jc w:val="right"/>
              <w:rPr/>
            </w:pPr>
            <w:r>
              <w:rPr/>
              <w:t>1,182</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203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1,385</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927" w:type="dxa"/>
            <w:tcBorders/>
            <w:shd w:fill="FFFFFF" w:val="clear"/>
            <w:vAlign w:val="center"/>
          </w:tcPr>
          <w:p>
            <w:pPr>
              <w:pStyle w:val="TableContents"/>
              <w:bidi w:val="0"/>
              <w:spacing w:before="0" w:after="283"/>
              <w:jc w:val="right"/>
              <w:rPr/>
            </w:pPr>
            <w:r>
              <w:rPr/>
              <w:t>3,996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206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4,202</w:t>
            </w:r>
          </w:p>
        </w:tc>
        <w:tc>
          <w:tcPr>
            <w:tcW w:w="81" w:type="dxa"/>
            <w:tcBorders/>
            <w:shd w:fill="FFFFFF" w:val="clear"/>
            <w:vAlign w:val="center"/>
          </w:tcPr>
          <w:p>
            <w:pPr>
              <w:pStyle w:val="TableContents"/>
              <w:bidi w:val="0"/>
              <w:spacing w:before="0" w:after="283"/>
              <w:jc w:val="left"/>
              <w:rPr/>
            </w:pPr>
            <w:r>
              <w:rPr/>
              <w:t> </w:t>
            </w:r>
            <w:bookmarkStart w:id="356" w:name="xdx_400_eus-gaap--Revenues_pn3n3_hsrt--P"/>
            <w:bookmarkEnd w:id="356"/>
          </w:p>
        </w:tc>
      </w:tr>
      <w:tr>
        <w:trPr/>
        <w:tc>
          <w:tcPr>
            <w:tcW w:w="2440"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123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84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207</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343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343</w:t>
            </w:r>
          </w:p>
        </w:tc>
        <w:tc>
          <w:tcPr>
            <w:tcW w:w="81" w:type="dxa"/>
            <w:tcBorders/>
            <w:shd w:fill="CCEEFF" w:val="clear"/>
            <w:vAlign w:val="center"/>
          </w:tcPr>
          <w:p>
            <w:pPr>
              <w:pStyle w:val="TableContents"/>
              <w:bidi w:val="0"/>
              <w:spacing w:before="0" w:after="283"/>
              <w:jc w:val="left"/>
              <w:rPr/>
            </w:pPr>
            <w:r>
              <w:rPr/>
              <w:t> </w:t>
            </w:r>
            <w:bookmarkStart w:id="357" w:name="xdx_407_eus-gaap--Revenues_pn3n3_hsrt--P"/>
            <w:bookmarkEnd w:id="357"/>
          </w:p>
        </w:tc>
      </w:tr>
      <w:tr>
        <w:trPr/>
        <w:tc>
          <w:tcPr>
            <w:tcW w:w="244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527</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527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358" w:name="xdx_400_eus-gaap--Revenues_pn3n3_hsrt--P"/>
            <w:bookmarkEnd w:id="358"/>
          </w:p>
        </w:tc>
      </w:tr>
      <w:tr>
        <w:trPr/>
        <w:tc>
          <w:tcPr>
            <w:tcW w:w="24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1,832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287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2,119</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4,339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4,545</w:t>
            </w:r>
          </w:p>
        </w:tc>
        <w:tc>
          <w:tcPr>
            <w:tcW w:w="81" w:type="dxa"/>
            <w:tcBorders/>
            <w:shd w:fill="CCEE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440"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359" w:name="xdx_408_eus-gaap--Revenues_pn3n3_hsrt--S"/>
            <w:bookmarkEnd w:id="359"/>
          </w:p>
        </w:tc>
      </w:tr>
      <w:tr>
        <w:trPr/>
        <w:tc>
          <w:tcPr>
            <w:tcW w:w="2440"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927" w:type="dxa"/>
            <w:tcBorders/>
            <w:shd w:fill="FFFFFF" w:val="clear"/>
            <w:vAlign w:val="center"/>
          </w:tcPr>
          <w:p>
            <w:pPr>
              <w:pStyle w:val="TableContents"/>
              <w:bidi w:val="0"/>
              <w:spacing w:before="0" w:after="283"/>
              <w:jc w:val="right"/>
              <w:rPr/>
            </w:pPr>
            <w:r>
              <w:rPr/>
              <w:t>270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84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354</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927" w:type="dxa"/>
            <w:tcBorders/>
            <w:shd w:fill="FFFFFF" w:val="clear"/>
            <w:vAlign w:val="center"/>
          </w:tcPr>
          <w:p>
            <w:pPr>
              <w:pStyle w:val="TableContents"/>
              <w:bidi w:val="0"/>
              <w:spacing w:before="0" w:after="283"/>
              <w:jc w:val="right"/>
              <w:rPr/>
            </w:pPr>
            <w:r>
              <w:rPr/>
              <w:t>3,046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3,046</w:t>
            </w:r>
          </w:p>
        </w:tc>
        <w:tc>
          <w:tcPr>
            <w:tcW w:w="81" w:type="dxa"/>
            <w:tcBorders/>
            <w:shd w:fill="FFFFFF" w:val="clear"/>
            <w:vAlign w:val="center"/>
          </w:tcPr>
          <w:p>
            <w:pPr>
              <w:pStyle w:val="TableContents"/>
              <w:bidi w:val="0"/>
              <w:spacing w:before="0" w:after="283"/>
              <w:jc w:val="left"/>
              <w:rPr/>
            </w:pPr>
            <w:r>
              <w:rPr/>
              <w:t> </w:t>
            </w:r>
            <w:bookmarkStart w:id="360" w:name="xdx_40D_eus-gaap--Revenues_pn3n3_hsrt--S"/>
            <w:bookmarkEnd w:id="360"/>
          </w:p>
        </w:tc>
      </w:tr>
      <w:tr>
        <w:trPr/>
        <w:tc>
          <w:tcPr>
            <w:tcW w:w="2440" w:type="dxa"/>
            <w:tcBorders/>
            <w:shd w:fill="CCEEFF" w:val="clear"/>
            <w:vAlign w:val="center"/>
          </w:tcPr>
          <w:p>
            <w:pPr>
              <w:pStyle w:val="TableContents"/>
              <w:bidi w:val="0"/>
              <w:spacing w:before="0" w:after="283"/>
              <w:jc w:val="left"/>
              <w:rPr/>
            </w:pPr>
            <w:r>
              <w:rPr/>
              <w:t>Europe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1,089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203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1,292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1,291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1,497</w:t>
            </w:r>
          </w:p>
        </w:tc>
        <w:tc>
          <w:tcPr>
            <w:tcW w:w="81" w:type="dxa"/>
            <w:tcBorders/>
            <w:shd w:fill="CCEEFF" w:val="clear"/>
            <w:vAlign w:val="center"/>
          </w:tcPr>
          <w:p>
            <w:pPr>
              <w:pStyle w:val="TableContents"/>
              <w:bidi w:val="0"/>
              <w:spacing w:before="0" w:after="283"/>
              <w:jc w:val="left"/>
              <w:rPr/>
            </w:pPr>
            <w:r>
              <w:rPr/>
              <w:t> </w:t>
            </w:r>
            <w:bookmarkStart w:id="361" w:name="xdx_400_eus-gaap--Revenues_pn3n3_hsrt--S"/>
            <w:bookmarkEnd w:id="361"/>
          </w:p>
        </w:tc>
      </w:tr>
      <w:tr>
        <w:trPr/>
        <w:tc>
          <w:tcPr>
            <w:tcW w:w="2440" w:type="dxa"/>
            <w:tcBorders/>
            <w:shd w:fill="FFFFFF" w:val="clear"/>
            <w:vAlign w:val="center"/>
          </w:tcPr>
          <w:p>
            <w:pPr>
              <w:pStyle w:val="TableContents"/>
              <w:bidi w:val="0"/>
              <w:spacing w:before="0" w:after="283"/>
              <w:jc w:val="left"/>
              <w:rPr/>
            </w:pPr>
            <w:r>
              <w:rPr/>
              <w:t>Asia and Australia</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473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473</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81" w:type="dxa"/>
            <w:tcBorders/>
            <w:shd w:fill="FFFFFF" w:val="clear"/>
            <w:vAlign w:val="center"/>
          </w:tcPr>
          <w:p>
            <w:pPr>
              <w:pStyle w:val="TableContents"/>
              <w:bidi w:val="0"/>
              <w:spacing w:before="0" w:after="283"/>
              <w:jc w:val="left"/>
              <w:rPr/>
            </w:pPr>
            <w:r>
              <w:rPr/>
              <w:t> </w:t>
            </w:r>
            <w:bookmarkStart w:id="362" w:name="xdx_408_eus-gaap--Revenues_pn3n3_hsrt--S"/>
            <w:bookmarkEnd w:id="362"/>
          </w:p>
        </w:tc>
      </w:tr>
      <w:tr>
        <w:trPr/>
        <w:tc>
          <w:tcPr>
            <w:tcW w:w="24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1,832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287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2,119</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4,339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4,545</w:t>
            </w:r>
          </w:p>
        </w:tc>
        <w:tc>
          <w:tcPr>
            <w:tcW w:w="81" w:type="dxa"/>
            <w:tcBorders/>
            <w:shd w:fill="CCEEFF" w:val="clear"/>
            <w:vAlign w:val="center"/>
          </w:tcPr>
          <w:p>
            <w:pPr>
              <w:pStyle w:val="TableContents"/>
              <w:bidi w:val="0"/>
              <w:spacing w:before="0" w:after="283"/>
              <w:jc w:val="left"/>
              <w:rPr/>
            </w:pPr>
            <w:r>
              <w:rPr/>
              <w:t> </w:t>
            </w:r>
            <w:bookmarkStart w:id="363" w:name="xdx_409_eus-gaap--Revenues_pn3n3_hsrt--S"/>
            <w:bookmarkEnd w:id="363"/>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2,119</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4" w:name="xdx_8AC_zsRasY4jpOI4"/>
      <w:bookmarkEnd w:id="36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5" w:name="xdx_84B_eus-gaap--EarningsPerSharePolicy"/>
      <w:bookmarkEnd w:id="365"/>
      <w:r>
        <w:rPr>
          <w:rFonts w:ascii="Times New Roman;Times;Serif" w:hAnsi="Times New Roman;Times;Serif"/>
          <w:b/>
          <w:i/>
          <w:caps w:val="false"/>
          <w:smallCaps w:val="false"/>
          <w:sz w:val="20"/>
        </w:rPr>
        <w:t xml:space="preserve">(k) </w:t>
      </w:r>
      <w:bookmarkStart w:id="366" w:name="xdx_86F_zp4OM3yUmra1"/>
      <w:bookmarkEnd w:id="366"/>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and unvested RSUs issued to employees and non-employee directors, were excluded from the diluted loss per share calculation due to their anti-dilutive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common share on the Consolidated Statement of Operations, options to purchase shares of common stock and unvested RSUs issued to employees and non-employee directors, totaling </w:t>
      </w:r>
      <w:bookmarkStart w:id="367" w:name="xdx_900_eus-gaap--AntidilutiveSecurities"/>
      <w:bookmarkEnd w:id="367"/>
      <w:r>
        <w:rPr>
          <w:rFonts w:ascii="Times New Roman;Times;Serif" w:hAnsi="Times New Roman;Times;Serif"/>
          <w:b w:val="false"/>
          <w:i w:val="false"/>
          <w:caps w:val="false"/>
          <w:smallCaps w:val="false"/>
          <w:sz w:val="20"/>
        </w:rPr>
        <w:t xml:space="preserve">25,920,609 and </w:t>
      </w:r>
      <w:bookmarkStart w:id="368" w:name="xdx_90E_eus-gaap--AntidilutiveSecurities"/>
      <w:bookmarkEnd w:id="368"/>
      <w:r>
        <w:rPr>
          <w:rFonts w:ascii="Times New Roman;Times;Serif" w:hAnsi="Times New Roman;Times;Serif"/>
          <w:b w:val="false"/>
          <w:i w:val="false"/>
          <w:caps w:val="false"/>
          <w:smallCaps w:val="false"/>
          <w:sz w:val="20"/>
        </w:rPr>
        <w:t>20,835,027 for the nine months ended January 31, 2026 and 2025, respectively, were excluded from each of the computations as the effect would have been anti-dilutive due to the net loss for the periods. Share purchase rights, which include a contingency, are not included in the calculation until the contingency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9" w:name="xdx_84B_eus-gaap--GoodwillAndIntangibleA"/>
      <w:bookmarkEnd w:id="369"/>
      <w:r>
        <w:rPr>
          <w:rFonts w:ascii="Times New Roman;Times;Serif" w:hAnsi="Times New Roman;Times;Serif"/>
          <w:b/>
          <w:i/>
          <w:caps w:val="false"/>
          <w:smallCaps w:val="false"/>
          <w:sz w:val="20"/>
        </w:rPr>
        <w:t xml:space="preserve">(l) </w:t>
      </w:r>
      <w:bookmarkStart w:id="370" w:name="xdx_86D_zBCyC8aTYEpg"/>
      <w:bookmarkEnd w:id="370"/>
      <w:r>
        <w:rPr>
          <w:rFonts w:ascii="Times New Roman;Times;Serif" w:hAnsi="Times New Roman;Times;Serif"/>
          <w:b/>
          <w:i/>
          <w:caps w:val="false"/>
          <w:smallCaps w:val="false"/>
          <w:sz w:val="20"/>
        </w:rPr>
        <w:t>Intangibles,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w:t>
      </w:r>
      <w:bookmarkStart w:id="371" w:name="xdx_900_eus-gaap--FiniteLivedIntangibleA"/>
      <w:bookmarkEnd w:id="371"/>
      <w:r>
        <w:rPr>
          <w:rFonts w:ascii="Times New Roman;Times;Serif" w:hAnsi="Times New Roman;Times;Serif"/>
          <w:b w:val="false"/>
          <w:i w:val="false"/>
          <w:caps w:val="false"/>
          <w:smallCaps w:val="false"/>
          <w:sz w:val="20"/>
        </w:rPr>
        <w:t xml:space="preserve">20, </w:t>
      </w:r>
      <w:bookmarkStart w:id="372" w:name="xdx_905_eus-gaap--FiniteLivedIntangibleA"/>
      <w:bookmarkEnd w:id="372"/>
      <w:r>
        <w:rPr>
          <w:rFonts w:ascii="Times New Roman;Times;Serif" w:hAnsi="Times New Roman;Times;Serif"/>
          <w:b w:val="false"/>
          <w:i w:val="false"/>
          <w:caps w:val="false"/>
          <w:smallCaps w:val="false"/>
          <w:sz w:val="20"/>
        </w:rPr>
        <w:t xml:space="preserve">12 and </w:t>
      </w:r>
      <w:bookmarkStart w:id="373" w:name="xdx_90F_eus-gaap--FiniteLivedIntangibleA"/>
      <w:bookmarkEnd w:id="373"/>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were no indications of potential impairment of intangible assets for either the nine months ended January 31, 2026 or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4" w:name="xdx_840_eus-gaap--GoodwillAndIntangibleA"/>
      <w:bookmarkEnd w:id="374"/>
      <w:r>
        <w:rPr>
          <w:rFonts w:ascii="Times New Roman;Times;Serif" w:hAnsi="Times New Roman;Times;Serif"/>
          <w:b/>
          <w:i/>
          <w:caps w:val="false"/>
          <w:smallCaps w:val="false"/>
          <w:sz w:val="20"/>
        </w:rPr>
        <w:t xml:space="preserve">(m) </w:t>
      </w:r>
      <w:bookmarkStart w:id="375" w:name="xdx_86B_zFhWKUUbgxEa"/>
      <w:bookmarkEnd w:id="375"/>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Management performed its annual qualitative assessment in fiscal year 2025 and determined that it is more likely than not that no goodwill impairment existed as of April 30, 2025. There were no indications of potential impairment of goodwill identified for the nine months ended January 31, 2026. When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revenue growth rates and the selection of assumptions underlying a discount rate (weighted average cost of capital) based on market data available at the time to determine the fair value of the Company. If the fair value is less than the carrying amounts, an impairment charge for the difference is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6" w:name="xdx_84C_eus-gaap--IncomeTaxPolicyTextBlo"/>
      <w:bookmarkEnd w:id="376"/>
      <w:r>
        <w:rPr>
          <w:rFonts w:ascii="Times New Roman;Times;Serif" w:hAnsi="Times New Roman;Times;Serif"/>
          <w:b/>
          <w:i/>
          <w:caps w:val="false"/>
          <w:smallCaps w:val="false"/>
          <w:sz w:val="20"/>
        </w:rPr>
        <w:t xml:space="preserve">(n) </w:t>
      </w:r>
      <w:bookmarkStart w:id="377" w:name="xdx_868_zAUegZjdIRO2"/>
      <w:bookmarkEnd w:id="377"/>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monetize their attributes, the Company has historically sold the Net Operating Losses (NOL’s)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8" w:name="xdx_847_ecustom--AccumulatedOtherCompreh"/>
      <w:bookmarkEnd w:id="378"/>
      <w:r>
        <w:rPr>
          <w:rFonts w:ascii="Times New Roman;Times;Serif" w:hAnsi="Times New Roman;Times;Serif"/>
          <w:b/>
          <w:i/>
          <w:caps w:val="false"/>
          <w:smallCaps w:val="false"/>
          <w:sz w:val="20"/>
        </w:rPr>
        <w:t xml:space="preserve">(o) </w:t>
      </w:r>
      <w:bookmarkStart w:id="379" w:name="xdx_867_ztI31JcOdItl"/>
      <w:bookmarkEnd w:id="379"/>
      <w:r>
        <w:rPr>
          <w:rFonts w:ascii="Times New Roman;Times;Serif" w:hAnsi="Times New Roman;Times;Serif"/>
          <w:b/>
          <w:i/>
          <w:caps w:val="false"/>
          <w:smallCaps w:val="false"/>
          <w:sz w:val="20"/>
        </w:rPr>
        <w:t>Accumulated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each of the nine months ended January 31, 2026 and 2025, there were no amounts recorded to other comprehensive loss due to limited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0" w:name="xdx_84F_ecustom--WarrantyPolicyTextBlock"/>
      <w:bookmarkEnd w:id="380"/>
      <w:r>
        <w:rPr>
          <w:rFonts w:ascii="Times New Roman;Times;Serif" w:hAnsi="Times New Roman;Times;Serif"/>
          <w:b/>
          <w:i/>
          <w:caps w:val="false"/>
          <w:smallCaps w:val="false"/>
          <w:sz w:val="20"/>
        </w:rPr>
        <w:t xml:space="preserve">(p) </w:t>
      </w:r>
      <w:bookmarkStart w:id="381" w:name="xdx_86C_zQP8BsFdcEW5"/>
      <w:bookmarkEnd w:id="381"/>
      <w:r>
        <w:rPr>
          <w:rFonts w:ascii="Times New Roman;Times;Serif" w:hAnsi="Times New Roman;Times;Serif"/>
          <w:b/>
          <w:i/>
          <w:caps w:val="false"/>
          <w:smallCaps w:val="false"/>
          <w:sz w:val="20"/>
        </w:rPr>
        <w:t>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2" w:name="xdx_849_eus-gaap--ResearchAndDevelopment"/>
      <w:bookmarkEnd w:id="382"/>
      <w:r>
        <w:rPr>
          <w:rFonts w:ascii="Times New Roman;Times;Serif" w:hAnsi="Times New Roman;Times;Serif"/>
          <w:b/>
          <w:i/>
          <w:caps w:val="false"/>
          <w:smallCaps w:val="false"/>
          <w:sz w:val="20"/>
        </w:rPr>
        <w:t xml:space="preserve">(q) </w:t>
      </w:r>
      <w:bookmarkStart w:id="383" w:name="xdx_86E_zmKe28wvRDaj"/>
      <w:bookmarkEnd w:id="383"/>
      <w:r>
        <w:rPr>
          <w:rFonts w:ascii="Times New Roman;Times;Serif" w:hAnsi="Times New Roman;Times;Serif"/>
          <w:b/>
          <w:i/>
          <w:caps w:val="false"/>
          <w:smallCaps w:val="false"/>
          <w:sz w:val="20"/>
        </w:rPr>
        <w:t>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product development activities by the Company are expensed as incurred. The Company had approximately $</w:t>
      </w:r>
      <w:bookmarkStart w:id="384" w:name="xdx_901_eus-gaap--ResearchAndDevelopment"/>
      <w:bookmarkEnd w:id="384"/>
      <w:r>
        <w:rPr>
          <w:rFonts w:ascii="Times New Roman;Times;Serif" w:hAnsi="Times New Roman;Times;Serif"/>
          <w:b w:val="false"/>
          <w:i w:val="false"/>
          <w:caps w:val="false"/>
          <w:smallCaps w:val="false"/>
          <w:sz w:val="20"/>
        </w:rPr>
        <w:t>1.1 million and $</w:t>
      </w:r>
      <w:bookmarkStart w:id="385" w:name="xdx_90A_eus-gaap--ResearchAndDevelopment"/>
      <w:bookmarkEnd w:id="385"/>
      <w:r>
        <w:rPr>
          <w:rFonts w:ascii="Times New Roman;Times;Serif" w:hAnsi="Times New Roman;Times;Serif"/>
          <w:b w:val="false"/>
          <w:i w:val="false"/>
          <w:caps w:val="false"/>
          <w:smallCaps w:val="false"/>
          <w:sz w:val="20"/>
        </w:rPr>
        <w:t>1.4 million in product development expense for the nine months ended January 31, 2026 and 2025, respectively. The Company had approximately $</w:t>
      </w:r>
      <w:bookmarkStart w:id="386" w:name="xdx_90D_eus-gaap--ResearchAndDevelopment"/>
      <w:bookmarkEnd w:id="386"/>
      <w:r>
        <w:rPr>
          <w:rFonts w:ascii="Times New Roman;Times;Serif" w:hAnsi="Times New Roman;Times;Serif"/>
          <w:b w:val="false"/>
          <w:i w:val="false"/>
          <w:caps w:val="false"/>
          <w:smallCaps w:val="false"/>
          <w:sz w:val="20"/>
        </w:rPr>
        <w:t>0.6 million and $</w:t>
      </w:r>
      <w:bookmarkStart w:id="387" w:name="xdx_904_eus-gaap--ResearchAndDevelopment"/>
      <w:bookmarkEnd w:id="387"/>
      <w:r>
        <w:rPr>
          <w:rFonts w:ascii="Times New Roman;Times;Serif" w:hAnsi="Times New Roman;Times;Serif"/>
          <w:b w:val="false"/>
          <w:i w:val="false"/>
          <w:caps w:val="false"/>
          <w:smallCaps w:val="false"/>
          <w:sz w:val="20"/>
        </w:rPr>
        <w:t>0.7 million in product development expense for the three months ended January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8" w:name="xdx_84D_eus-gaap--DerivativesReportingOf"/>
      <w:bookmarkEnd w:id="388"/>
      <w:r>
        <w:rPr>
          <w:rFonts w:ascii="Times New Roman;Times;Serif" w:hAnsi="Times New Roman;Times;Serif"/>
          <w:b/>
          <w:i/>
          <w:caps w:val="false"/>
          <w:smallCaps w:val="false"/>
          <w:sz w:val="20"/>
        </w:rPr>
        <w:t xml:space="preserve">(r) </w:t>
      </w:r>
      <w:bookmarkStart w:id="389" w:name="xdx_86A_zQam5TVUyPtc"/>
      <w:bookmarkEnd w:id="389"/>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0" w:name="xdx_840_eus-gaap--NewAccountingPronounce"/>
      <w:bookmarkEnd w:id="390"/>
      <w:r>
        <w:rPr>
          <w:rFonts w:ascii="Times New Roman;Times;Serif" w:hAnsi="Times New Roman;Times;Serif"/>
          <w:b/>
          <w:i/>
          <w:caps w:val="false"/>
          <w:smallCaps w:val="false"/>
          <w:sz w:val="20"/>
        </w:rPr>
        <w:t xml:space="preserve">(s) </w:t>
      </w:r>
      <w:bookmarkStart w:id="391" w:name="xdx_860_z3JAvfhdBHka"/>
      <w:bookmarkEnd w:id="391"/>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FASB issued certain Accounting Standards Updates (ASUs) that may be relevant to the Company’s operations and financial reporting. We are currently evaluating the potential impact of these ASUs and adopting them when applicable based on their effective dates.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 for the annual period ending April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March 17, 2026,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bookmarkStart w:id="392" w:name="xdx_853_zCV0DxWqSV5b"/>
      <w:bookmarkEnd w:id="39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3" w:name="xdx_809_ecustom--AccountReceivableContra"/>
      <w:bookmarkEnd w:id="393"/>
      <w:r>
        <w:rPr>
          <w:rFonts w:ascii="Times New Roman;Times;Serif" w:hAnsi="Times New Roman;Times;Serif"/>
          <w:b/>
          <w:i w:val="false"/>
          <w:caps w:val="false"/>
          <w:smallCaps w:val="false"/>
          <w:sz w:val="20"/>
        </w:rPr>
        <w:t xml:space="preserve">(3) </w:t>
      </w:r>
      <w:bookmarkStart w:id="394" w:name="xdx_827_zbRndte86CXh"/>
      <w:bookmarkEnd w:id="394"/>
      <w:r>
        <w:rPr>
          <w:rFonts w:ascii="Times New Roman;Times;Serif" w:hAnsi="Times New Roman;Times;Serif"/>
          <w:b/>
          <w:i w:val="false"/>
          <w:caps w:val="false"/>
          <w:smallCaps w:val="false"/>
          <w:sz w:val="20"/>
        </w:rPr>
        <w:t>Accounts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99_ecustom--ScheduleOfAccountsRecei"/>
      <w:bookmarkEnd w:id="395"/>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6" w:name="xdx_8BE_z18i7ZnOgFS1"/>
      <w:bookmarkEnd w:id="396"/>
      <w:r>
        <w:rPr>
          <w:rFonts w:ascii="Times New Roman;Times;Serif" w:hAnsi="Times New Roman;Times;Serif"/>
          <w:b w:val="false"/>
          <w:i w:val="false"/>
          <w:caps w:val="false"/>
          <w:smallCaps w:val="false"/>
          <w:sz w:val="20"/>
        </w:rPr>
        <w:t>Schedule of Accounts Receivable, Contract Assets and Contract Liabilities </w:t>
      </w:r>
    </w:p>
    <w:tbl>
      <w:tblPr>
        <w:tblW w:w="7024" w:type="dxa"/>
        <w:jc w:val="left"/>
        <w:tblInd w:w="0" w:type="dxa"/>
        <w:tblLayout w:type="fixed"/>
        <w:tblCellMar>
          <w:top w:w="0" w:type="dxa"/>
          <w:left w:w="0" w:type="dxa"/>
          <w:bottom w:w="0" w:type="dxa"/>
          <w:right w:w="0" w:type="dxa"/>
        </w:tblCellMar>
      </w:tblPr>
      <w:tblGrid>
        <w:gridCol w:w="1955"/>
        <w:gridCol w:w="60"/>
        <w:gridCol w:w="355"/>
        <w:gridCol w:w="1420"/>
        <w:gridCol w:w="60"/>
        <w:gridCol w:w="60"/>
        <w:gridCol w:w="292"/>
        <w:gridCol w:w="1168"/>
        <w:gridCol w:w="60"/>
        <w:gridCol w:w="60"/>
        <w:gridCol w:w="391"/>
        <w:gridCol w:w="1068"/>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7" w:name="xdx_492_20260131_zwcQAlQHx02j"/>
            <w:bookmarkEnd w:id="397"/>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8" w:name="xdx_49F_20250430_ztWEKnrnvco4"/>
            <w:bookmarkEnd w:id="398"/>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9" w:name="xdx_497_20240430_zcgvAW3dWmXf"/>
            <w:bookmarkEnd w:id="399"/>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2024</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34"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00" w:name="xdx_405_eus-gaap--AccountsReceivableNetC"/>
            <w:bookmarkEnd w:id="400"/>
          </w:p>
        </w:tc>
      </w:tr>
      <w:tr>
        <w:trPr/>
        <w:tc>
          <w:tcPr>
            <w:tcW w:w="19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6,132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796</w:t>
            </w:r>
          </w:p>
        </w:tc>
        <w:tc>
          <w:tcPr>
            <w:tcW w:w="75" w:type="dxa"/>
            <w:tcBorders/>
            <w:shd w:fill="CCEEFF" w:val="clear"/>
            <w:vAlign w:val="center"/>
          </w:tcPr>
          <w:p>
            <w:pPr>
              <w:pStyle w:val="TableContents"/>
              <w:bidi w:val="0"/>
              <w:spacing w:before="0" w:after="283"/>
              <w:jc w:val="left"/>
              <w:rPr/>
            </w:pPr>
            <w:r>
              <w:rPr/>
              <w:t> </w:t>
            </w:r>
            <w:bookmarkStart w:id="401" w:name="xdx_408_eus-gaap--ContractWithCustomerAs"/>
            <w:bookmarkEnd w:id="401"/>
          </w:p>
        </w:tc>
      </w:tr>
      <w:tr>
        <w:trPr/>
        <w:tc>
          <w:tcPr>
            <w:tcW w:w="195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w:t>
            </w:r>
          </w:p>
        </w:tc>
        <w:tc>
          <w:tcPr>
            <w:tcW w:w="1420" w:type="dxa"/>
            <w:tcBorders/>
            <w:shd w:fill="FFFFFF" w:val="clear"/>
            <w:vAlign w:val="center"/>
          </w:tcPr>
          <w:p>
            <w:pPr>
              <w:pStyle w:val="TableContents"/>
              <w:bidi w:val="0"/>
              <w:spacing w:before="0" w:after="283"/>
              <w:jc w:val="right"/>
              <w:rPr/>
            </w:pPr>
            <w:r>
              <w:rPr/>
              <w:t>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1,088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jc w:val="left"/>
              <w:rPr/>
            </w:pPr>
            <w:r>
              <w:rPr/>
              <w:t> </w:t>
            </w:r>
            <w:bookmarkStart w:id="402" w:name="xdx_40D_eus-gaap--ContractWithCustomerLi"/>
            <w:bookmarkEnd w:id="402"/>
          </w:p>
        </w:tc>
      </w:tr>
      <w:tr>
        <w:trPr/>
        <w:tc>
          <w:tcPr>
            <w:tcW w:w="195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3" w:name="xdx_8AA_zDVB38zj9dl"/>
      <w:bookmarkEnd w:id="4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decrease in contract assets from year end is primarily a result of being able to contractually bill on active projects for which revenue was recognized in the prior period but was not yet been billed as of the beginning of the period. No impairments to contract assets were incurred during the nine months ended January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4" w:name="xdx_895_ecustom--ContractWithCustomerAss"/>
      <w:bookmarkEnd w:id="404"/>
      <w:r>
        <w:rPr>
          <w:rFonts w:ascii="Times New Roman;Times;Serif" w:hAnsi="Times New Roman;Times;Serif"/>
          <w:b w:val="false"/>
          <w:i w:val="false"/>
          <w:caps w:val="false"/>
          <w:smallCaps w:val="false"/>
          <w:sz w:val="20"/>
        </w:rPr>
        <w:t>Significant changes in the contract assets balances during the period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5" w:name="xdx_8BB_z47rsbKV7Icc"/>
      <w:bookmarkEnd w:id="405"/>
      <w:r>
        <w:rPr>
          <w:rFonts w:ascii="Times New Roman;Times;Serif" w:hAnsi="Times New Roman;Times;Serif"/>
          <w:b w:val="false"/>
          <w:i w:val="false"/>
          <w:caps w:val="false"/>
          <w:smallCaps w:val="false"/>
          <w:sz w:val="20"/>
        </w:rPr>
        <w:t>Schedule of Significant Changes in Contract Assets </w:t>
      </w:r>
    </w:p>
    <w:tbl>
      <w:tblPr>
        <w:tblW w:w="9039" w:type="dxa"/>
        <w:jc w:val="left"/>
        <w:tblInd w:w="0" w:type="dxa"/>
        <w:tblLayout w:type="fixed"/>
        <w:tblCellMar>
          <w:top w:w="0" w:type="dxa"/>
          <w:left w:w="0" w:type="dxa"/>
          <w:bottom w:w="0" w:type="dxa"/>
          <w:right w:w="0" w:type="dxa"/>
        </w:tblCellMar>
      </w:tblPr>
      <w:tblGrid>
        <w:gridCol w:w="5495"/>
        <w:gridCol w:w="60"/>
        <w:gridCol w:w="290"/>
        <w:gridCol w:w="1319"/>
        <w:gridCol w:w="95"/>
        <w:gridCol w:w="60"/>
        <w:gridCol w:w="322"/>
        <w:gridCol w:w="1288"/>
        <w:gridCol w:w="110"/>
      </w:tblGrid>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06" w:name="xdx_493_20250501__20260131_zxJDLmduVT45"/>
            <w:bookmarkEnd w:id="406"/>
          </w:p>
        </w:tc>
        <w:tc>
          <w:tcPr>
            <w:tcW w:w="16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7" w:name="xdx_49A_20240501__20250131_zPQUV5LgwBoj"/>
            <w:bookmarkEnd w:id="407"/>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 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08" w:name="xdx_40B_eus-gaap--ContractWithCustomerAs"/>
            <w:bookmarkEnd w:id="408"/>
          </w:p>
        </w:tc>
      </w:tr>
      <w:tr>
        <w:trPr/>
        <w:tc>
          <w:tcPr>
            <w:tcW w:w="5495" w:type="dxa"/>
            <w:tcBorders/>
            <w:shd w:fill="CCEEFF" w:val="clear"/>
            <w:vAlign w:val="center"/>
          </w:tcPr>
          <w:p>
            <w:pPr>
              <w:pStyle w:val="TableContents"/>
              <w:bidi w:val="0"/>
              <w:spacing w:before="0" w:after="283"/>
              <w:jc w:val="left"/>
              <w:rPr/>
            </w:pPr>
            <w:r>
              <w:rPr/>
              <w:t>Transferred to receivables from contract assets recognized</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w:t>
            </w:r>
            <w:bookmarkStart w:id="409" w:name="xdx_40E_ecustom--RevenueRecognizedAndNot"/>
            <w:bookmarkEnd w:id="409"/>
          </w:p>
        </w:tc>
      </w:tr>
      <w:tr>
        <w:trPr/>
        <w:tc>
          <w:tcPr>
            <w:tcW w:w="5495" w:type="dxa"/>
            <w:tcBorders/>
            <w:shd w:fill="FFFFFF" w:val="clear"/>
            <w:vAlign w:val="center"/>
          </w:tcPr>
          <w:p>
            <w:pPr>
              <w:pStyle w:val="TableContents"/>
              <w:bidi w:val="0"/>
              <w:spacing w:before="0" w:after="283"/>
              <w:jc w:val="left"/>
              <w:rPr/>
            </w:pPr>
            <w:r>
              <w:rPr/>
              <w:t>Revenue recognized and not billed</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1,060</w:t>
            </w:r>
          </w:p>
        </w:tc>
        <w:tc>
          <w:tcPr>
            <w:tcW w:w="110" w:type="dxa"/>
            <w:tcBorders/>
            <w:shd w:fill="FFFFFF" w:val="clear"/>
            <w:vAlign w:val="center"/>
          </w:tcPr>
          <w:p>
            <w:pPr>
              <w:pStyle w:val="TableContents"/>
              <w:bidi w:val="0"/>
              <w:spacing w:before="0" w:after="283"/>
              <w:jc w:val="left"/>
              <w:rPr/>
            </w:pPr>
            <w:r>
              <w:rPr/>
              <w:t> </w:t>
            </w:r>
            <w:bookmarkStart w:id="410" w:name="xdx_409_eus-gaap--IncreaseDecreaseInCont"/>
            <w:bookmarkEnd w:id="410"/>
          </w:p>
        </w:tc>
      </w:tr>
      <w:tr>
        <w:trPr/>
        <w:tc>
          <w:tcPr>
            <w:tcW w:w="5495" w:type="dxa"/>
            <w:tcBorders/>
            <w:shd w:fill="CCEEFF" w:val="clear"/>
            <w:vAlign w:val="center"/>
          </w:tcPr>
          <w:p>
            <w:pPr>
              <w:pStyle w:val="TableContents"/>
              <w:bidi w:val="0"/>
              <w:spacing w:before="0" w:after="283"/>
              <w:jc w:val="left"/>
              <w:rPr/>
            </w:pPr>
            <w:r>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1" w:name="xdx_8A7_zXFdHhnR6AZ8"/>
      <w:bookmarkEnd w:id="41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customers in excess of revenue recognized. The increase in contract liabilities from year end is primarily due to collecting payments for jobs we cannot contractually recognize revenue on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2" w:name="xdx_892_ecustom--ContractWithCustomerLia"/>
      <w:bookmarkEnd w:id="412"/>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3" w:name="xdx_8B2_zHdytGkbTEnd"/>
      <w:bookmarkEnd w:id="413"/>
      <w:r>
        <w:rPr>
          <w:rFonts w:ascii="Times New Roman;Times;Serif" w:hAnsi="Times New Roman;Times;Serif"/>
          <w:b w:val="false"/>
          <w:i w:val="false"/>
          <w:caps w:val="false"/>
          <w:smallCaps w:val="false"/>
          <w:sz w:val="20"/>
        </w:rPr>
        <w:t>Schedule of Significant Changes in Contract Liabilities </w:t>
      </w:r>
    </w:p>
    <w:tbl>
      <w:tblPr>
        <w:tblW w:w="10205" w:type="dxa"/>
        <w:jc w:val="left"/>
        <w:tblInd w:w="0" w:type="dxa"/>
        <w:tblLayout w:type="fixed"/>
        <w:tblCellMar>
          <w:top w:w="0" w:type="dxa"/>
          <w:left w:w="0" w:type="dxa"/>
          <w:bottom w:w="0" w:type="dxa"/>
          <w:right w:w="0" w:type="dxa"/>
        </w:tblCellMar>
      </w:tblPr>
      <w:tblGrid>
        <w:gridCol w:w="6696"/>
        <w:gridCol w:w="60"/>
        <w:gridCol w:w="318"/>
        <w:gridCol w:w="1273"/>
        <w:gridCol w:w="95"/>
        <w:gridCol w:w="60"/>
        <w:gridCol w:w="286"/>
        <w:gridCol w:w="1304"/>
        <w:gridCol w:w="113"/>
      </w:tblGrid>
      <w:tr>
        <w:trPr/>
        <w:tc>
          <w:tcPr>
            <w:tcW w:w="66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4" w:name="xdx_49C_20250501__20260131_zn6Rzu9BZwud"/>
            <w:bookmarkEnd w:id="414"/>
          </w:p>
        </w:tc>
        <w:tc>
          <w:tcPr>
            <w:tcW w:w="159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5" w:name="xdx_49F_20240501__20250131_zebA95T7c3X9"/>
            <w:bookmarkEnd w:id="415"/>
          </w:p>
        </w:tc>
        <w:tc>
          <w:tcPr>
            <w:tcW w:w="15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 2025</w:t>
            </w:r>
          </w:p>
        </w:tc>
        <w:tc>
          <w:tcPr>
            <w:tcW w:w="113" w:type="dxa"/>
            <w:tcBorders/>
            <w:vAlign w:val="center"/>
          </w:tcPr>
          <w:p>
            <w:pPr>
              <w:pStyle w:val="TableContents"/>
              <w:bidi w:val="0"/>
              <w:spacing w:before="0" w:after="283"/>
              <w:jc w:val="left"/>
              <w:rPr/>
            </w:pPr>
            <w:r>
              <w:rPr/>
              <w:t> </w:t>
            </w:r>
          </w:p>
        </w:tc>
      </w:tr>
      <w:tr>
        <w:trPr/>
        <w:tc>
          <w:tcPr>
            <w:tcW w:w="66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36" w:type="dxa"/>
            <w:gridSpan w:val="6"/>
            <w:tcBorders/>
            <w:vAlign w:val="center"/>
          </w:tcPr>
          <w:p>
            <w:pPr>
              <w:pStyle w:val="TableContents"/>
              <w:bidi w:val="0"/>
              <w:spacing w:before="0" w:after="283"/>
              <w:jc w:val="center"/>
              <w:rPr/>
            </w:pPr>
            <w:r>
              <w:rPr/>
              <w:t>(in thousands)</w:t>
            </w:r>
          </w:p>
        </w:tc>
        <w:tc>
          <w:tcPr>
            <w:tcW w:w="113" w:type="dxa"/>
            <w:tcBorders/>
            <w:vAlign w:val="center"/>
          </w:tcPr>
          <w:p>
            <w:pPr>
              <w:pStyle w:val="TableContents"/>
              <w:bidi w:val="0"/>
              <w:spacing w:before="0" w:after="283"/>
              <w:jc w:val="left"/>
              <w:rPr/>
            </w:pPr>
            <w:r>
              <w:rPr/>
              <w:t> </w:t>
            </w:r>
            <w:bookmarkStart w:id="416" w:name="xdx_40A_ecustom--ContractWithCustomerLia"/>
            <w:bookmarkEnd w:id="416"/>
          </w:p>
        </w:tc>
      </w:tr>
      <w:tr>
        <w:trPr/>
        <w:tc>
          <w:tcPr>
            <w:tcW w:w="6696"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(1,830</w:t>
            </w:r>
          </w:p>
        </w:tc>
        <w:tc>
          <w:tcPr>
            <w:tcW w:w="113" w:type="dxa"/>
            <w:tcBorders/>
            <w:shd w:fill="CCEEFF" w:val="clear"/>
            <w:vAlign w:val="center"/>
          </w:tcPr>
          <w:p>
            <w:pPr>
              <w:pStyle w:val="TableContents"/>
              <w:bidi w:val="0"/>
              <w:spacing w:before="0" w:after="283"/>
              <w:jc w:val="left"/>
              <w:rPr/>
            </w:pPr>
            <w:r>
              <w:rPr/>
              <w:t>)</w:t>
            </w:r>
            <w:bookmarkStart w:id="417" w:name="xdx_40E_ecustom--PaymentsCollectedForWhi"/>
            <w:bookmarkEnd w:id="417"/>
          </w:p>
        </w:tc>
      </w:tr>
      <w:tr>
        <w:trPr/>
        <w:tc>
          <w:tcPr>
            <w:tcW w:w="6696" w:type="dxa"/>
            <w:tcBorders/>
            <w:shd w:fill="FFFFFF" w:val="clear"/>
            <w:vAlign w:val="center"/>
          </w:tcPr>
          <w:p>
            <w:pPr>
              <w:pStyle w:val="TableContents"/>
              <w:bidi w:val="0"/>
              <w:spacing w:before="0" w:after="283"/>
              <w:jc w:val="left"/>
              <w:rPr/>
            </w:pPr>
            <w:r>
              <w:rPr/>
              <w:t>Payments billed or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pPr>
            <w:r>
              <w:rPr/>
              <w:t>5,634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1,528</w:t>
            </w:r>
          </w:p>
        </w:tc>
        <w:tc>
          <w:tcPr>
            <w:tcW w:w="113" w:type="dxa"/>
            <w:tcBorders/>
            <w:shd w:fill="FFFFFF" w:val="clear"/>
            <w:vAlign w:val="center"/>
          </w:tcPr>
          <w:p>
            <w:pPr>
              <w:pStyle w:val="TableContents"/>
              <w:bidi w:val="0"/>
              <w:spacing w:before="0" w:after="283"/>
              <w:jc w:val="left"/>
              <w:rPr/>
            </w:pPr>
            <w:r>
              <w:rPr/>
              <w:t> </w:t>
            </w:r>
            <w:bookmarkStart w:id="418" w:name="xdx_404_eus-gaap--IncreaseDecreaseInCont"/>
            <w:bookmarkEnd w:id="418"/>
          </w:p>
        </w:tc>
      </w:tr>
      <w:tr>
        <w:trPr/>
        <w:tc>
          <w:tcPr>
            <w:tcW w:w="6696" w:type="dxa"/>
            <w:tcBorders/>
            <w:shd w:fill="CCEEFF" w:val="clear"/>
            <w:vAlign w:val="center"/>
          </w:tcPr>
          <w:p>
            <w:pPr>
              <w:pStyle w:val="TableContents"/>
              <w:bidi w:val="0"/>
              <w:spacing w:before="0" w:after="283"/>
              <w:jc w:val="left"/>
              <w:rPr/>
            </w:pPr>
            <w:r>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jc w:val="right"/>
              <w:rPr/>
            </w:pPr>
            <w:r>
              <w:rPr/>
              <w:t>5,372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(302</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19" w:name="xdx_8AB_zoP2QcAZXXic"/>
      <w:bookmarkEnd w:id="4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0" w:name="xdx_803_eus-gaap--InventoryDisclosureTex"/>
      <w:bookmarkEnd w:id="420"/>
      <w:r>
        <w:rPr>
          <w:rFonts w:ascii="Times New Roman;Times;Serif" w:hAnsi="Times New Roman;Times;Serif"/>
          <w:b/>
          <w:i w:val="false"/>
          <w:caps w:val="false"/>
          <w:smallCaps w:val="false"/>
          <w:sz w:val="20"/>
        </w:rPr>
        <w:t xml:space="preserve">(4) </w:t>
      </w:r>
      <w:bookmarkStart w:id="421" w:name="xdx_828_z237zDOyELs9"/>
      <w:bookmarkEnd w:id="421"/>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2" w:name="xdx_896_eus-gaap--ScheduleOfInventoryCur"/>
      <w:bookmarkEnd w:id="422"/>
      <w:r>
        <w:rPr>
          <w:rFonts w:ascii="Times New Roman;Times;Serif" w:hAnsi="Times New Roman;Times;Serif"/>
          <w:b w:val="false"/>
          <w:i w:val="false"/>
          <w:caps w:val="false"/>
          <w:smallCaps w:val="false"/>
          <w:sz w:val="20"/>
        </w:rPr>
        <w:t>The Company holds inventory related to the production of its WAM-V® and PowerBuoy® products.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3" w:name="xdx_8BD_zA8HklmpZqW"/>
      <w:bookmarkEnd w:id="423"/>
      <w:r>
        <w:rPr>
          <w:rFonts w:ascii="Times New Roman;Times;Serif" w:hAnsi="Times New Roman;Times;Serif"/>
          <w:b w:val="false"/>
          <w:i w:val="false"/>
          <w:caps w:val="false"/>
          <w:smallCaps w:val="false"/>
          <w:sz w:val="20"/>
        </w:rPr>
        <w:t>Schedule of Inventory </w:t>
      </w:r>
    </w:p>
    <w:tbl>
      <w:tblPr>
        <w:tblW w:w="5220" w:type="dxa"/>
        <w:jc w:val="left"/>
        <w:tblInd w:w="0" w:type="dxa"/>
        <w:tblLayout w:type="fixed"/>
        <w:tblCellMar>
          <w:top w:w="0" w:type="dxa"/>
          <w:left w:w="0" w:type="dxa"/>
          <w:bottom w:w="0" w:type="dxa"/>
          <w:right w:w="0" w:type="dxa"/>
        </w:tblCellMar>
      </w:tblPr>
      <w:tblGrid>
        <w:gridCol w:w="1730"/>
        <w:gridCol w:w="60"/>
        <w:gridCol w:w="355"/>
        <w:gridCol w:w="1420"/>
        <w:gridCol w:w="60"/>
        <w:gridCol w:w="60"/>
        <w:gridCol w:w="292"/>
        <w:gridCol w:w="1168"/>
        <w:gridCol w:w="75"/>
      </w:tblGrid>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4" w:name="xdx_493_20260131_zAnaU0AGtNOa"/>
            <w:bookmarkEnd w:id="424"/>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D_20250430_zEYjeIrEQbBi"/>
            <w:bookmarkEnd w:id="425"/>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26" w:name="xdx_40A_eus-gaap--InventoryRawMaterials_"/>
            <w:bookmarkEnd w:id="426"/>
          </w:p>
        </w:tc>
      </w:tr>
      <w:tr>
        <w:trPr/>
        <w:tc>
          <w:tcPr>
            <w:tcW w:w="173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3,586</w:t>
            </w:r>
          </w:p>
        </w:tc>
        <w:tc>
          <w:tcPr>
            <w:tcW w:w="75" w:type="dxa"/>
            <w:tcBorders/>
            <w:shd w:fill="CCEEFF" w:val="clear"/>
            <w:vAlign w:val="center"/>
          </w:tcPr>
          <w:p>
            <w:pPr>
              <w:pStyle w:val="TableContents"/>
              <w:bidi w:val="0"/>
              <w:spacing w:before="0" w:after="283"/>
              <w:jc w:val="left"/>
              <w:rPr/>
            </w:pPr>
            <w:r>
              <w:rPr/>
              <w:t> </w:t>
            </w:r>
            <w:bookmarkStart w:id="427" w:name="xdx_404_eus-gaap--InventoryWorkInProcess"/>
            <w:bookmarkEnd w:id="427"/>
          </w:p>
        </w:tc>
      </w:tr>
      <w:tr>
        <w:trPr/>
        <w:tc>
          <w:tcPr>
            <w:tcW w:w="173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2,556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636</w:t>
            </w:r>
          </w:p>
        </w:tc>
        <w:tc>
          <w:tcPr>
            <w:tcW w:w="75" w:type="dxa"/>
            <w:tcBorders/>
            <w:shd w:fill="FFFFFF" w:val="clear"/>
            <w:vAlign w:val="center"/>
          </w:tcPr>
          <w:p>
            <w:pPr>
              <w:pStyle w:val="TableContents"/>
              <w:bidi w:val="0"/>
              <w:spacing w:before="0" w:after="283"/>
              <w:jc w:val="left"/>
              <w:rPr/>
            </w:pPr>
            <w:r>
              <w:rPr/>
              <w:t> </w:t>
            </w:r>
            <w:bookmarkStart w:id="428" w:name="xdx_406_eus-gaap--InventoryFinishedGoods"/>
            <w:bookmarkEnd w:id="428"/>
          </w:p>
        </w:tc>
      </w:tr>
      <w:tr>
        <w:trPr/>
        <w:tc>
          <w:tcPr>
            <w:tcW w:w="1730" w:type="dxa"/>
            <w:tcBorders/>
            <w:shd w:fill="CCEEFF" w:val="clear"/>
            <w:vAlign w:val="center"/>
          </w:tcPr>
          <w:p>
            <w:pPr>
              <w:pStyle w:val="TableContents"/>
              <w:bidi w:val="0"/>
              <w:spacing w:before="0" w:after="283"/>
              <w:jc w:val="left"/>
              <w:rPr/>
            </w:pPr>
            <w:r>
              <w:rPr/>
              <w:t>Finished Products</w:t>
            </w:r>
          </w:p>
        </w:tc>
        <w:tc>
          <w:tcPr>
            <w:tcW w:w="60" w:type="dxa"/>
            <w:tcBorders/>
            <w:shd w:fill="CCEEFF" w:val="clear"/>
            <w:vAlign w:val="center"/>
          </w:tcPr>
          <w:p>
            <w:pPr>
              <w:pStyle w:val="TableContents"/>
              <w:bidi w:val="0"/>
              <w:spacing w:before="0" w:after="283"/>
              <w:jc w:val="left"/>
              <w:rPr/>
            </w:pPr>
            <w:r>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29" w:name="xdx_402_eus-gaap--InventoryNet_iTI_pn3n3"/>
            <w:bookmarkEnd w:id="429"/>
          </w:p>
        </w:tc>
      </w:tr>
      <w:tr>
        <w:trPr/>
        <w:tc>
          <w:tcPr>
            <w:tcW w:w="17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jc w:val="right"/>
              <w:rPr/>
            </w:pPr>
            <w:r>
              <w:rPr/>
              <w:t>5,237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4,222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0" w:name="xdx_8AC_z519e2mLAV5b"/>
      <w:bookmarkEnd w:id="4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1" w:name="xdx_801_eus-gaap--OtherCurrentAssetsText"/>
      <w:bookmarkEnd w:id="431"/>
      <w:r>
        <w:rPr>
          <w:rFonts w:ascii="Times New Roman;Times;Serif" w:hAnsi="Times New Roman;Times;Serif"/>
          <w:b/>
          <w:i w:val="false"/>
          <w:caps w:val="false"/>
          <w:smallCaps w:val="false"/>
          <w:sz w:val="20"/>
        </w:rPr>
        <w:t xml:space="preserve">(5) </w:t>
      </w:r>
      <w:bookmarkStart w:id="432" w:name="xdx_82D_z8ds0g2wwTZf"/>
      <w:bookmarkEnd w:id="432"/>
      <w:r>
        <w:rPr>
          <w:rFonts w:ascii="Times New Roman;Times;Serif" w:hAnsi="Times New Roman;Times;Serif"/>
          <w:b/>
          <w:i w:val="false"/>
          <w:caps w:val="false"/>
          <w:smallCaps w:val="false"/>
          <w:sz w:val="20"/>
        </w:rPr>
        <w:t>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3" w:name="xdx_89F_eus-gaap--ScheduleOfOtherCurrent"/>
      <w:bookmarkEnd w:id="433"/>
      <w:r>
        <w:rPr>
          <w:rFonts w:ascii="Times New Roman;Times;Serif" w:hAnsi="Times New Roman;Times;Serif"/>
          <w:b w:val="false"/>
          <w:i w:val="false"/>
          <w:caps w:val="false"/>
          <w:smallCaps w:val="false"/>
          <w:sz w:val="20"/>
        </w:rPr>
        <w:t>Other current assets consisted of the following at January 31, 2026 and April 30,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4" w:name="xdx_8B1_zLjvEwRd3qCh"/>
      <w:bookmarkEnd w:id="434"/>
      <w:r>
        <w:rPr>
          <w:rFonts w:ascii="Times New Roman;Times;Serif" w:hAnsi="Times New Roman;Times;Serif"/>
          <w:b w:val="false"/>
          <w:i w:val="false"/>
          <w:caps w:val="false"/>
          <w:smallCaps w:val="false"/>
          <w:sz w:val="20"/>
        </w:rPr>
        <w:t>Schedule of Other Current Assets </w:t>
      </w:r>
    </w:p>
    <w:tbl>
      <w:tblPr>
        <w:tblW w:w="6149" w:type="dxa"/>
        <w:jc w:val="left"/>
        <w:tblInd w:w="0" w:type="dxa"/>
        <w:tblLayout w:type="fixed"/>
        <w:tblCellMar>
          <w:top w:w="0" w:type="dxa"/>
          <w:left w:w="0" w:type="dxa"/>
          <w:bottom w:w="0" w:type="dxa"/>
          <w:right w:w="0" w:type="dxa"/>
        </w:tblCellMar>
      </w:tblPr>
      <w:tblGrid>
        <w:gridCol w:w="2660"/>
        <w:gridCol w:w="60"/>
        <w:gridCol w:w="355"/>
        <w:gridCol w:w="1420"/>
        <w:gridCol w:w="60"/>
        <w:gridCol w:w="60"/>
        <w:gridCol w:w="391"/>
        <w:gridCol w:w="1068"/>
        <w:gridCol w:w="75"/>
      </w:tblGrid>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5" w:name="xdx_495_20260131_zGqtCwOrqJY9"/>
            <w:bookmarkEnd w:id="435"/>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F_20250430_zVJqwfsZSFe1"/>
            <w:bookmarkEnd w:id="436"/>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54"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37" w:name="xdx_407_eus-gaap--PrepaidInsurance_iI_pn"/>
            <w:bookmarkEnd w:id="437"/>
          </w:p>
        </w:tc>
      </w:tr>
      <w:tr>
        <w:trPr/>
        <w:tc>
          <w:tcPr>
            <w:tcW w:w="266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80</w:t>
            </w:r>
          </w:p>
        </w:tc>
        <w:tc>
          <w:tcPr>
            <w:tcW w:w="75" w:type="dxa"/>
            <w:tcBorders/>
            <w:shd w:fill="CCEEFF" w:val="clear"/>
            <w:vAlign w:val="center"/>
          </w:tcPr>
          <w:p>
            <w:pPr>
              <w:pStyle w:val="TableContents"/>
              <w:bidi w:val="0"/>
              <w:spacing w:before="0" w:after="283"/>
              <w:jc w:val="left"/>
              <w:rPr/>
            </w:pPr>
            <w:r>
              <w:rPr/>
              <w:t> </w:t>
            </w:r>
            <w:bookmarkStart w:id="438" w:name="xdx_404_ecustom--PrepaidSoftwareAndLicen"/>
            <w:bookmarkEnd w:id="438"/>
          </w:p>
        </w:tc>
      </w:tr>
      <w:tr>
        <w:trPr/>
        <w:tc>
          <w:tcPr>
            <w:tcW w:w="2660" w:type="dxa"/>
            <w:tcBorders/>
            <w:shd w:fill="FFFFFF" w:val="clear"/>
            <w:vAlign w:val="center"/>
          </w:tcPr>
          <w:p>
            <w:pPr>
              <w:pStyle w:val="TableContents"/>
              <w:bidi w:val="0"/>
              <w:spacing w:before="0" w:after="283"/>
              <w:jc w:val="left"/>
              <w:rPr/>
            </w:pPr>
            <w:r>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439" w:name="xdx_403_ecustom--PrepaidSalesAndMarketin"/>
            <w:bookmarkEnd w:id="439"/>
          </w:p>
        </w:tc>
      </w:tr>
      <w:tr>
        <w:trPr/>
        <w:tc>
          <w:tcPr>
            <w:tcW w:w="2660" w:type="dxa"/>
            <w:tcBorders/>
            <w:shd w:fill="CCEEFF" w:val="clear"/>
            <w:vAlign w:val="center"/>
          </w:tcPr>
          <w:p>
            <w:pPr>
              <w:pStyle w:val="TableContents"/>
              <w:bidi w:val="0"/>
              <w:spacing w:before="0" w:after="283"/>
              <w:jc w:val="left"/>
              <w:rPr/>
            </w:pPr>
            <w:r>
              <w:rPr/>
              <w:t>Prepaid sales &amp; marketing</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90</w:t>
            </w:r>
          </w:p>
        </w:tc>
        <w:tc>
          <w:tcPr>
            <w:tcW w:w="75" w:type="dxa"/>
            <w:tcBorders/>
            <w:shd w:fill="CCEEFF" w:val="clear"/>
            <w:vAlign w:val="center"/>
          </w:tcPr>
          <w:p>
            <w:pPr>
              <w:pStyle w:val="TableContents"/>
              <w:bidi w:val="0"/>
              <w:spacing w:before="0" w:after="283"/>
              <w:jc w:val="left"/>
              <w:rPr/>
            </w:pPr>
            <w:r>
              <w:rPr/>
              <w:t> </w:t>
            </w:r>
            <w:bookmarkStart w:id="440" w:name="xdx_405_ecustom--PrepaidProjectCosts_iI_"/>
            <w:bookmarkEnd w:id="440"/>
          </w:p>
        </w:tc>
      </w:tr>
      <w:tr>
        <w:trPr/>
        <w:tc>
          <w:tcPr>
            <w:tcW w:w="2660" w:type="dxa"/>
            <w:tcBorders/>
            <w:shd w:fill="FFFFFF" w:val="clear"/>
            <w:vAlign w:val="center"/>
          </w:tcPr>
          <w:p>
            <w:pPr>
              <w:pStyle w:val="TableContents"/>
              <w:bidi w:val="0"/>
              <w:spacing w:before="0" w:after="283"/>
              <w:jc w:val="left"/>
              <w:rPr/>
            </w:pPr>
            <w:r>
              <w:rPr/>
              <w:t>Prepaid project costs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jc w:val="left"/>
              <w:rPr/>
            </w:pPr>
            <w:r>
              <w:rPr/>
              <w:t> </w:t>
            </w:r>
            <w:bookmarkStart w:id="441" w:name="xdx_409_ecustom--PrepaidInventory_iI_pn3"/>
            <w:bookmarkEnd w:id="441"/>
          </w:p>
        </w:tc>
      </w:tr>
      <w:tr>
        <w:trPr/>
        <w:tc>
          <w:tcPr>
            <w:tcW w:w="266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2" w:name="xdx_403_eus-gaap--OtherPrepaidExpenseCur"/>
            <w:bookmarkEnd w:id="442"/>
          </w:p>
        </w:tc>
      </w:tr>
      <w:tr>
        <w:trPr/>
        <w:tc>
          <w:tcPr>
            <w:tcW w:w="2660" w:type="dxa"/>
            <w:tcBorders/>
            <w:shd w:fill="FFFFFF" w:val="clear"/>
            <w:vAlign w:val="center"/>
          </w:tcPr>
          <w:p>
            <w:pPr>
              <w:pStyle w:val="TableContents"/>
              <w:bidi w:val="0"/>
              <w:spacing w:before="0" w:after="283"/>
              <w:jc w:val="left"/>
              <w:rPr/>
            </w:pPr>
            <w:r>
              <w:rPr/>
              <w:t>Prepaid expenses- other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75" w:type="dxa"/>
            <w:tcBorders/>
            <w:shd w:fill="FFFFFF" w:val="clear"/>
            <w:vAlign w:val="center"/>
          </w:tcPr>
          <w:p>
            <w:pPr>
              <w:pStyle w:val="TableContents"/>
              <w:bidi w:val="0"/>
              <w:spacing w:before="0" w:after="283"/>
              <w:jc w:val="left"/>
              <w:rPr/>
            </w:pPr>
            <w:r>
              <w:rPr/>
              <w:t> </w:t>
            </w:r>
            <w:bookmarkStart w:id="443" w:name="xdx_40F_eus-gaap--OtherAssetsCurrent_iTI"/>
            <w:bookmarkEnd w:id="443"/>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1,957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4" w:name="xdx_8A1_zsISod1RFjGc"/>
      <w:bookmarkEnd w:id="4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prepaid project costs for when the Company has incurred costs for customer contracts but for which the Company has not yet achieved and delivered related milestones or complete performance obligations under that contract. Prepaid project costs is classified within other current asset based on when management estimates the revenue will be recognized. As of January 31, 2026, the Company has net prepaid project costs of $</w:t>
      </w:r>
      <w:bookmarkStart w:id="445" w:name="xdx_90C_ecustom--PrepaidProjectCosts_iI_"/>
      <w:bookmarkEnd w:id="445"/>
      <w:r>
        <w:rPr>
          <w:rFonts w:ascii="Times New Roman;Times;Serif" w:hAnsi="Times New Roman;Times;Serif"/>
          <w:b w:val="false"/>
          <w:i w:val="false"/>
          <w:caps w:val="false"/>
          <w:smallCaps w:val="false"/>
          <w:sz w:val="20"/>
        </w:rPr>
        <w:t>478,000. The amount recorded will be recognized as cost of goods sold if and when the Company achieves and delivers the milestones under the terms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6" w:name="xdx_802_eus-gaap--PropertyPlantAndEquipm"/>
      <w:bookmarkEnd w:id="446"/>
      <w:r>
        <w:rPr>
          <w:rFonts w:ascii="Times New Roman;Times;Serif" w:hAnsi="Times New Roman;Times;Serif"/>
          <w:b/>
          <w:i w:val="false"/>
          <w:caps w:val="false"/>
          <w:smallCaps w:val="false"/>
          <w:sz w:val="20"/>
        </w:rPr>
        <w:t xml:space="preserve">(6) </w:t>
      </w:r>
      <w:bookmarkStart w:id="447" w:name="xdx_825_zA8bSO7Tdsp9"/>
      <w:bookmarkEnd w:id="447"/>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8" w:name="xdx_89A_eus-gaap--PropertyPlantAndEquipm"/>
      <w:bookmarkEnd w:id="448"/>
      <w:r>
        <w:rPr>
          <w:rFonts w:ascii="Times New Roman;Times;Serif" w:hAnsi="Times New Roman;Times;Serif"/>
          <w:b w:val="false"/>
          <w:i w:val="false"/>
          <w:caps w:val="false"/>
          <w:smallCaps w:val="false"/>
          <w:sz w:val="20"/>
        </w:rPr>
        <w:t>The components of property and equipment, net as of January 31, 2026 and April 30, 2025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9" w:name="xdx_8B9_zUF4rKW5nBF1"/>
      <w:bookmarkEnd w:id="449"/>
      <w:r>
        <w:rPr>
          <w:rFonts w:ascii="Times New Roman;Times;Serif" w:hAnsi="Times New Roman;Times;Serif"/>
          <w:b w:val="false"/>
          <w:i w:val="false"/>
          <w:caps w:val="false"/>
          <w:smallCaps w:val="false"/>
          <w:sz w:val="20"/>
        </w:rPr>
        <w:t>Schedule of Components of Property and Equipment, Net </w:t>
      </w:r>
    </w:p>
    <w:tbl>
      <w:tblPr>
        <w:tblW w:w="6698" w:type="dxa"/>
        <w:jc w:val="left"/>
        <w:tblInd w:w="0" w:type="dxa"/>
        <w:tblLayout w:type="fixed"/>
        <w:tblCellMar>
          <w:top w:w="0" w:type="dxa"/>
          <w:left w:w="0" w:type="dxa"/>
          <w:bottom w:w="0" w:type="dxa"/>
          <w:right w:w="0" w:type="dxa"/>
        </w:tblCellMar>
      </w:tblPr>
      <w:tblGrid>
        <w:gridCol w:w="3140"/>
        <w:gridCol w:w="60"/>
        <w:gridCol w:w="320"/>
        <w:gridCol w:w="1454"/>
        <w:gridCol w:w="95"/>
        <w:gridCol w:w="60"/>
        <w:gridCol w:w="263"/>
        <w:gridCol w:w="1196"/>
        <w:gridCol w:w="110"/>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0" w:name="xdx_49F_20260131_zRZqBq0LQsO4"/>
            <w:bookmarkEnd w:id="450"/>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9E_20250430_zADLicp7LsDd"/>
            <w:bookmarkEnd w:id="451"/>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52" w:name="xdx_40D_eus-gaap--PropertyPlantAndEquipm"/>
            <w:bookmarkEnd w:id="452"/>
          </w:p>
        </w:tc>
      </w:tr>
      <w:tr>
        <w:trPr/>
        <w:tc>
          <w:tcPr>
            <w:tcW w:w="314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2,208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1,569</w:t>
            </w:r>
          </w:p>
        </w:tc>
        <w:tc>
          <w:tcPr>
            <w:tcW w:w="110" w:type="dxa"/>
            <w:tcBorders/>
            <w:shd w:fill="CCEEFF" w:val="clear"/>
            <w:vAlign w:val="center"/>
          </w:tcPr>
          <w:p>
            <w:pPr>
              <w:pStyle w:val="TableContents"/>
              <w:bidi w:val="0"/>
              <w:spacing w:before="0" w:after="283"/>
              <w:jc w:val="left"/>
              <w:rPr/>
            </w:pPr>
            <w:r>
              <w:rPr/>
              <w:t> </w:t>
            </w:r>
            <w:bookmarkStart w:id="453" w:name="xdx_40E_eus-gaap--PropertyPlantAndEquipm"/>
            <w:bookmarkEnd w:id="453"/>
          </w:p>
        </w:tc>
      </w:tr>
      <w:tr>
        <w:trPr/>
        <w:tc>
          <w:tcPr>
            <w:tcW w:w="3140" w:type="dxa"/>
            <w:tcBorders/>
            <w:shd w:fill="FFFFFF" w:val="clear"/>
            <w:vAlign w:val="center"/>
          </w:tcPr>
          <w:p>
            <w:pPr>
              <w:pStyle w:val="TableContents"/>
              <w:bidi w:val="0"/>
              <w:spacing w:before="0" w:after="283"/>
              <w:jc w:val="left"/>
              <w:rPr/>
            </w:pPr>
            <w:r>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bookmarkStart w:id="454" w:name="xdx_408_eus-gaap--PropertyPlantAndEquipm"/>
            <w:bookmarkEnd w:id="454"/>
          </w:p>
        </w:tc>
      </w:tr>
      <w:tr>
        <w:trPr/>
        <w:tc>
          <w:tcPr>
            <w:tcW w:w="3140"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425</w:t>
            </w:r>
          </w:p>
        </w:tc>
        <w:tc>
          <w:tcPr>
            <w:tcW w:w="110" w:type="dxa"/>
            <w:tcBorders/>
            <w:shd w:fill="CCEEFF" w:val="clear"/>
            <w:vAlign w:val="center"/>
          </w:tcPr>
          <w:p>
            <w:pPr>
              <w:pStyle w:val="TableContents"/>
              <w:bidi w:val="0"/>
              <w:spacing w:before="0" w:after="283"/>
              <w:jc w:val="left"/>
              <w:rPr/>
            </w:pPr>
            <w:r>
              <w:rPr/>
              <w:t> </w:t>
            </w:r>
            <w:bookmarkStart w:id="455" w:name="xdx_40F_eus-gaap--PropertyPlantAndEquipm"/>
            <w:bookmarkEnd w:id="455"/>
          </w:p>
        </w:tc>
      </w:tr>
      <w:tr>
        <w:trPr/>
        <w:tc>
          <w:tcPr>
            <w:tcW w:w="314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683</w:t>
            </w:r>
          </w:p>
        </w:tc>
        <w:tc>
          <w:tcPr>
            <w:tcW w:w="110" w:type="dxa"/>
            <w:tcBorders/>
            <w:shd w:fill="FFFFFF" w:val="clear"/>
            <w:vAlign w:val="center"/>
          </w:tcPr>
          <w:p>
            <w:pPr>
              <w:pStyle w:val="TableContents"/>
              <w:bidi w:val="0"/>
              <w:spacing w:before="0" w:after="283"/>
              <w:jc w:val="left"/>
              <w:rPr/>
            </w:pPr>
            <w:r>
              <w:rPr/>
              <w:t> </w:t>
            </w:r>
            <w:bookmarkStart w:id="456" w:name="xdx_408_eus-gaap--PropertyPlantAndEquipm"/>
            <w:bookmarkEnd w:id="456"/>
          </w:p>
        </w:tc>
      </w:tr>
      <w:tr>
        <w:trPr/>
        <w:tc>
          <w:tcPr>
            <w:tcW w:w="3140" w:type="dxa"/>
            <w:tcBorders/>
            <w:shd w:fill="CCEEFF" w:val="clear"/>
            <w:vAlign w:val="center"/>
          </w:tcPr>
          <w:p>
            <w:pPr>
              <w:pStyle w:val="TableContents"/>
              <w:bidi w:val="0"/>
              <w:spacing w:before="0" w:after="283"/>
              <w:jc w:val="left"/>
              <w:rPr/>
            </w:pPr>
            <w:r>
              <w:rPr/>
              <w:t>Leased WAM-V’s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1,735</w:t>
            </w:r>
          </w:p>
        </w:tc>
        <w:tc>
          <w:tcPr>
            <w:tcW w:w="110" w:type="dxa"/>
            <w:tcBorders/>
            <w:shd w:fill="CCEEFF" w:val="clear"/>
            <w:vAlign w:val="center"/>
          </w:tcPr>
          <w:p>
            <w:pPr>
              <w:pStyle w:val="TableContents"/>
              <w:bidi w:val="0"/>
              <w:spacing w:before="0" w:after="283"/>
              <w:jc w:val="left"/>
              <w:rPr/>
            </w:pPr>
            <w:r>
              <w:rPr/>
              <w:t> </w:t>
            </w:r>
            <w:bookmarkStart w:id="457" w:name="xdx_402_eus-gaap--PropertyPlantAndEquipm"/>
            <w:bookmarkEnd w:id="457"/>
          </w:p>
        </w:tc>
      </w:tr>
      <w:tr>
        <w:trPr/>
        <w:tc>
          <w:tcPr>
            <w:tcW w:w="3140" w:type="dxa"/>
            <w:tcBorders/>
            <w:shd w:fill="FFFFFF" w:val="clear"/>
            <w:vAlign w:val="center"/>
          </w:tcPr>
          <w:p>
            <w:pPr>
              <w:pStyle w:val="TableContents"/>
              <w:bidi w:val="0"/>
              <w:spacing w:before="0" w:after="283"/>
              <w:jc w:val="left"/>
              <w:rPr/>
            </w:pPr>
            <w:r>
              <w:rPr/>
              <w:t>Leased Buoys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2,634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949</w:t>
            </w:r>
          </w:p>
        </w:tc>
        <w:tc>
          <w:tcPr>
            <w:tcW w:w="110" w:type="dxa"/>
            <w:tcBorders/>
            <w:shd w:fill="FFFFFF" w:val="clear"/>
            <w:vAlign w:val="center"/>
          </w:tcPr>
          <w:p>
            <w:pPr>
              <w:pStyle w:val="TableContents"/>
              <w:bidi w:val="0"/>
              <w:spacing w:before="0" w:after="283"/>
              <w:jc w:val="left"/>
              <w:rPr/>
            </w:pPr>
            <w:r>
              <w:rPr/>
              <w:t> </w:t>
            </w:r>
            <w:bookmarkStart w:id="458" w:name="xdx_407_eus-gaap--PropertyPlantAndEquipm"/>
            <w:bookmarkEnd w:id="458"/>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8,965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5,981</w:t>
            </w:r>
          </w:p>
        </w:tc>
        <w:tc>
          <w:tcPr>
            <w:tcW w:w="110" w:type="dxa"/>
            <w:tcBorders/>
            <w:shd w:fill="CCEEFF" w:val="clear"/>
            <w:vAlign w:val="center"/>
          </w:tcPr>
          <w:p>
            <w:pPr>
              <w:pStyle w:val="TableContents"/>
              <w:bidi w:val="0"/>
              <w:spacing w:before="0" w:after="283"/>
              <w:jc w:val="left"/>
              <w:rPr/>
            </w:pPr>
            <w:r>
              <w:rPr/>
              <w:t> </w:t>
            </w:r>
            <w:bookmarkStart w:id="459" w:name="xdx_401_eus-gaap--AccumulatedDepreciatio"/>
            <w:bookmarkEnd w:id="459"/>
          </w:p>
        </w:tc>
      </w:tr>
      <w:tr>
        <w:trPr/>
        <w:tc>
          <w:tcPr>
            <w:tcW w:w="314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(3,168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(2,537</w:t>
            </w:r>
          </w:p>
        </w:tc>
        <w:tc>
          <w:tcPr>
            <w:tcW w:w="110" w:type="dxa"/>
            <w:tcBorders/>
            <w:shd w:fill="FFFFFF" w:val="clear"/>
            <w:vAlign w:val="center"/>
          </w:tcPr>
          <w:p>
            <w:pPr>
              <w:pStyle w:val="TableContents"/>
              <w:bidi w:val="0"/>
              <w:spacing w:before="0" w:after="283"/>
              <w:jc w:val="left"/>
              <w:rPr/>
            </w:pPr>
            <w:r>
              <w:rPr/>
              <w:t>)</w:t>
            </w:r>
            <w:bookmarkStart w:id="460" w:name="xdx_406_eus-gaap--PropertyPlantAndEquipm"/>
            <w:bookmarkEnd w:id="460"/>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5,797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3,444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1" w:name="xdx_8AB_z2wJUlPZyGK1"/>
      <w:bookmarkEnd w:id="4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WAM-V’s and buoys represent fixed assets that are associated with underlying operating leases with customers or for customer demonstration as discussed in the revenue recognition section related to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approximately $</w:t>
      </w:r>
      <w:bookmarkStart w:id="462" w:name="xdx_90C_eus-gaap--Depreciation_pn3d_c202"/>
      <w:bookmarkEnd w:id="462"/>
      <w:r>
        <w:rPr>
          <w:rFonts w:ascii="Times New Roman;Times;Serif" w:hAnsi="Times New Roman;Times;Serif"/>
          <w:b w:val="false"/>
          <w:i w:val="false"/>
          <w:caps w:val="false"/>
          <w:smallCaps w:val="false"/>
          <w:sz w:val="20"/>
        </w:rPr>
        <w:t>632,000 and $</w:t>
      </w:r>
      <w:bookmarkStart w:id="463" w:name="xdx_901_eus-gaap--Depreciation_pn3d_c202"/>
      <w:bookmarkEnd w:id="463"/>
      <w:r>
        <w:rPr>
          <w:rFonts w:ascii="Times New Roman;Times;Serif" w:hAnsi="Times New Roman;Times;Serif"/>
          <w:b w:val="false"/>
          <w:i w:val="false"/>
          <w:caps w:val="false"/>
          <w:smallCaps w:val="false"/>
          <w:sz w:val="20"/>
        </w:rPr>
        <w:t>610,000 for the nine-month periods ended January 31, 2026 and 2025, respectively. Depreciation expense was approximately $</w:t>
      </w:r>
      <w:bookmarkStart w:id="464" w:name="xdx_90C_eus-gaap--Depreciation_pn3d_c202"/>
      <w:bookmarkEnd w:id="464"/>
      <w:r>
        <w:rPr>
          <w:rFonts w:ascii="Times New Roman;Times;Serif" w:hAnsi="Times New Roman;Times;Serif"/>
          <w:b w:val="false"/>
          <w:i w:val="false"/>
          <w:caps w:val="false"/>
          <w:smallCaps w:val="false"/>
          <w:sz w:val="20"/>
        </w:rPr>
        <w:t>234,000 and $</w:t>
      </w:r>
      <w:bookmarkStart w:id="465" w:name="xdx_90A_eus-gaap--Depreciation_pn3d_c202"/>
      <w:bookmarkEnd w:id="465"/>
      <w:r>
        <w:rPr>
          <w:rFonts w:ascii="Times New Roman;Times;Serif" w:hAnsi="Times New Roman;Times;Serif"/>
          <w:b w:val="false"/>
          <w:i w:val="false"/>
          <w:caps w:val="false"/>
          <w:smallCaps w:val="false"/>
          <w:sz w:val="20"/>
        </w:rPr>
        <w:t>155,000 for the three-month periods ended January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0C_eus-gaap--IntangibleAssetsDisclo"/>
      <w:bookmarkEnd w:id="466"/>
      <w:r>
        <w:rPr>
          <w:rFonts w:ascii="Times New Roman;Times;Serif" w:hAnsi="Times New Roman;Times;Serif"/>
          <w:b/>
          <w:i w:val="false"/>
          <w:caps w:val="false"/>
          <w:smallCaps w:val="false"/>
          <w:sz w:val="20"/>
        </w:rPr>
        <w:t xml:space="preserve">(7) </w:t>
      </w:r>
      <w:bookmarkStart w:id="467" w:name="xdx_826_zG6mez4Xh1y5"/>
      <w:bookmarkEnd w:id="467"/>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8" w:name="xdx_89D_eus-gaap--ScheduleOfFiniteLivedI"/>
      <w:bookmarkEnd w:id="468"/>
      <w:r>
        <w:rPr>
          <w:rFonts w:ascii="Times New Roman;Times;Serif" w:hAnsi="Times New Roman;Times;Serif"/>
          <w:b w:val="false"/>
          <w:i w:val="false"/>
          <w:caps w:val="false"/>
          <w:smallCaps w:val="false"/>
          <w:sz w:val="20"/>
        </w:rPr>
        <w:t>The components of intangible assets, net as of January 31, 2026 and April 30, 2025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9" w:name="xdx_8BB_zJSALSo2Gw1a"/>
      <w:bookmarkEnd w:id="469"/>
      <w:r>
        <w:rPr>
          <w:rFonts w:ascii="Times New Roman;Times;Serif" w:hAnsi="Times New Roman;Times;Serif"/>
          <w:b w:val="false"/>
          <w:i w:val="false"/>
          <w:caps w:val="false"/>
          <w:smallCaps w:val="false"/>
          <w:sz w:val="20"/>
        </w:rPr>
        <w:t>Schedule of Components of Intangible Assets </w:t>
      </w:r>
    </w:p>
    <w:tbl>
      <w:tblPr>
        <w:tblW w:w="6083" w:type="dxa"/>
        <w:jc w:val="left"/>
        <w:tblInd w:w="0" w:type="dxa"/>
        <w:tblLayout w:type="fixed"/>
        <w:tblCellMar>
          <w:top w:w="0" w:type="dxa"/>
          <w:left w:w="0" w:type="dxa"/>
          <w:bottom w:w="0" w:type="dxa"/>
          <w:right w:w="0" w:type="dxa"/>
        </w:tblCellMar>
      </w:tblPr>
      <w:tblGrid>
        <w:gridCol w:w="2525"/>
        <w:gridCol w:w="60"/>
        <w:gridCol w:w="320"/>
        <w:gridCol w:w="1454"/>
        <w:gridCol w:w="95"/>
        <w:gridCol w:w="60"/>
        <w:gridCol w:w="263"/>
        <w:gridCol w:w="1196"/>
        <w:gridCol w:w="110"/>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0" w:name="xdx_499_20260131_zhSAGvVW7Gpi"/>
            <w:bookmarkEnd w:id="470"/>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1" w:name="xdx_49E_20250430_zYA05J9xiKY"/>
            <w:bookmarkEnd w:id="471"/>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72" w:name="xdx_401_eus-gaap--FiniteLivedPatentsGros"/>
            <w:bookmarkEnd w:id="472"/>
          </w:p>
        </w:tc>
      </w:tr>
      <w:tr>
        <w:trPr/>
        <w:tc>
          <w:tcPr>
            <w:tcW w:w="25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110" w:type="dxa"/>
            <w:tcBorders/>
            <w:shd w:fill="CCEEFF" w:val="clear"/>
            <w:vAlign w:val="center"/>
          </w:tcPr>
          <w:p>
            <w:pPr>
              <w:pStyle w:val="TableContents"/>
              <w:bidi w:val="0"/>
              <w:spacing w:before="0" w:after="283"/>
              <w:jc w:val="left"/>
              <w:rPr/>
            </w:pPr>
            <w:r>
              <w:rPr/>
              <w:t> </w:t>
            </w:r>
            <w:bookmarkStart w:id="473" w:name="xdx_40D_eus-gaap--FiniteLivedTrademarksG"/>
            <w:bookmarkEnd w:id="473"/>
          </w:p>
        </w:tc>
      </w:tr>
      <w:tr>
        <w:trPr/>
        <w:tc>
          <w:tcPr>
            <w:tcW w:w="252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110" w:type="dxa"/>
            <w:tcBorders/>
            <w:shd w:fill="FFFFFF" w:val="clear"/>
            <w:vAlign w:val="center"/>
          </w:tcPr>
          <w:p>
            <w:pPr>
              <w:pStyle w:val="TableContents"/>
              <w:bidi w:val="0"/>
              <w:spacing w:before="0" w:after="283"/>
              <w:jc w:val="left"/>
              <w:rPr/>
            </w:pPr>
            <w:r>
              <w:rPr/>
              <w:t> </w:t>
            </w:r>
            <w:bookmarkStart w:id="474" w:name="xdx_40E_eus-gaap--FiniteLivedIntangibleA"/>
            <w:bookmarkEnd w:id="474"/>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5,498</w:t>
            </w:r>
          </w:p>
        </w:tc>
        <w:tc>
          <w:tcPr>
            <w:tcW w:w="110" w:type="dxa"/>
            <w:tcBorders/>
            <w:shd w:fill="CCEEFF" w:val="clear"/>
            <w:vAlign w:val="center"/>
          </w:tcPr>
          <w:p>
            <w:pPr>
              <w:pStyle w:val="TableContents"/>
              <w:bidi w:val="0"/>
              <w:spacing w:before="0" w:after="283"/>
              <w:jc w:val="left"/>
              <w:rPr/>
            </w:pPr>
            <w:r>
              <w:rPr/>
              <w:t> </w:t>
            </w:r>
            <w:bookmarkStart w:id="475" w:name="xdx_40A_eus-gaap--FiniteLivedIntangibleA"/>
            <w:bookmarkEnd w:id="475"/>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(2,108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(2,008</w:t>
            </w:r>
          </w:p>
        </w:tc>
        <w:tc>
          <w:tcPr>
            <w:tcW w:w="110" w:type="dxa"/>
            <w:tcBorders/>
            <w:shd w:fill="FFFFFF" w:val="clear"/>
            <w:vAlign w:val="center"/>
          </w:tcPr>
          <w:p>
            <w:pPr>
              <w:pStyle w:val="TableContents"/>
              <w:bidi w:val="0"/>
              <w:spacing w:before="0" w:after="283"/>
              <w:jc w:val="left"/>
              <w:rPr/>
            </w:pPr>
            <w:r>
              <w:rPr/>
              <w:t>)</w:t>
            </w:r>
            <w:bookmarkStart w:id="476" w:name="xdx_401_eus-gaap--FiniteLivedIntangibleA"/>
            <w:bookmarkEnd w:id="476"/>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3,390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3,490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7" w:name="xdx_8A7_zyCAY4JfNlDg"/>
      <w:bookmarkEnd w:id="4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478" w:name="xdx_90D_eus-gaap--AmortizationOfIntangib"/>
      <w:bookmarkEnd w:id="478"/>
      <w:r>
        <w:rPr>
          <w:rFonts w:ascii="Times New Roman;Times;Serif" w:hAnsi="Times New Roman;Times;Serif"/>
          <w:b w:val="false"/>
          <w:i w:val="false"/>
          <w:caps w:val="false"/>
          <w:smallCaps w:val="false"/>
          <w:sz w:val="20"/>
        </w:rPr>
        <w:t>99,000 and $</w:t>
      </w:r>
      <w:bookmarkStart w:id="479" w:name="xdx_907_eus-gaap--AmortizationOfIntangib"/>
      <w:bookmarkEnd w:id="479"/>
      <w:r>
        <w:rPr>
          <w:rFonts w:ascii="Times New Roman;Times;Serif" w:hAnsi="Times New Roman;Times;Serif"/>
          <w:b w:val="false"/>
          <w:i w:val="false"/>
          <w:caps w:val="false"/>
          <w:smallCaps w:val="false"/>
          <w:sz w:val="20"/>
        </w:rPr>
        <w:t>99,000 for the nine-month periods ended January 31, 2026 and 2025, respectively. Amortization expense was approximately $</w:t>
      </w:r>
      <w:bookmarkStart w:id="480" w:name="xdx_909_eus-gaap--AmortizationOfIntangib"/>
      <w:bookmarkEnd w:id="480"/>
      <w:r>
        <w:rPr>
          <w:rFonts w:ascii="Times New Roman;Times;Serif" w:hAnsi="Times New Roman;Times;Serif"/>
          <w:b w:val="false"/>
          <w:i w:val="false"/>
          <w:caps w:val="false"/>
          <w:smallCaps w:val="false"/>
          <w:sz w:val="20"/>
        </w:rPr>
        <w:t>33,000 and $</w:t>
      </w:r>
      <w:bookmarkStart w:id="481" w:name="xdx_906_eus-gaap--AmortizationOfIntangib"/>
      <w:bookmarkEnd w:id="481"/>
      <w:r>
        <w:rPr>
          <w:rFonts w:ascii="Times New Roman;Times;Serif" w:hAnsi="Times New Roman;Times;Serif"/>
          <w:b w:val="false"/>
          <w:i w:val="false"/>
          <w:caps w:val="false"/>
          <w:smallCaps w:val="false"/>
          <w:sz w:val="20"/>
        </w:rPr>
        <w:t>33,000 for the three-month periods ended January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2" w:name="xdx_80F_eus-gaap--GoodwillDisclosureText"/>
      <w:bookmarkEnd w:id="482"/>
      <w:r>
        <w:rPr>
          <w:rFonts w:ascii="Times New Roman;Times;Serif" w:hAnsi="Times New Roman;Times;Serif"/>
          <w:b/>
          <w:i w:val="false"/>
          <w:caps w:val="false"/>
          <w:smallCaps w:val="false"/>
          <w:sz w:val="20"/>
        </w:rPr>
        <w:t xml:space="preserve">(8) </w:t>
      </w:r>
      <w:bookmarkStart w:id="483" w:name="xdx_828_zpspVJTb1JBb"/>
      <w:bookmarkEnd w:id="483"/>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484" w:name="xdx_907_eus-gaap--Goodwill_iI_pn5n6_c202"/>
      <w:bookmarkEnd w:id="484"/>
      <w:r>
        <w:rPr>
          <w:rFonts w:ascii="Times New Roman;Times;Serif" w:hAnsi="Times New Roman;Times;Serif"/>
          <w:b w:val="false"/>
          <w:i w:val="false"/>
          <w:caps w:val="false"/>
          <w:smallCaps w:val="false"/>
          <w:sz w:val="20"/>
        </w:rPr>
        <w:t>8.5 million was recognized in November 2021 related to the acquisition of MAR. There have been no additions to, or any impairment of, goodwill during the three- or nine-month periods ended January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5" w:name="xdx_802_eus-gaap--LesseeOperatingLeasesT"/>
      <w:bookmarkEnd w:id="485"/>
      <w:r>
        <w:rPr>
          <w:rFonts w:ascii="Times New Roman;Times;Serif" w:hAnsi="Times New Roman;Times;Serif"/>
          <w:b/>
          <w:i w:val="false"/>
          <w:caps w:val="false"/>
          <w:smallCaps w:val="false"/>
          <w:sz w:val="20"/>
        </w:rPr>
        <w:t xml:space="preserve">(9) </w:t>
      </w:r>
      <w:bookmarkStart w:id="486" w:name="xdx_821_z16IiKpU007"/>
      <w:bookmarkEnd w:id="48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2026 and April 30, 2025, the Company had four and three WAM-V’s leased to customers which have been classified as operating leases per accounting guidance contained within ASC Topic 842, “Leases”, respectively. The remaining term on these operating leases is less than </w:t>
      </w:r>
      <w:bookmarkStart w:id="487" w:name="xdx_904_eus-gaap--LesseeOperatingLeaseRe"/>
      <w:bookmarkStart w:id="488" w:name="xdx_90C_eus-gaap--LesseeOperatingLeaseRe"/>
      <w:bookmarkEnd w:id="487"/>
      <w:bookmarkEnd w:id="488"/>
      <w:r>
        <w:rPr>
          <w:rFonts w:ascii="Times New Roman;Times;Serif" w:hAnsi="Times New Roman;Times;Serif"/>
          <w:b w:val="false"/>
          <w:i w:val="false"/>
          <w:caps w:val="false"/>
          <w:smallCaps w:val="false"/>
          <w:sz w:val="20"/>
        </w:rPr>
        <w:t>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lease for its facility located in Monroe Township, New Jersey that is used as warehouse/production space and the Company’s principal offices and corporate headquarters. In August 2025, the Company extended the lease for its main headquarters in Monroe, NJ to January 31, 2027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office space located in Richmond, California. </w:t>
      </w:r>
      <w:bookmarkStart w:id="489" w:name="xdx_906_eus-gaap--LesseeOperatingLeaseDe"/>
      <w:bookmarkEnd w:id="489"/>
      <w:r>
        <w:rPr>
          <w:rFonts w:ascii="Times New Roman;Times;Serif" w:hAnsi="Times New Roman;Times;Serif"/>
          <w:b w:val="false"/>
          <w:i w:val="false"/>
          <w:caps w:val="false"/>
          <w:smallCaps w:val="false"/>
          <w:sz w:val="20"/>
        </w:rPr>
        <w:t>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warehouse space located in Richmond, California. </w:t>
      </w:r>
      <w:bookmarkStart w:id="490" w:name="xdx_90A_eus-gaap--LesseeOperatingLeaseDe"/>
      <w:bookmarkEnd w:id="490"/>
      <w:r>
        <w:rPr>
          <w:rFonts w:ascii="Times New Roman;Times;Serif" w:hAnsi="Times New Roman;Times;Serif"/>
          <w:b w:val="false"/>
          <w:i w:val="false"/>
          <w:caps w:val="false"/>
          <w:smallCaps w:val="false"/>
          <w:sz w:val="20"/>
        </w:rPr>
        <w:t>The lease commenced in June of 2025 and will continue for 24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cash flow payments for the nine months ended January 31, 2026 and 2025 were $</w:t>
      </w:r>
      <w:bookmarkStart w:id="491" w:name="xdx_909_eus-gaap--OperatingLeaseExpense_"/>
      <w:bookmarkEnd w:id="491"/>
      <w:r>
        <w:rPr>
          <w:rFonts w:ascii="Times New Roman;Times;Serif" w:hAnsi="Times New Roman;Times;Serif"/>
          <w:b w:val="false"/>
          <w:i w:val="false"/>
          <w:caps w:val="false"/>
          <w:smallCaps w:val="false"/>
          <w:sz w:val="20"/>
        </w:rPr>
        <w:t>957,000 and $</w:t>
      </w:r>
      <w:bookmarkStart w:id="492" w:name="xdx_90F_eus-gaap--OperatingLeaseExpense_"/>
      <w:bookmarkEnd w:id="492"/>
      <w:r>
        <w:rPr>
          <w:rFonts w:ascii="Times New Roman;Times;Serif" w:hAnsi="Times New Roman;Times;Serif"/>
          <w:b w:val="false"/>
          <w:i w:val="false"/>
          <w:caps w:val="false"/>
          <w:smallCaps w:val="false"/>
          <w:sz w:val="20"/>
        </w:rPr>
        <w:t>679,000, respectively. The operating lease cash flow payments for the three months ended January 31, 2026 and 2025 were $</w:t>
      </w:r>
      <w:bookmarkStart w:id="493" w:name="xdx_909_eus-gaap--OperatingLeaseExpense_"/>
      <w:bookmarkEnd w:id="493"/>
      <w:r>
        <w:rPr>
          <w:rFonts w:ascii="Times New Roman;Times;Serif" w:hAnsi="Times New Roman;Times;Serif"/>
          <w:b w:val="false"/>
          <w:i w:val="false"/>
          <w:caps w:val="false"/>
          <w:smallCaps w:val="false"/>
          <w:sz w:val="20"/>
        </w:rPr>
        <w:t>326,000 and $</w:t>
      </w:r>
      <w:bookmarkStart w:id="494" w:name="xdx_901_eus-gaap--OperatingLeaseExpense_"/>
      <w:bookmarkEnd w:id="494"/>
      <w:r>
        <w:rPr>
          <w:rFonts w:ascii="Times New Roman;Times;Serif" w:hAnsi="Times New Roman;Times;Serif"/>
          <w:b w:val="false"/>
          <w:i w:val="false"/>
          <w:caps w:val="false"/>
          <w:smallCaps w:val="false"/>
          <w:sz w:val="20"/>
        </w:rPr>
        <w:t>314,000,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5" w:name="xdx_89F_eus-gaap--LeaseCostTableTextBloc"/>
      <w:bookmarkEnd w:id="495"/>
      <w:r>
        <w:rPr>
          <w:rFonts w:ascii="Times New Roman;Times;Serif" w:hAnsi="Times New Roman;Times;Serif"/>
          <w:b w:val="false"/>
          <w:i w:val="false"/>
          <w:caps w:val="false"/>
          <w:smallCaps w:val="false"/>
          <w:sz w:val="20"/>
        </w:rPr>
        <w:t>The components of lease expense which are included in our operating expenses in the Consolidated Statement of Operations for the three and nine months ended January 31, 2026 and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6" w:name="xdx_8B3_zBAurn4kRDnc"/>
      <w:bookmarkEnd w:id="496"/>
      <w:r>
        <w:rPr>
          <w:rFonts w:ascii="Times New Roman;Times;Serif" w:hAnsi="Times New Roman;Times;Serif"/>
          <w:b w:val="false"/>
          <w:i w:val="false"/>
          <w:caps w:val="false"/>
          <w:smallCaps w:val="false"/>
          <w:sz w:val="20"/>
        </w:rPr>
        <w:t>Schedule of Operating Lease Costs </w:t>
      </w:r>
    </w:p>
    <w:tbl>
      <w:tblPr>
        <w:tblW w:w="8903" w:type="dxa"/>
        <w:jc w:val="left"/>
        <w:tblInd w:w="0" w:type="dxa"/>
        <w:tblLayout w:type="fixed"/>
        <w:tblCellMar>
          <w:top w:w="0" w:type="dxa"/>
          <w:left w:w="0" w:type="dxa"/>
          <w:bottom w:w="0" w:type="dxa"/>
          <w:right w:w="0" w:type="dxa"/>
        </w:tblCellMar>
      </w:tblPr>
      <w:tblGrid>
        <w:gridCol w:w="2000"/>
        <w:gridCol w:w="60"/>
        <w:gridCol w:w="409"/>
        <w:gridCol w:w="1112"/>
        <w:gridCol w:w="175"/>
        <w:gridCol w:w="175"/>
        <w:gridCol w:w="409"/>
        <w:gridCol w:w="1112"/>
        <w:gridCol w:w="60"/>
        <w:gridCol w:w="60"/>
        <w:gridCol w:w="393"/>
        <w:gridCol w:w="1067"/>
        <w:gridCol w:w="168"/>
        <w:gridCol w:w="168"/>
        <w:gridCol w:w="393"/>
        <w:gridCol w:w="1067"/>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7" w:name="xdx_494_20251101__20260131_zClhwT5qOzwj"/>
            <w:bookmarkEnd w:id="497"/>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498" w:name="xdx_49C_20241101__20250131_zDW98O1vck5d"/>
            <w:bookmarkEnd w:id="498"/>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9_20250501__20260131_zB20WRzzSReg"/>
            <w:bookmarkEnd w:id="499"/>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500" w:name="xdx_491_20240501__20250131_ztkthXaZoo2g"/>
            <w:bookmarkEnd w:id="500"/>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501" w:name="xdx_409_eus-gaap--OperatingLeaseCost_pn3"/>
            <w:bookmarkEnd w:id="501"/>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312</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877</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782</w:t>
            </w:r>
          </w:p>
        </w:tc>
        <w:tc>
          <w:tcPr>
            <w:tcW w:w="75" w:type="dxa"/>
            <w:tcBorders/>
            <w:shd w:fill="CCEEFF" w:val="clear"/>
            <w:vAlign w:val="center"/>
          </w:tcPr>
          <w:p>
            <w:pPr>
              <w:pStyle w:val="TableContents"/>
              <w:bidi w:val="0"/>
              <w:spacing w:before="0" w:after="283"/>
              <w:jc w:val="left"/>
              <w:rPr/>
            </w:pPr>
            <w:r>
              <w:rPr/>
              <w:t> </w:t>
            </w:r>
            <w:bookmarkStart w:id="502" w:name="xdx_400_eus-gaap--ShortTermLeaseCost_pn3"/>
            <w:bookmarkEnd w:id="502"/>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bookmarkStart w:id="503" w:name="xdx_40F_eus-gaap--LeaseCost_iT_pn3n3_mtL"/>
            <w:bookmarkEnd w:id="503"/>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312</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877</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806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04" w:name="xdx_8A0_z0B1Kj9aL011"/>
      <w:bookmarkEnd w:id="5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5" w:name="xdx_899_ecustom--ScheduleOfRightofUseAss"/>
      <w:bookmarkEnd w:id="505"/>
      <w:r>
        <w:rPr>
          <w:rFonts w:ascii="Times New Roman;Times;Serif" w:hAnsi="Times New Roman;Times;Serif"/>
          <w:b w:val="false"/>
          <w:i w:val="false"/>
          <w:caps w:val="false"/>
          <w:smallCaps w:val="false"/>
          <w:sz w:val="20"/>
        </w:rPr>
        <w:t>Information related to the Company’s right-of use assets and lease liabilities as of January 31, 2026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6" w:name="xdx_8B3_zTh1n1pfgmkg"/>
      <w:bookmarkEnd w:id="506"/>
      <w:r>
        <w:rPr>
          <w:rFonts w:ascii="Times New Roman;Times;Serif" w:hAnsi="Times New Roman;Times;Serif"/>
          <w:b w:val="false"/>
          <w:i w:val="false"/>
          <w:caps w:val="false"/>
          <w:smallCaps w:val="false"/>
          <w:sz w:val="20"/>
        </w:rPr>
        <w:t>Schedule of Right-of use Assets and Lease Liabilities</w:t>
      </w:r>
    </w:p>
    <w:tbl>
      <w:tblPr>
        <w:tblW w:w="7454" w:type="dxa"/>
        <w:jc w:val="left"/>
        <w:tblInd w:w="0" w:type="dxa"/>
        <w:tblLayout w:type="fixed"/>
        <w:tblCellMar>
          <w:top w:w="0" w:type="dxa"/>
          <w:left w:w="0" w:type="dxa"/>
          <w:bottom w:w="0" w:type="dxa"/>
          <w:right w:w="0" w:type="dxa"/>
        </w:tblCellMar>
      </w:tblPr>
      <w:tblGrid>
        <w:gridCol w:w="5390"/>
        <w:gridCol w:w="60"/>
        <w:gridCol w:w="252"/>
        <w:gridCol w:w="1522"/>
        <w:gridCol w:w="23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7" w:name="xdx_493_20260131_zHk0y1etQ1A9"/>
            <w:bookmarkEnd w:id="507"/>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center"/>
              <w:rPr/>
            </w:pPr>
            <w:r>
              <w:rPr/>
              <w:t>(in thousands)</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u w:val="single"/>
              </w:rPr>
            </w:pPr>
            <w:r>
              <w:rPr>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8" w:name="xdx_40E_eus-gaap--OperatingLeaseRightOfU"/>
            <w:bookmarkEnd w:id="508"/>
          </w:p>
        </w:tc>
      </w:tr>
      <w:tr>
        <w:trPr/>
        <w:tc>
          <w:tcPr>
            <w:tcW w:w="5390"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pPr>
            <w:r>
              <w:rPr/>
              <w:t>2,153</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9" w:name="xdx_40A_eus-gaap--OperatingLeaseLiabilit"/>
            <w:bookmarkEnd w:id="509"/>
          </w:p>
        </w:tc>
      </w:tr>
      <w:tr>
        <w:trPr/>
        <w:tc>
          <w:tcPr>
            <w:tcW w:w="5390" w:type="dxa"/>
            <w:tcBorders/>
            <w:shd w:fill="FFFFFF" w:val="clear"/>
            <w:vAlign w:val="center"/>
          </w:tcPr>
          <w:p>
            <w:pPr>
              <w:pStyle w:val="TableContents"/>
              <w:bidi w:val="0"/>
              <w:spacing w:before="0" w:after="283"/>
              <w:jc w:val="left"/>
              <w:rPr/>
            </w:pPr>
            <w:r>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522" w:type="dxa"/>
            <w:tcBorders/>
            <w:shd w:fill="FFFFFF" w:val="clear"/>
            <w:vAlign w:val="center"/>
          </w:tcPr>
          <w:p>
            <w:pPr>
              <w:pStyle w:val="TableContents"/>
              <w:bidi w:val="0"/>
              <w:spacing w:before="0" w:after="283"/>
              <w:jc w:val="right"/>
              <w:rPr/>
            </w:pPr>
            <w:r>
              <w:rPr/>
              <w:t>1,171</w:t>
            </w:r>
          </w:p>
        </w:tc>
        <w:tc>
          <w:tcPr>
            <w:tcW w:w="230" w:type="dxa"/>
            <w:tcBorders/>
            <w:shd w:fill="FFFFFF" w:val="clear"/>
            <w:vAlign w:val="center"/>
          </w:tcPr>
          <w:p>
            <w:pPr>
              <w:pStyle w:val="TableContents"/>
              <w:bidi w:val="0"/>
              <w:spacing w:before="0" w:after="283"/>
              <w:jc w:val="left"/>
              <w:rPr/>
            </w:pPr>
            <w:r>
              <w:rPr/>
              <w:t> </w:t>
            </w:r>
            <w:bookmarkStart w:id="510" w:name="xdx_40A_eus-gaap--OperatingLeaseLiabilit"/>
            <w:bookmarkEnd w:id="510"/>
          </w:p>
        </w:tc>
      </w:tr>
      <w:tr>
        <w:trPr/>
        <w:tc>
          <w:tcPr>
            <w:tcW w:w="5390" w:type="dxa"/>
            <w:tcBorders/>
            <w:shd w:fill="CCEEFF" w:val="clear"/>
            <w:vAlign w:val="center"/>
          </w:tcPr>
          <w:p>
            <w:pPr>
              <w:pStyle w:val="TableContents"/>
              <w:bidi w:val="0"/>
              <w:spacing w:before="0" w:after="283"/>
              <w:jc w:val="left"/>
              <w:rPr/>
            </w:pPr>
            <w:r>
              <w:rPr/>
              <w:t>Right-of-use liabilities- long term</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jc w:val="left"/>
              <w:rPr/>
            </w:pPr>
            <w:r>
              <w:rPr/>
              <w:t> </w:t>
            </w:r>
            <w:bookmarkStart w:id="511" w:name="xdx_407_eus-gaap--OperatingLeaseLiabilit"/>
            <w:bookmarkEnd w:id="511"/>
          </w:p>
        </w:tc>
      </w:tr>
      <w:tr>
        <w:trPr/>
        <w:tc>
          <w:tcPr>
            <w:tcW w:w="539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pPr>
            <w:r>
              <w:rPr/>
              <w:t>2,321</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rFonts w:ascii="Times New Roman;Times;Serif" w:hAnsi="Times New Roman;Times;Serif"/>
                <w:sz w:val="20"/>
              </w:rPr>
            </w:pPr>
            <w:bookmarkStart w:id="512" w:name="xdx_90A_eus-gaap--OperatingLeaseWeighted"/>
            <w:bookmarkEnd w:id="512"/>
            <w:r>
              <w:rPr>
                <w:rFonts w:ascii="Times New Roman;Times;Serif" w:hAnsi="Times New Roman;Times;Serif"/>
                <w:sz w:val="20"/>
              </w:rPr>
              <w:t>1.96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bookmarkStart w:id="513" w:name="xdx_90C_eus-gaap--OperatingLeaseWeighted"/>
            <w:bookmarkEnd w:id="513"/>
            <w:r>
              <w:rPr/>
              <w:t>8.5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14" w:name="xdx_8A8_zey08AqSKwia"/>
      <w:bookmarkEnd w:id="5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5" w:name="xdx_896_eus-gaap--LesseeOperatingLeaseLi"/>
      <w:bookmarkEnd w:id="515"/>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6" w:name="xdx_8B5_zb1c68fh89Ag"/>
      <w:bookmarkEnd w:id="516"/>
      <w:r>
        <w:rPr>
          <w:rFonts w:ascii="Times New Roman;Times;Serif" w:hAnsi="Times New Roman;Times;Serif"/>
          <w:b w:val="false"/>
          <w:i w:val="false"/>
          <w:caps w:val="false"/>
          <w:smallCaps w:val="false"/>
          <w:sz w:val="20"/>
        </w:rPr>
        <w:t>Schedule of Future Minimum Lease Payments Under Operating Lease </w:t>
      </w:r>
    </w:p>
    <w:tbl>
      <w:tblPr>
        <w:tblW w:w="5535" w:type="dxa"/>
        <w:jc w:val="left"/>
        <w:tblInd w:w="0" w:type="dxa"/>
        <w:tblLayout w:type="fixed"/>
        <w:tblCellMar>
          <w:top w:w="0" w:type="dxa"/>
          <w:left w:w="0" w:type="dxa"/>
          <w:bottom w:w="0" w:type="dxa"/>
          <w:right w:w="0" w:type="dxa"/>
        </w:tblCellMar>
      </w:tblPr>
      <w:tblGrid>
        <w:gridCol w:w="3590"/>
        <w:gridCol w:w="60"/>
        <w:gridCol w:w="355"/>
        <w:gridCol w:w="1420"/>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7" w:name="xdx_498_20260131_znuE03sKw7m6"/>
            <w:bookmarkEnd w:id="517"/>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518" w:name="xdx_40E_eus-gaap--LesseeOperatingLeaseLi"/>
            <w:bookmarkEnd w:id="518"/>
          </w:p>
        </w:tc>
      </w:tr>
      <w:tr>
        <w:trPr/>
        <w:tc>
          <w:tcPr>
            <w:tcW w:w="3590" w:type="dxa"/>
            <w:tcBorders/>
            <w:shd w:fill="CCEEFF" w:val="clear"/>
            <w:vAlign w:val="center"/>
          </w:tcPr>
          <w:p>
            <w:pPr>
              <w:pStyle w:val="TableContents"/>
              <w:bidi w:val="0"/>
              <w:spacing w:before="0" w:after="283"/>
              <w:jc w:val="left"/>
              <w:rPr/>
            </w:pPr>
            <w:r>
              <w:rPr/>
              <w:t>Remainder of fiscal year 2026</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327</w:t>
            </w:r>
          </w:p>
        </w:tc>
        <w:tc>
          <w:tcPr>
            <w:tcW w:w="110" w:type="dxa"/>
            <w:tcBorders/>
            <w:shd w:fill="CCEEFF" w:val="clear"/>
            <w:vAlign w:val="center"/>
          </w:tcPr>
          <w:p>
            <w:pPr>
              <w:pStyle w:val="TableContents"/>
              <w:bidi w:val="0"/>
              <w:spacing w:before="0" w:after="283"/>
              <w:jc w:val="left"/>
              <w:rPr/>
            </w:pPr>
            <w:r>
              <w:rPr/>
              <w:t> </w:t>
            </w:r>
            <w:bookmarkStart w:id="519" w:name="xdx_40B_eus-gaap--LesseeOperatingLeaseLi"/>
            <w:bookmarkEnd w:id="519"/>
          </w:p>
        </w:tc>
      </w:tr>
      <w:tr>
        <w:trPr/>
        <w:tc>
          <w:tcPr>
            <w:tcW w:w="359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1,317</w:t>
            </w:r>
          </w:p>
        </w:tc>
        <w:tc>
          <w:tcPr>
            <w:tcW w:w="110" w:type="dxa"/>
            <w:tcBorders/>
            <w:shd w:fill="FFFFFF" w:val="clear"/>
            <w:vAlign w:val="center"/>
          </w:tcPr>
          <w:p>
            <w:pPr>
              <w:pStyle w:val="TableContents"/>
              <w:bidi w:val="0"/>
              <w:spacing w:before="0" w:after="283"/>
              <w:jc w:val="left"/>
              <w:rPr/>
            </w:pPr>
            <w:r>
              <w:rPr/>
              <w:t> </w:t>
            </w:r>
            <w:bookmarkStart w:id="520" w:name="xdx_401_eus-gaap--LesseeOperatingLeaseLi"/>
            <w:bookmarkEnd w:id="520"/>
          </w:p>
        </w:tc>
      </w:tr>
      <w:tr>
        <w:trPr/>
        <w:tc>
          <w:tcPr>
            <w:tcW w:w="359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821</w:t>
            </w:r>
          </w:p>
        </w:tc>
        <w:tc>
          <w:tcPr>
            <w:tcW w:w="110" w:type="dxa"/>
            <w:tcBorders/>
            <w:shd w:fill="CCEEFF" w:val="clear"/>
            <w:vAlign w:val="center"/>
          </w:tcPr>
          <w:p>
            <w:pPr>
              <w:pStyle w:val="TableContents"/>
              <w:bidi w:val="0"/>
              <w:spacing w:before="0" w:after="283"/>
              <w:jc w:val="left"/>
              <w:rPr/>
            </w:pPr>
            <w:r>
              <w:rPr/>
              <w:t> </w:t>
            </w:r>
            <w:bookmarkStart w:id="521" w:name="xdx_40F_eus-gaap--LesseeOperatingLeaseLi"/>
            <w:bookmarkEnd w:id="521"/>
          </w:p>
        </w:tc>
      </w:tr>
      <w:tr>
        <w:trPr/>
        <w:tc>
          <w:tcPr>
            <w:tcW w:w="359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bookmarkStart w:id="522" w:name="xdx_406_eus-gaap--LesseeOperatingLeaseLi"/>
            <w:bookmarkEnd w:id="522"/>
          </w:p>
        </w:tc>
      </w:tr>
      <w:tr>
        <w:trPr/>
        <w:tc>
          <w:tcPr>
            <w:tcW w:w="359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23" w:name="xdx_40C_ecustom--LesseeOperatingLeaseLia"/>
            <w:bookmarkEnd w:id="523"/>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24" w:name="xdx_403_eus-gaap--LesseeOperatingLeaseLi"/>
            <w:bookmarkEnd w:id="524"/>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2,493</w:t>
            </w:r>
          </w:p>
        </w:tc>
        <w:tc>
          <w:tcPr>
            <w:tcW w:w="110" w:type="dxa"/>
            <w:tcBorders/>
            <w:shd w:fill="CCEEFF" w:val="clear"/>
            <w:vAlign w:val="center"/>
          </w:tcPr>
          <w:p>
            <w:pPr>
              <w:pStyle w:val="TableContents"/>
              <w:bidi w:val="0"/>
              <w:spacing w:before="0" w:after="283"/>
              <w:jc w:val="left"/>
              <w:rPr/>
            </w:pPr>
            <w:r>
              <w:rPr/>
              <w:t> </w:t>
            </w:r>
            <w:bookmarkStart w:id="525" w:name="xdx_40E_eus-gaap--LesseeOperatingLeaseLi"/>
            <w:bookmarkEnd w:id="525"/>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(172</w:t>
            </w:r>
          </w:p>
        </w:tc>
        <w:tc>
          <w:tcPr>
            <w:tcW w:w="110" w:type="dxa"/>
            <w:tcBorders/>
            <w:shd w:fill="FFFFFF" w:val="clear"/>
            <w:vAlign w:val="center"/>
          </w:tcPr>
          <w:p>
            <w:pPr>
              <w:pStyle w:val="TableContents"/>
              <w:bidi w:val="0"/>
              <w:spacing w:before="0" w:after="283"/>
              <w:jc w:val="left"/>
              <w:rPr/>
            </w:pPr>
            <w:r>
              <w:rPr/>
              <w:t>)</w:t>
            </w:r>
            <w:bookmarkStart w:id="526" w:name="xdx_403_eus-gaap--OperatingLeaseLiabilit"/>
            <w:bookmarkEnd w:id="526"/>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2,321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7" w:name="xdx_8AF_z5VfMg2yUob1"/>
      <w:bookmarkEnd w:id="5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8" w:name="xdx_809_eus-gaap--AccountsPayableAndAccr"/>
      <w:bookmarkEnd w:id="528"/>
      <w:r>
        <w:rPr>
          <w:rFonts w:ascii="Times New Roman;Times;Serif" w:hAnsi="Times New Roman;Times;Serif"/>
          <w:b/>
          <w:i w:val="false"/>
          <w:caps w:val="false"/>
          <w:smallCaps w:val="false"/>
          <w:sz w:val="20"/>
        </w:rPr>
        <w:t xml:space="preserve">(10) </w:t>
      </w:r>
      <w:bookmarkStart w:id="529" w:name="xdx_828_zRi0XESbme2"/>
      <w:bookmarkEnd w:id="529"/>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0" w:name="xdx_898_eus-gaap--ScheduleOfAccruedLiabi"/>
      <w:bookmarkEnd w:id="530"/>
      <w:r>
        <w:rPr>
          <w:rFonts w:ascii="Times New Roman;Times;Serif" w:hAnsi="Times New Roman;Times;Serif"/>
          <w:b w:val="false"/>
          <w:i w:val="false"/>
          <w:caps w:val="false"/>
          <w:smallCaps w:val="false"/>
          <w:sz w:val="20"/>
        </w:rPr>
        <w:t>Accrued expenses consisted of the following at January 31, 2026 and April 30,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1" w:name="xdx_8B8_zFsIM5LFAN2"/>
      <w:bookmarkEnd w:id="531"/>
      <w:r>
        <w:rPr>
          <w:rFonts w:ascii="Times New Roman;Times;Serif" w:hAnsi="Times New Roman;Times;Serif"/>
          <w:b w:val="false"/>
          <w:i w:val="false"/>
          <w:caps w:val="false"/>
          <w:smallCaps w:val="false"/>
          <w:sz w:val="20"/>
        </w:rPr>
        <w:t>Schedule of Accrued Expenses </w:t>
      </w:r>
    </w:p>
    <w:tbl>
      <w:tblPr>
        <w:tblW w:w="6360" w:type="dxa"/>
        <w:jc w:val="left"/>
        <w:tblInd w:w="0" w:type="dxa"/>
        <w:tblLayout w:type="fixed"/>
        <w:tblCellMar>
          <w:top w:w="0" w:type="dxa"/>
          <w:left w:w="0" w:type="dxa"/>
          <w:bottom w:w="0" w:type="dxa"/>
          <w:right w:w="0" w:type="dxa"/>
        </w:tblCellMar>
      </w:tblPr>
      <w:tblGrid>
        <w:gridCol w:w="2870"/>
        <w:gridCol w:w="60"/>
        <w:gridCol w:w="355"/>
        <w:gridCol w:w="1420"/>
        <w:gridCol w:w="60"/>
        <w:gridCol w:w="60"/>
        <w:gridCol w:w="292"/>
        <w:gridCol w:w="1168"/>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2" w:name="xdx_494_20260131_zMUVCgmm8cxd"/>
            <w:bookmarkEnd w:id="532"/>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9A_20250430_zW3FDcHev7t6"/>
            <w:bookmarkEnd w:id="533"/>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534" w:name="xdx_40E_eus-gaap--OtherEmployeeRelatedLi"/>
            <w:bookmarkEnd w:id="534"/>
          </w:p>
        </w:tc>
      </w:tr>
      <w:tr>
        <w:trPr/>
        <w:tc>
          <w:tcPr>
            <w:tcW w:w="2870" w:type="dxa"/>
            <w:tcBorders/>
            <w:shd w:fill="CCEEFF" w:val="clear"/>
            <w:vAlign w:val="center"/>
          </w:tcPr>
          <w:p>
            <w:pPr>
              <w:pStyle w:val="TableContents"/>
              <w:bidi w:val="0"/>
              <w:spacing w:before="0" w:after="283"/>
              <w:jc w:val="left"/>
              <w:rPr/>
            </w:pPr>
            <w:r>
              <w:rPr/>
              <w:t>Employee incentive payments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759</w:t>
            </w:r>
          </w:p>
        </w:tc>
        <w:tc>
          <w:tcPr>
            <w:tcW w:w="75" w:type="dxa"/>
            <w:tcBorders/>
            <w:shd w:fill="CCEEFF" w:val="clear"/>
            <w:vAlign w:val="center"/>
          </w:tcPr>
          <w:p>
            <w:pPr>
              <w:pStyle w:val="TableContents"/>
              <w:bidi w:val="0"/>
              <w:spacing w:before="0" w:after="283"/>
              <w:jc w:val="left"/>
              <w:rPr/>
            </w:pPr>
            <w:r>
              <w:rPr/>
              <w:t> </w:t>
            </w:r>
            <w:bookmarkStart w:id="535" w:name="xdx_408_eus-gaap--AccruedSalariesCurrent"/>
            <w:bookmarkEnd w:id="535"/>
          </w:p>
        </w:tc>
      </w:tr>
      <w:tr>
        <w:trPr/>
        <w:tc>
          <w:tcPr>
            <w:tcW w:w="2870" w:type="dxa"/>
            <w:tcBorders/>
            <w:shd w:fill="FFFFFF" w:val="clear"/>
            <w:vAlign w:val="center"/>
          </w:tcPr>
          <w:p>
            <w:pPr>
              <w:pStyle w:val="TableContents"/>
              <w:bidi w:val="0"/>
              <w:spacing w:before="0" w:after="283"/>
              <w:jc w:val="left"/>
              <w:rPr/>
            </w:pPr>
            <w:r>
              <w:rPr/>
              <w:t>Accrued salary and benefits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417</w:t>
            </w:r>
          </w:p>
        </w:tc>
        <w:tc>
          <w:tcPr>
            <w:tcW w:w="75" w:type="dxa"/>
            <w:tcBorders/>
            <w:shd w:fill="FFFFFF" w:val="clear"/>
            <w:vAlign w:val="center"/>
          </w:tcPr>
          <w:p>
            <w:pPr>
              <w:pStyle w:val="TableContents"/>
              <w:bidi w:val="0"/>
              <w:spacing w:before="0" w:after="283"/>
              <w:jc w:val="left"/>
              <w:rPr/>
            </w:pPr>
            <w:r>
              <w:rPr/>
              <w:t> </w:t>
            </w:r>
            <w:bookmarkStart w:id="536" w:name="xdx_403_eus-gaap--AccruedProfessionalFee"/>
            <w:bookmarkEnd w:id="536"/>
          </w:p>
        </w:tc>
      </w:tr>
      <w:tr>
        <w:trPr/>
        <w:tc>
          <w:tcPr>
            <w:tcW w:w="287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37" w:name="xdx_40D_ecustom--AccruedProjectCosts_iI_"/>
            <w:bookmarkEnd w:id="537"/>
          </w:p>
        </w:tc>
      </w:tr>
      <w:tr>
        <w:trPr/>
        <w:tc>
          <w:tcPr>
            <w:tcW w:w="2870" w:type="dxa"/>
            <w:tcBorders/>
            <w:shd w:fill="FFFFFF" w:val="clear"/>
            <w:vAlign w:val="center"/>
          </w:tcPr>
          <w:p>
            <w:pPr>
              <w:pStyle w:val="TableContents"/>
              <w:bidi w:val="0"/>
              <w:spacing w:before="0" w:after="283"/>
              <w:jc w:val="left"/>
              <w:rPr/>
            </w:pPr>
            <w:r>
              <w:rPr/>
              <w:t>Accrued project costs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38" w:name="xdx_403_eus-gaap--InterestPayableCurrent"/>
            <w:bookmarkEnd w:id="538"/>
          </w:p>
        </w:tc>
      </w:tr>
      <w:tr>
        <w:trPr/>
        <w:tc>
          <w:tcPr>
            <w:tcW w:w="2870"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39" w:name="xdx_40D_eus-gaap--OtherAccruedLiabilitie"/>
            <w:bookmarkEnd w:id="539"/>
          </w:p>
        </w:tc>
      </w:tr>
      <w:tr>
        <w:trPr/>
        <w:tc>
          <w:tcPr>
            <w:tcW w:w="28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75" w:type="dxa"/>
            <w:tcBorders/>
            <w:shd w:fill="FFFFFF" w:val="clear"/>
            <w:vAlign w:val="center"/>
          </w:tcPr>
          <w:p>
            <w:pPr>
              <w:pStyle w:val="TableContents"/>
              <w:bidi w:val="0"/>
              <w:spacing w:before="0" w:after="283"/>
              <w:jc w:val="left"/>
              <w:rPr/>
            </w:pPr>
            <w:r>
              <w:rPr/>
              <w:t> </w:t>
            </w:r>
            <w:bookmarkStart w:id="540" w:name="xdx_409_eus-gaap--AccruedLiabilitiesCurr"/>
            <w:bookmarkEnd w:id="540"/>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3,047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1,271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1" w:name="xdx_8A7_ziGzFxNC33pa"/>
      <w:bookmarkEnd w:id="5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2" w:name="xdx_80E_eus-gaap--DisclosureOfCompensati"/>
      <w:bookmarkEnd w:id="542"/>
      <w:r>
        <w:rPr>
          <w:rFonts w:ascii="Times New Roman;Times;Serif" w:hAnsi="Times New Roman;Times;Serif"/>
          <w:b/>
          <w:i w:val="false"/>
          <w:caps w:val="false"/>
          <w:smallCaps w:val="false"/>
          <w:sz w:val="20"/>
        </w:rPr>
        <w:t xml:space="preserve">(11) </w:t>
      </w:r>
      <w:bookmarkStart w:id="543" w:name="xdx_829_zZZvcZZLvv3f"/>
      <w:bookmarkEnd w:id="543"/>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544" w:name="xdx_902_eus-gaap--ShareBasedCompensation"/>
      <w:bookmarkEnd w:id="544"/>
      <w:r>
        <w:rPr>
          <w:rFonts w:ascii="Times New Roman;Times;Serif" w:hAnsi="Times New Roman;Times;Serif"/>
          <w:b w:val="false"/>
          <w:i w:val="false"/>
          <w:caps w:val="false"/>
          <w:smallCaps w:val="false"/>
          <w:sz w:val="20"/>
        </w:rPr>
        <w:t xml:space="preserve">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2025, the shareholders approved an amendment and restatement of the 2015 Plan to, among other things, provide an aggregate increase to the 2015 Plan of </w:t>
      </w:r>
      <w:bookmarkStart w:id="545" w:name="xdx_90B_eus-gaap--ShareBasedCompensation"/>
      <w:bookmarkEnd w:id="545"/>
      <w:r>
        <w:rPr>
          <w:rFonts w:ascii="Times New Roman;Times;Serif" w:hAnsi="Times New Roman;Times;Serif"/>
          <w:b w:val="false"/>
          <w:i w:val="false"/>
          <w:caps w:val="false"/>
          <w:smallCaps w:val="false"/>
          <w:sz w:val="20"/>
        </w:rPr>
        <w:t xml:space="preserve">20,000,000 shares resulting in total shares authorized for issuance of </w:t>
      </w:r>
      <w:bookmarkStart w:id="546" w:name="xdx_909_eus-gaap--ShareBasedCompensation"/>
      <w:bookmarkEnd w:id="546"/>
      <w:r>
        <w:rPr>
          <w:rFonts w:ascii="Times New Roman;Times;Serif" w:hAnsi="Times New Roman;Times;Serif"/>
          <w:b w:val="false"/>
          <w:i w:val="false"/>
          <w:caps w:val="false"/>
          <w:smallCaps w:val="false"/>
          <w:sz w:val="20"/>
        </w:rPr>
        <w:t xml:space="preserve">27,282,036 as of January 31, 2026, based on </w:t>
      </w:r>
      <w:bookmarkStart w:id="547" w:name="xdx_90F_eus-gaap--ShareBasedCompensation"/>
      <w:bookmarkEnd w:id="547"/>
      <w:r>
        <w:rPr>
          <w:rFonts w:ascii="Times New Roman;Times;Serif" w:hAnsi="Times New Roman;Times;Serif"/>
          <w:b w:val="false"/>
          <w:i w:val="false"/>
          <w:caps w:val="false"/>
          <w:smallCaps w:val="false"/>
          <w:sz w:val="20"/>
        </w:rPr>
        <w:t>7,282,036 available before the amendment. The 2015 Plan will now terminate in January 2035, but is subject to earlier termination as provided in the 2015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548" w:name="xdx_90E_eus-gaap--CommonStockCapitalShar"/>
      <w:bookmarkEnd w:id="548"/>
      <w:r>
        <w:rPr>
          <w:rFonts w:ascii="Times New Roman;Times;Serif" w:hAnsi="Times New Roman;Times;Serif"/>
          <w:b w:val="false"/>
          <w:i w:val="false"/>
          <w:caps w:val="false"/>
          <w:smallCaps w:val="false"/>
          <w:sz w:val="20"/>
        </w:rPr>
        <w:t xml:space="preserve">25,000 shares of common stock for issuance under the Inducement Plan in accordance with Rule 711(a) of the NYSE American Company Guide. On February 9, 2022, the 2018 Inducement Plan was amended to increase the authorized shares by </w:t>
      </w:r>
      <w:bookmarkStart w:id="549" w:name="xdx_90E_eus-gaap--ShareBasedCompensation"/>
      <w:bookmarkEnd w:id="549"/>
      <w:r>
        <w:rPr>
          <w:rFonts w:ascii="Times New Roman;Times;Serif" w:hAnsi="Times New Roman;Times;Serif"/>
          <w:b w:val="false"/>
          <w:i w:val="false"/>
          <w:caps w:val="false"/>
          <w:smallCaps w:val="false"/>
          <w:sz w:val="20"/>
        </w:rPr>
        <w:t xml:space="preserve">250,000 to </w:t>
      </w:r>
      <w:bookmarkStart w:id="550" w:name="xdx_905_eus-gaap--ShareBasedCompensation"/>
      <w:bookmarkEnd w:id="550"/>
      <w:r>
        <w:rPr>
          <w:rFonts w:ascii="Times New Roman;Times;Serif" w:hAnsi="Times New Roman;Times;Serif"/>
          <w:b w:val="false"/>
          <w:i w:val="false"/>
          <w:caps w:val="false"/>
          <w:smallCaps w:val="false"/>
          <w:sz w:val="20"/>
        </w:rPr>
        <w:t xml:space="preserve">275,000. On June 3, 2025, the 2018 Inducement Plan was further amended to increase the authorized shares by </w:t>
      </w:r>
      <w:bookmarkStart w:id="551" w:name="xdx_907_eus-gaap--ShareBasedCompensation"/>
      <w:bookmarkEnd w:id="551"/>
      <w:r>
        <w:rPr>
          <w:rFonts w:ascii="Times New Roman;Times;Serif" w:hAnsi="Times New Roman;Times;Serif"/>
          <w:b w:val="false"/>
          <w:i w:val="false"/>
          <w:caps w:val="false"/>
          <w:smallCaps w:val="false"/>
          <w:sz w:val="20"/>
        </w:rPr>
        <w:t xml:space="preserve">715,000 to </w:t>
      </w:r>
      <w:bookmarkStart w:id="552" w:name="xdx_90E_eus-gaap--ShareBasedCompensation"/>
      <w:bookmarkEnd w:id="552"/>
      <w:r>
        <w:rPr>
          <w:rFonts w:ascii="Times New Roman;Times;Serif" w:hAnsi="Times New Roman;Times;Serif"/>
          <w:b w:val="false"/>
          <w:i w:val="false"/>
          <w:caps w:val="false"/>
          <w:smallCaps w:val="false"/>
          <w:sz w:val="20"/>
        </w:rPr>
        <w:t xml:space="preserve">990,000. On January 27, 2026, the 2018 Inducement Plan was further amended to increase the authorized shares by </w:t>
      </w:r>
      <w:bookmarkStart w:id="553" w:name="xdx_909_eus-gaap--ShareBasedCompensation"/>
      <w:bookmarkEnd w:id="553"/>
      <w:r>
        <w:rPr>
          <w:rFonts w:ascii="Times New Roman;Times;Serif" w:hAnsi="Times New Roman;Times;Serif"/>
          <w:b w:val="false"/>
          <w:i w:val="false"/>
          <w:caps w:val="false"/>
          <w:smallCaps w:val="false"/>
          <w:sz w:val="20"/>
        </w:rPr>
        <w:t xml:space="preserve">1,000,000 to </w:t>
      </w:r>
      <w:bookmarkStart w:id="554" w:name="xdx_905_eus-gaap--ShareBasedCompensation"/>
      <w:bookmarkEnd w:id="554"/>
      <w:r>
        <w:rPr>
          <w:rFonts w:ascii="Times New Roman;Times;Serif" w:hAnsi="Times New Roman;Times;Serif"/>
          <w:b w:val="false"/>
          <w:i w:val="false"/>
          <w:caps w:val="false"/>
          <w:smallCaps w:val="false"/>
          <w:sz w:val="20"/>
        </w:rPr>
        <w:t>1,990,000.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the expected life of the stock option granted. The Company did not grant any stock options during the nine months ended January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5" w:name="xdx_895_eus-gaap--ScheduleOfShareBasedCo"/>
      <w:bookmarkEnd w:id="555"/>
      <w:r>
        <w:rPr>
          <w:rFonts w:ascii="Times New Roman;Times;Serif" w:hAnsi="Times New Roman;Times;Serif"/>
          <w:b w:val="false"/>
          <w:i w:val="false"/>
          <w:caps w:val="false"/>
          <w:smallCaps w:val="false"/>
          <w:sz w:val="20"/>
        </w:rPr>
        <w:t>A summary of stock options under the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556" w:name="xdx_8BE_zkvZkXwy6uEc"/>
      <w:bookmarkEnd w:id="556"/>
      <w:r>
        <w:rPr>
          <w:rFonts w:ascii="Times New Roman;Times;Serif" w:hAnsi="Times New Roman;Times;Serif"/>
          <w:b w:val="false"/>
          <w:i w:val="false"/>
          <w:caps w:val="false"/>
          <w:smallCaps w:val="false"/>
          <w:sz w:val="20"/>
        </w:rPr>
        <w:t>Schedule of Stock Option Activity</w:t>
      </w:r>
    </w:p>
    <w:tbl>
      <w:tblPr>
        <w:tblW w:w="7074" w:type="dxa"/>
        <w:jc w:val="left"/>
        <w:tblInd w:w="0" w:type="dxa"/>
        <w:tblLayout w:type="fixed"/>
        <w:tblCellMar>
          <w:top w:w="0" w:type="dxa"/>
          <w:left w:w="0" w:type="dxa"/>
          <w:bottom w:w="0" w:type="dxa"/>
          <w:right w:w="0" w:type="dxa"/>
        </w:tblCellMar>
      </w:tblPr>
      <w:tblGrid>
        <w:gridCol w:w="3395"/>
        <w:gridCol w:w="60"/>
        <w:gridCol w:w="68"/>
        <w:gridCol w:w="912"/>
        <w:gridCol w:w="95"/>
        <w:gridCol w:w="60"/>
        <w:gridCol w:w="301"/>
        <w:gridCol w:w="948"/>
        <w:gridCol w:w="60"/>
        <w:gridCol w:w="60"/>
        <w:gridCol w:w="164"/>
        <w:gridCol w:w="876"/>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Outstanding as of April 30,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557" w:name="xdx_987_eus-gaap--ShareBasedCompensation"/>
            <w:bookmarkEnd w:id="557"/>
          </w:p>
        </w:tc>
        <w:tc>
          <w:tcPr>
            <w:tcW w:w="912" w:type="dxa"/>
            <w:tcBorders/>
            <w:shd w:fill="CCEEFF" w:val="clear"/>
            <w:vAlign w:val="center"/>
          </w:tcPr>
          <w:p>
            <w:pPr>
              <w:pStyle w:val="TableContents"/>
              <w:bidi w:val="0"/>
              <w:spacing w:before="0" w:after="283"/>
              <w:jc w:val="right"/>
              <w:rPr/>
            </w:pPr>
            <w:r>
              <w:rPr/>
              <w:t>483,342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bookmarkStart w:id="558" w:name="xdx_989_eus-gaap--ShareBasedCompensation"/>
            <w:bookmarkEnd w:id="558"/>
          </w:p>
        </w:tc>
        <w:tc>
          <w:tcPr>
            <w:tcW w:w="948" w:type="dxa"/>
            <w:tcBorders/>
            <w:shd w:fill="CCEEFF" w:val="clear"/>
            <w:vAlign w:val="center"/>
          </w:tcPr>
          <w:p>
            <w:pPr>
              <w:pStyle w:val="TableContents"/>
              <w:bidi w:val="0"/>
              <w:spacing w:before="0" w:after="283"/>
              <w:jc w:val="right"/>
              <w:rPr/>
            </w:pPr>
            <w:r>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59" w:name="xdx_904_eus-gaap--SharebasedCompensation"/>
            <w:bookmarkEnd w:id="559"/>
            <w:r>
              <w:rPr/>
              <w:t>6.3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560" w:name="xdx_987_eus-gaap--ShareBasedCompensation"/>
            <w:bookmarkEnd w:id="560"/>
          </w:p>
        </w:tc>
        <w:tc>
          <w:tcPr>
            <w:tcW w:w="9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bookmarkStart w:id="561" w:name="xdx_988_eus-gaap--ShareBasedCompensation"/>
            <w:bookmarkEnd w:id="561"/>
          </w:p>
        </w:tc>
        <w:tc>
          <w:tcPr>
            <w:tcW w:w="9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562" w:name="xdx_985_eus-gaap--StockIssuedDuringPerio"/>
            <w:bookmarkEnd w:id="562"/>
          </w:p>
        </w:tc>
        <w:tc>
          <w:tcPr>
            <w:tcW w:w="9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bookmarkStart w:id="563" w:name="xdx_988_eus-gaap--ShareBasedCompensation"/>
            <w:bookmarkEnd w:id="563"/>
          </w:p>
        </w:tc>
        <w:tc>
          <w:tcPr>
            <w:tcW w:w="9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4" w:name="xdx_98F_eus-gaap--ShareBasedCompensation"/>
            <w:bookmarkEnd w:id="564"/>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(81,467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65" w:name="xdx_983_eus-gaap--ShareBasedCompensation"/>
            <w:bookmarkEnd w:id="565"/>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Outstanding as of January 31, 2026</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6" w:name="xdx_981_eus-gaap--ShareBasedCompensation"/>
            <w:bookmarkEnd w:id="566"/>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401,875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7" w:name="xdx_987_eus-gaap--ShareBasedCompensation"/>
            <w:bookmarkEnd w:id="567"/>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pPr>
            <w:r>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68" w:name="xdx_904_eus-gaap--SharebasedCompensation"/>
            <w:bookmarkEnd w:id="568"/>
            <w:r>
              <w:rPr/>
              <w:t>5.8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Exercisable as of January 31,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69" w:name="xdx_98E_eus-gaap--ShareBasedCompensation"/>
            <w:bookmarkEnd w:id="569"/>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pPr>
            <w:r>
              <w:rPr/>
              <w:t>401,875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0" w:name="xdx_986_eus-gaap--ShareBasedCompensation"/>
            <w:bookmarkEnd w:id="570"/>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71" w:name="xdx_903_eus-gaap--SharebasedCompensation"/>
            <w:bookmarkEnd w:id="571"/>
            <w:r>
              <w:rPr/>
              <w:t>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C_zemj1zvyB7F7"/>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2026, the total intrinsic value of outstanding and exercisable options was approximately </w:t>
      </w:r>
      <w:bookmarkStart w:id="573" w:name="xdx_90C_eus-gaap--SharebasedCompensation"/>
      <w:bookmarkEnd w:id="573"/>
      <w:r>
        <w:rPr>
          <w:rFonts w:ascii="Times New Roman;Times;Serif" w:hAnsi="Times New Roman;Times;Serif"/>
          <w:b w:val="false"/>
          <w:i w:val="false"/>
          <w:caps w:val="false"/>
          <w:smallCaps w:val="false"/>
          <w:sz w:val="20"/>
        </w:rPr>
        <w:t xml:space="preserve">zero. As of January 31, 2026, </w:t>
      </w:r>
      <w:bookmarkStart w:id="574" w:name="xdx_901_eus-gaap--SharebasedCompensation"/>
      <w:bookmarkEnd w:id="574"/>
      <w:r>
        <w:rPr>
          <w:rFonts w:ascii="Times New Roman;Times;Serif" w:hAnsi="Times New Roman;Times;Serif"/>
          <w:b w:val="false"/>
          <w:i w:val="false"/>
          <w:caps w:val="false"/>
          <w:smallCaps w:val="false"/>
          <w:sz w:val="20"/>
        </w:rPr>
        <w:t xml:space="preserve">no options were unvested. The outstanding options had an intrinsic value of zero and a weighted average remaining contractual term of </w:t>
      </w:r>
      <w:bookmarkStart w:id="575" w:name="xdx_90B_eus-gaap--SharebasedCompensation"/>
      <w:bookmarkEnd w:id="575"/>
      <w:r>
        <w:rPr>
          <w:rFonts w:ascii="Times New Roman;Times;Serif" w:hAnsi="Times New Roman;Times;Serif"/>
          <w:b w:val="false"/>
          <w:i w:val="false"/>
          <w:caps w:val="false"/>
          <w:smallCaps w:val="false"/>
          <w:sz w:val="20"/>
        </w:rPr>
        <w:t>5.8 years. There was approximately $</w:t>
      </w:r>
      <w:bookmarkStart w:id="576" w:name="xdx_904_eus-gaap--AllocatedShareBasedCom"/>
      <w:bookmarkEnd w:id="576"/>
      <w:r>
        <w:rPr>
          <w:rFonts w:ascii="Times New Roman;Times;Serif" w:hAnsi="Times New Roman;Times;Serif"/>
          <w:b w:val="false"/>
          <w:i w:val="false"/>
          <w:caps w:val="false"/>
          <w:smallCaps w:val="false"/>
          <w:sz w:val="20"/>
        </w:rPr>
        <w:t>22,000 and $</w:t>
      </w:r>
      <w:bookmarkStart w:id="577" w:name="xdx_908_eus-gaap--AllocatedShareBasedCom"/>
      <w:bookmarkEnd w:id="577"/>
      <w:r>
        <w:rPr>
          <w:rFonts w:ascii="Times New Roman;Times;Serif" w:hAnsi="Times New Roman;Times;Serif"/>
          <w:b w:val="false"/>
          <w:i w:val="false"/>
          <w:caps w:val="false"/>
          <w:smallCaps w:val="false"/>
          <w:sz w:val="20"/>
        </w:rPr>
        <w:t>38,000 of total recognized compensation cost related to stock options during the nine months ended January 31, 2026 and 2025, respectively. There was approximately $</w:t>
      </w:r>
      <w:bookmarkStart w:id="578" w:name="xdx_902_eus-gaap--AllocatedShareBasedCom"/>
      <w:bookmarkEnd w:id="578"/>
      <w:r>
        <w:rPr>
          <w:rFonts w:ascii="Times New Roman;Times;Serif" w:hAnsi="Times New Roman;Times;Serif"/>
          <w:b w:val="false"/>
          <w:i w:val="false"/>
          <w:caps w:val="false"/>
          <w:smallCaps w:val="false"/>
          <w:sz w:val="20"/>
        </w:rPr>
        <w:t>6,000 and $</w:t>
      </w:r>
      <w:bookmarkStart w:id="579" w:name="xdx_909_eus-gaap--AllocatedShareBasedCom"/>
      <w:bookmarkEnd w:id="579"/>
      <w:r>
        <w:rPr>
          <w:rFonts w:ascii="Times New Roman;Times;Serif" w:hAnsi="Times New Roman;Times;Serif"/>
          <w:b w:val="false"/>
          <w:i w:val="false"/>
          <w:caps w:val="false"/>
          <w:smallCaps w:val="false"/>
          <w:sz w:val="20"/>
        </w:rPr>
        <w:t xml:space="preserve">12,000 of total recognized compensation cost related to stock options during the three months ended January 31, 2026 and 2025, respectively. As of January 31, 2026, there was </w:t>
      </w:r>
      <w:bookmarkStart w:id="580" w:name="xdx_903_eus-gaap--EmployeeServiceShareBa"/>
      <w:bookmarkEnd w:id="580"/>
      <w:r>
        <w:rPr>
          <w:rFonts w:ascii="Times New Roman;Times;Serif" w:hAnsi="Times New Roman;Times;Serif"/>
          <w:b w:val="false"/>
          <w:i w:val="false"/>
          <w:caps w:val="false"/>
          <w:smallCaps w:val="false"/>
          <w:sz w:val="20"/>
        </w:rPr>
        <w:t>no unrecognized compensation cost related to unvested stock options granted under the plans.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1" w:name="xdx_89E_eus-gaap--ShareBasedCompensation"/>
      <w:bookmarkEnd w:id="581"/>
      <w:r>
        <w:rPr>
          <w:rFonts w:ascii="Times New Roman;Times;Serif" w:hAnsi="Times New Roman;Times;Serif"/>
          <w:b w:val="false"/>
          <w:i w:val="false"/>
          <w:caps w:val="false"/>
          <w:smallCaps w:val="false"/>
          <w:sz w:val="20"/>
        </w:rPr>
        <w:t>A summary of performance stock units (“PSUs”) under our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582" w:name="xdx_8B8_zkAl3EbqDci6"/>
      <w:bookmarkEnd w:id="582"/>
      <w:r>
        <w:rPr>
          <w:rFonts w:ascii="Times New Roman;Times;Serif" w:hAnsi="Times New Roman;Times;Serif"/>
          <w:b w:val="false"/>
          <w:i w:val="false"/>
          <w:caps w:val="false"/>
          <w:smallCaps w:val="false"/>
          <w:sz w:val="20"/>
        </w:rPr>
        <w:t>Schedule of Performance Stock Units</w:t>
      </w:r>
    </w:p>
    <w:tbl>
      <w:tblPr>
        <w:tblW w:w="5593" w:type="dxa"/>
        <w:jc w:val="left"/>
        <w:tblInd w:w="0" w:type="dxa"/>
        <w:tblLayout w:type="fixed"/>
        <w:tblCellMar>
          <w:top w:w="0" w:type="dxa"/>
          <w:left w:w="0" w:type="dxa"/>
          <w:bottom w:w="0" w:type="dxa"/>
          <w:right w:w="0" w:type="dxa"/>
        </w:tblCellMar>
      </w:tblPr>
      <w:tblGrid>
        <w:gridCol w:w="2870"/>
        <w:gridCol w:w="60"/>
        <w:gridCol w:w="78"/>
        <w:gridCol w:w="1051"/>
        <w:gridCol w:w="60"/>
        <w:gridCol w:w="60"/>
        <w:gridCol w:w="322"/>
        <w:gridCol w:w="1017"/>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April 30,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83" w:name="xdx_98F_eus-gaap--ShareBasedCompensation"/>
            <w:bookmarkEnd w:id="583"/>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584" w:name="xdx_986_eus-gaap--ShareBasedCompensation"/>
            <w:bookmarkEnd w:id="584"/>
          </w:p>
        </w:tc>
        <w:tc>
          <w:tcPr>
            <w:tcW w:w="10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85" w:name="xdx_98F_eus-gaap--ShareBasedCompensation"/>
            <w:bookmarkEnd w:id="585"/>
          </w:p>
        </w:tc>
        <w:tc>
          <w:tcPr>
            <w:tcW w:w="1051"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586" w:name="xdx_987_eus-gaap--ShareBasedCompensation"/>
            <w:bookmarkEnd w:id="586"/>
          </w:p>
        </w:tc>
        <w:tc>
          <w:tcPr>
            <w:tcW w:w="1017" w:type="dxa"/>
            <w:tcBorders/>
            <w:shd w:fill="FFFFFF" w:val="clear"/>
            <w:vAlign w:val="center"/>
          </w:tcPr>
          <w:p>
            <w:pPr>
              <w:pStyle w:val="TableContents"/>
              <w:bidi w:val="0"/>
              <w:spacing w:before="0" w:after="283"/>
              <w:jc w:val="right"/>
              <w:rPr/>
            </w:pPr>
            <w:r>
              <w:rPr/>
              <w:t>0.56</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87" w:name="xdx_985_eus-gaap--ShareBasedCompensation"/>
            <w:bookmarkEnd w:id="587"/>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588" w:name="xdx_98E_eus-gaap--ShareBasedCompensation"/>
            <w:bookmarkEnd w:id="588"/>
          </w:p>
        </w:tc>
        <w:tc>
          <w:tcPr>
            <w:tcW w:w="10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9" w:name="xdx_988_eus-gaap--ShareBasedCompensation"/>
            <w:bookmarkEnd w:id="589"/>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90" w:name="xdx_981_eus-gaap--ShareBasedCompensation"/>
            <w:bookmarkEnd w:id="590"/>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Unvested at January 31,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1" w:name="xdx_989_eus-gaap--ShareBasedCompensation"/>
            <w:bookmarkEnd w:id="591"/>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2" w:name="xdx_981_eus-gaap--ShareBasedCompensation"/>
            <w:bookmarkEnd w:id="592"/>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3" w:name="xdx_8AC_z1k6OYuVjw11"/>
      <w:bookmarkEnd w:id="5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594" w:name="xdx_90E_eus-gaap--AllocatedShareBasedCom"/>
      <w:bookmarkEnd w:id="594"/>
      <w:r>
        <w:rPr>
          <w:rFonts w:ascii="Times New Roman;Times;Serif" w:hAnsi="Times New Roman;Times;Serif"/>
          <w:b w:val="false"/>
          <w:i w:val="false"/>
          <w:caps w:val="false"/>
          <w:smallCaps w:val="false"/>
          <w:sz w:val="20"/>
        </w:rPr>
        <w:t xml:space="preserve">41,000 and </w:t>
      </w:r>
      <w:bookmarkStart w:id="595" w:name="xdx_905_eus-gaap--AllocatedShareBasedCom"/>
      <w:bookmarkEnd w:id="595"/>
      <w:r>
        <w:rPr>
          <w:rFonts w:ascii="Times New Roman;Times;Serif" w:hAnsi="Times New Roman;Times;Serif"/>
          <w:b w:val="false"/>
          <w:i w:val="false"/>
          <w:caps w:val="false"/>
          <w:smallCaps w:val="false"/>
          <w:sz w:val="20"/>
        </w:rPr>
        <w:t>zero of total recognized compensation cost related to PSUs for the nine months ended January 31, 2026 and 2025, respectively. There was approximately $</w:t>
      </w:r>
      <w:bookmarkStart w:id="596" w:name="xdx_909_eus-gaap--AllocatedShareBasedCom"/>
      <w:bookmarkEnd w:id="596"/>
      <w:r>
        <w:rPr>
          <w:rFonts w:ascii="Times New Roman;Times;Serif" w:hAnsi="Times New Roman;Times;Serif"/>
          <w:b w:val="false"/>
          <w:i w:val="false"/>
          <w:caps w:val="false"/>
          <w:smallCaps w:val="false"/>
          <w:sz w:val="20"/>
        </w:rPr>
        <w:t xml:space="preserve">16,000 and </w:t>
      </w:r>
      <w:bookmarkStart w:id="597" w:name="xdx_909_eus-gaap--AllocatedShareBasedCom"/>
      <w:bookmarkEnd w:id="597"/>
      <w:r>
        <w:rPr>
          <w:rFonts w:ascii="Times New Roman;Times;Serif" w:hAnsi="Times New Roman;Times;Serif"/>
          <w:b w:val="false"/>
          <w:i w:val="false"/>
          <w:caps w:val="false"/>
          <w:smallCaps w:val="false"/>
          <w:sz w:val="20"/>
        </w:rPr>
        <w:t>zero of total recognized compensation cost related to PSUs for the three months ended January 31, 2026 and 2025, respectively. As of January 31, 2026, there was approximately $</w:t>
      </w:r>
      <w:bookmarkStart w:id="598" w:name="xdx_90C_eus-gaap--EmployeeServiceShareBa"/>
      <w:bookmarkEnd w:id="598"/>
      <w:r>
        <w:rPr>
          <w:rFonts w:ascii="Times New Roman;Times;Serif" w:hAnsi="Times New Roman;Times;Serif"/>
          <w:b w:val="false"/>
          <w:i w:val="false"/>
          <w:caps w:val="false"/>
          <w:smallCaps w:val="false"/>
          <w:sz w:val="20"/>
        </w:rPr>
        <w:t xml:space="preserve">44,000 of unrecognized compensation cost remaining related to unvested PSUs. This cost is expected to be recognized over a weighted-average period of </w:t>
      </w:r>
      <w:bookmarkStart w:id="599" w:name="xdx_90F_eus-gaap--EmployeeServiceShareBa"/>
      <w:bookmarkEnd w:id="599"/>
      <w:r>
        <w:rPr>
          <w:rFonts w:ascii="Times New Roman;Times;Serif" w:hAnsi="Times New Roman;Times;Serif"/>
          <w:b w:val="false"/>
          <w:i w:val="false"/>
          <w:caps w:val="false"/>
          <w:smallCaps w:val="false"/>
          <w:sz w:val="20"/>
        </w:rPr>
        <w:t>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RSUs is generally recorded based on the market value on the date of grant and recognized ratably over the associated service and performance period. During the three months ended January 31, 2026 and 2025, the Company granted approximately </w:t>
      </w:r>
      <w:bookmarkStart w:id="600" w:name="xdx_90A_eus-gaap--ShareBasedCompensation"/>
      <w:bookmarkEnd w:id="600"/>
      <w:r>
        <w:rPr>
          <w:rFonts w:ascii="Times New Roman;Times;Serif" w:hAnsi="Times New Roman;Times;Serif"/>
          <w:b w:val="false"/>
          <w:i w:val="false"/>
          <w:caps w:val="false"/>
          <w:smallCaps w:val="false"/>
          <w:sz w:val="20"/>
        </w:rPr>
        <w:t xml:space="preserve">12,573,401 and </w:t>
      </w:r>
      <w:bookmarkStart w:id="601" w:name="xdx_900_eus-gaap--ShareBasedCompensation"/>
      <w:bookmarkEnd w:id="601"/>
      <w:r>
        <w:rPr>
          <w:rFonts w:ascii="Times New Roman;Times;Serif" w:hAnsi="Times New Roman;Times;Serif"/>
          <w:b w:val="false"/>
          <w:i w:val="false"/>
          <w:caps w:val="false"/>
          <w:smallCaps w:val="false"/>
          <w:sz w:val="20"/>
        </w:rPr>
        <w:t>21,903,000 shares, respectively, that were subject to both service-based and market-based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as part of the Section 220 shareholder demand, the Company cancelled </w:t>
      </w:r>
      <w:bookmarkStart w:id="602" w:name="xdx_905_eus-gaap--ShareBasedCompensation"/>
      <w:bookmarkEnd w:id="602"/>
      <w:r>
        <w:rPr>
          <w:rFonts w:ascii="Times New Roman;Times;Serif" w:hAnsi="Times New Roman;Times;Serif"/>
          <w:b w:val="false"/>
          <w:i w:val="false"/>
          <w:caps w:val="false"/>
          <w:smallCaps w:val="false"/>
          <w:sz w:val="20"/>
        </w:rPr>
        <w:t>631,829 RSU awards issue under the Omnibus Plan and reissued under the amended Omnibus Plan with exact same vesting terms. The cancellations and reissuance occurred simultaneously and there was no affect on the unaudited consolidated financial statements as a result of these cancellations and reissuances.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3" w:name="xdx_89F_eus-gaap--ScheduleOfShareBasedCo"/>
      <w:bookmarkEnd w:id="603"/>
      <w:r>
        <w:rPr>
          <w:rFonts w:ascii="Times New Roman;Times;Serif" w:hAnsi="Times New Roman;Times;Serif"/>
          <w:b w:val="false"/>
          <w:i w:val="false"/>
          <w:caps w:val="false"/>
          <w:smallCaps w:val="false"/>
          <w:sz w:val="20"/>
        </w:rPr>
        <w:t>A summary of unvested RSU’s under the Stock Incentive Plans is as follows:</w:t>
      </w:r>
    </w:p>
    <w:p>
      <w:pPr>
        <w:pStyle w:val="TextBody"/>
        <w:bidi w:val="0"/>
        <w:spacing w:before="0" w:after="0"/>
        <w:ind w:left="0" w:right="0" w:hanging="0"/>
        <w:jc w:val="both"/>
        <w:rPr>
          <w:caps w:val="false"/>
          <w:smallCaps w:val="false"/>
        </w:rPr>
      </w:pPr>
      <w:r>
        <w:rPr>
          <w:caps w:val="false"/>
          <w:smallCaps w:val="false"/>
        </w:rPr>
        <w:t> </w:t>
      </w:r>
      <w:bookmarkStart w:id="604" w:name="xdx_8BC_zKw0nWXYIut1"/>
      <w:bookmarkEnd w:id="604"/>
      <w:r>
        <w:rPr>
          <w:rFonts w:ascii="Times New Roman;Times;Serif" w:hAnsi="Times New Roman;Times;Serif"/>
          <w:b w:val="false"/>
          <w:i w:val="false"/>
          <w:caps w:val="false"/>
          <w:smallCaps w:val="false"/>
          <w:sz w:val="20"/>
        </w:rPr>
        <w:t>Schedule of Non-vested Restricted Stock Activity</w:t>
      </w:r>
    </w:p>
    <w:tbl>
      <w:tblPr>
        <w:tblW w:w="5644" w:type="dxa"/>
        <w:jc w:val="left"/>
        <w:tblInd w:w="0" w:type="dxa"/>
        <w:tblLayout w:type="fixed"/>
        <w:tblCellMar>
          <w:top w:w="0" w:type="dxa"/>
          <w:left w:w="0" w:type="dxa"/>
          <w:bottom w:w="0" w:type="dxa"/>
          <w:right w:w="0" w:type="dxa"/>
        </w:tblCellMar>
      </w:tblPr>
      <w:tblGrid>
        <w:gridCol w:w="2855"/>
        <w:gridCol w:w="60"/>
        <w:gridCol w:w="60"/>
        <w:gridCol w:w="1100"/>
        <w:gridCol w:w="95"/>
        <w:gridCol w:w="60"/>
        <w:gridCol w:w="322"/>
        <w:gridCol w:w="1017"/>
        <w:gridCol w:w="75"/>
      </w:tblGrid>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Unvested at April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5" w:name="xdx_98E_eus-gaap--ShareBasedCompensation"/>
            <w:bookmarkEnd w:id="605"/>
          </w:p>
        </w:tc>
        <w:tc>
          <w:tcPr>
            <w:tcW w:w="1100" w:type="dxa"/>
            <w:tcBorders/>
            <w:shd w:fill="CCEEFF" w:val="clear"/>
            <w:vAlign w:val="center"/>
          </w:tcPr>
          <w:p>
            <w:pPr>
              <w:pStyle w:val="TableContents"/>
              <w:bidi w:val="0"/>
              <w:spacing w:before="0" w:after="283"/>
              <w:jc w:val="right"/>
              <w:rPr/>
            </w:pPr>
            <w:r>
              <w:rPr/>
              <w:t>22.461,633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606" w:name="xdx_98A_eus-gaap--ShareBasedCompensation"/>
            <w:bookmarkEnd w:id="606"/>
          </w:p>
        </w:tc>
        <w:tc>
          <w:tcPr>
            <w:tcW w:w="1017" w:type="dxa"/>
            <w:tcBorders/>
            <w:shd w:fill="CCEEFF" w:val="clear"/>
            <w:vAlign w:val="center"/>
          </w:tcPr>
          <w:p>
            <w:pPr>
              <w:pStyle w:val="TableContents"/>
              <w:bidi w:val="0"/>
              <w:spacing w:before="0" w:after="283"/>
              <w:jc w:val="right"/>
              <w:rPr/>
            </w:pPr>
            <w:r>
              <w:rPr/>
              <w:t>0.79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7" w:name="xdx_981_eus-gaap--ShareBasedCompensation"/>
            <w:bookmarkEnd w:id="607"/>
          </w:p>
        </w:tc>
        <w:tc>
          <w:tcPr>
            <w:tcW w:w="1100" w:type="dxa"/>
            <w:tcBorders/>
            <w:shd w:fill="FFFFFF" w:val="clear"/>
            <w:vAlign w:val="center"/>
          </w:tcPr>
          <w:p>
            <w:pPr>
              <w:pStyle w:val="TableContents"/>
              <w:bidi w:val="0"/>
              <w:spacing w:before="0" w:after="283"/>
              <w:jc w:val="right"/>
              <w:rPr/>
            </w:pPr>
            <w:r>
              <w:rPr/>
              <w:t>12,573,401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608" w:name="xdx_980_eus-gaap--ShareBasedCompensation"/>
            <w:bookmarkEnd w:id="608"/>
          </w:p>
        </w:tc>
        <w:tc>
          <w:tcPr>
            <w:tcW w:w="1017" w:type="dxa"/>
            <w:tcBorders/>
            <w:shd w:fill="FFFFFF" w:val="clear"/>
            <w:vAlign w:val="center"/>
          </w:tcPr>
          <w:p>
            <w:pPr>
              <w:pStyle w:val="TableContents"/>
              <w:bidi w:val="0"/>
              <w:spacing w:before="0" w:after="283"/>
              <w:jc w:val="right"/>
              <w:rPr/>
            </w:pPr>
            <w:r>
              <w:rPr/>
              <w:t>0.74</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9" w:name="xdx_989_eus-gaap--ShareBasedCompensation"/>
            <w:bookmarkEnd w:id="609"/>
          </w:p>
        </w:tc>
        <w:tc>
          <w:tcPr>
            <w:tcW w:w="1100" w:type="dxa"/>
            <w:tcBorders/>
            <w:shd w:fill="CCEEFF" w:val="clear"/>
            <w:vAlign w:val="center"/>
          </w:tcPr>
          <w:p>
            <w:pPr>
              <w:pStyle w:val="TableContents"/>
              <w:bidi w:val="0"/>
              <w:spacing w:before="0" w:after="283"/>
              <w:jc w:val="right"/>
              <w:rPr/>
            </w:pPr>
            <w:r>
              <w:rPr/>
              <w:t>(7,670,221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610" w:name="xdx_98A_eus-gaap--ShareBasedCompensation"/>
            <w:bookmarkEnd w:id="610"/>
          </w:p>
        </w:tc>
        <w:tc>
          <w:tcPr>
            <w:tcW w:w="1017" w:type="dxa"/>
            <w:tcBorders/>
            <w:shd w:fill="CCEEFF" w:val="clear"/>
            <w:vAlign w:val="center"/>
          </w:tcPr>
          <w:p>
            <w:pPr>
              <w:pStyle w:val="TableContents"/>
              <w:bidi w:val="0"/>
              <w:spacing w:before="0" w:after="283"/>
              <w:jc w:val="right"/>
              <w:rPr/>
            </w:pPr>
            <w:r>
              <w:rPr/>
              <w:t>0.99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1" w:name="xdx_98D_eus-gaap--ShareBasedCompensation"/>
            <w:bookmarkEnd w:id="61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(1,996,079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12" w:name="xdx_983_eus-gaap--ShareBasedCompensation"/>
            <w:bookmarkEnd w:id="612"/>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0.74</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Unvested at January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13" w:name="xdx_98B_eus-gaap--ShareBasedCompensation"/>
            <w:bookmarkEnd w:id="61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25,368,734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14" w:name="xdx_984_eus-gaap--ShareBasedCompensation"/>
            <w:bookmarkEnd w:id="614"/>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0.58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5" w:name="xdx_8A5_zTeX8jM02iX8"/>
      <w:bookmarkEnd w:id="6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616" w:name="xdx_90B_eus-gaap--AllocatedShareBasedCom"/>
      <w:bookmarkEnd w:id="616"/>
      <w:r>
        <w:rPr>
          <w:rFonts w:ascii="Times New Roman;Times;Serif" w:hAnsi="Times New Roman;Times;Serif"/>
          <w:b w:val="false"/>
          <w:i w:val="false"/>
          <w:caps w:val="false"/>
          <w:smallCaps w:val="false"/>
          <w:sz w:val="20"/>
        </w:rPr>
        <w:t>7,728,000 and $</w:t>
      </w:r>
      <w:bookmarkStart w:id="617" w:name="xdx_908_eus-gaap--AllocatedShareBasedCom"/>
      <w:bookmarkEnd w:id="617"/>
      <w:r>
        <w:rPr>
          <w:rFonts w:ascii="Times New Roman;Times;Serif" w:hAnsi="Times New Roman;Times;Serif"/>
          <w:b w:val="false"/>
          <w:i w:val="false"/>
          <w:caps w:val="false"/>
          <w:smallCaps w:val="false"/>
          <w:sz w:val="20"/>
        </w:rPr>
        <w:t>1,293,000 of total recognized compensation cost related to RSUs for the nine months ended January 31, 2026 and 2025, respectively. There was approximately $</w:t>
      </w:r>
      <w:bookmarkStart w:id="618" w:name="xdx_900_eus-gaap--AllocatedShareBasedCom"/>
      <w:bookmarkEnd w:id="618"/>
      <w:r>
        <w:rPr>
          <w:rFonts w:ascii="Times New Roman;Times;Serif" w:hAnsi="Times New Roman;Times;Serif"/>
          <w:b w:val="false"/>
          <w:i w:val="false"/>
          <w:caps w:val="false"/>
          <w:smallCaps w:val="false"/>
          <w:sz w:val="20"/>
        </w:rPr>
        <w:t>2,578,000 and $</w:t>
      </w:r>
      <w:bookmarkStart w:id="619" w:name="xdx_90E_eus-gaap--AllocatedShareBasedCom"/>
      <w:bookmarkEnd w:id="619"/>
      <w:r>
        <w:rPr>
          <w:rFonts w:ascii="Times New Roman;Times;Serif" w:hAnsi="Times New Roman;Times;Serif"/>
          <w:b w:val="false"/>
          <w:i w:val="false"/>
          <w:caps w:val="false"/>
          <w:smallCaps w:val="false"/>
          <w:sz w:val="20"/>
        </w:rPr>
        <w:t>768,000 of total recognized compensation cost related to RSUs for the three months ended January 31, 2026 and 2025, respectively. As of January 31, 2026, there was approximately $</w:t>
      </w:r>
      <w:bookmarkStart w:id="620" w:name="xdx_907_eus-gaap--EmployeeServiceShareBa"/>
      <w:bookmarkEnd w:id="620"/>
      <w:r>
        <w:rPr>
          <w:rFonts w:ascii="Times New Roman;Times;Serif" w:hAnsi="Times New Roman;Times;Serif"/>
          <w:b w:val="false"/>
          <w:i w:val="false"/>
          <w:caps w:val="false"/>
          <w:smallCaps w:val="false"/>
          <w:sz w:val="20"/>
        </w:rPr>
        <w:t xml:space="preserve">6,647,000 of unrecognized compensation cost remaining related to unvested RSUs. This cost is expected to be recognized over a weighted-average period of </w:t>
      </w:r>
      <w:bookmarkStart w:id="621" w:name="xdx_90A_eus-gaap--EmployeeServiceShareBa"/>
      <w:bookmarkEnd w:id="621"/>
      <w:r>
        <w:rPr>
          <w:rFonts w:ascii="Times New Roman;Times;Serif" w:hAnsi="Times New Roman;Times;Serif"/>
          <w:b w:val="false"/>
          <w:i w:val="false"/>
          <w:caps w:val="false"/>
          <w:smallCaps w:val="false"/>
          <w:sz w:val="20"/>
        </w:rPr>
        <w:t>1.8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2" w:name="xdx_808_eus-gaap--FairValueDisclosuresTe"/>
      <w:bookmarkEnd w:id="622"/>
      <w:r>
        <w:rPr>
          <w:rFonts w:ascii="Times New Roman;Times;Serif" w:hAnsi="Times New Roman;Times;Serif"/>
          <w:b/>
          <w:i w:val="false"/>
          <w:caps w:val="false"/>
          <w:smallCaps w:val="false"/>
          <w:sz w:val="20"/>
        </w:rPr>
        <w:t xml:space="preserve">(12) </w:t>
      </w:r>
      <w:bookmarkStart w:id="623" w:name="xdx_82E_zXRF5pxTcJ3c"/>
      <w:bookmarkEnd w:id="623"/>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624" w:name="xdx_897_eus-gaap--FairValueAssetsMeasure"/>
      <w:bookmarkEnd w:id="624"/>
      <w:r>
        <w:rPr>
          <w:rFonts w:ascii="Times New Roman;Times;Serif" w:hAnsi="Times New Roman;Times;Serif"/>
          <w:b w:val="false"/>
          <w:i w:val="false"/>
          <w:caps w:val="false"/>
          <w:smallCaps w:val="false"/>
          <w:sz w:val="20"/>
        </w:rPr>
        <w:t>The following tables sets forth the Company’s financial instruments that were measured at fair value on a recurring basis by level within the fair value hierarchy (amounts in thousands):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625" w:name="xdx_8BF_zw4rl49uJEma"/>
      <w:bookmarkEnd w:id="625"/>
      <w:r>
        <w:rPr>
          <w:rFonts w:ascii="Times New Roman;Times;Serif" w:hAnsi="Times New Roman;Times;Serif"/>
          <w:b w:val="false"/>
          <w:i w:val="false"/>
          <w:caps w:val="false"/>
          <w:smallCaps w:val="false"/>
          <w:sz w:val="20"/>
        </w:rPr>
        <w:t>Schedule of Fair Value Assets on Recurring Basis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3860"/>
        <w:gridCol w:w="60"/>
        <w:gridCol w:w="140"/>
        <w:gridCol w:w="560"/>
        <w:gridCol w:w="11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6" w:name="xdx_49C_20260131_zhvuf8qzYAR6"/>
            <w:bookmarkEnd w:id="626"/>
          </w:p>
        </w:tc>
        <w:tc>
          <w:tcPr>
            <w:tcW w:w="700" w:type="dxa"/>
            <w:gridSpan w:val="2"/>
            <w:tcBorders>
              <w:bottom w:val="single" w:sz="8" w:space="0" w:color="000000"/>
            </w:tcBorders>
            <w:tcMar>
              <w:bottom w:w="28" w:type="dxa"/>
            </w:tcMar>
            <w:vAlign w:val="center"/>
          </w:tcPr>
          <w:p>
            <w:pPr>
              <w:pStyle w:val="TableContents"/>
              <w:bidi w:val="0"/>
              <w:jc w:val="center"/>
              <w:rPr>
                <w:b/>
              </w:rPr>
            </w:pPr>
            <w:r>
              <w:rPr>
                <w:b/>
              </w:rPr>
              <w:t>Fair</w:t>
            </w:r>
          </w:p>
          <w:p>
            <w:pPr>
              <w:pStyle w:val="TableContents"/>
              <w:bidi w:val="0"/>
              <w:spacing w:before="0" w:after="283"/>
              <w:jc w:val="center"/>
              <w:rPr>
                <w:b/>
              </w:rPr>
            </w:pPr>
            <w:r>
              <w:rPr>
                <w:b/>
              </w:rPr>
              <w:t>Value</w:t>
            </w:r>
          </w:p>
        </w:tc>
        <w:tc>
          <w:tcPr>
            <w:tcW w:w="110" w:type="dxa"/>
            <w:tcBorders/>
            <w:vAlign w:val="center"/>
          </w:tcPr>
          <w:p>
            <w:pPr>
              <w:pStyle w:val="TableContents"/>
              <w:bidi w:val="0"/>
              <w:spacing w:before="0" w:after="283"/>
              <w:jc w:val="left"/>
              <w:rPr/>
            </w:pPr>
            <w:r>
              <w:rPr/>
              <w:t> </w:t>
            </w:r>
            <w:bookmarkStart w:id="627" w:name="xdx_401_eus-gaap--DerivativeFairValueOfD"/>
            <w:bookmarkEnd w:id="627"/>
          </w:p>
        </w:tc>
      </w:tr>
      <w:tr>
        <w:trPr/>
        <w:tc>
          <w:tcPr>
            <w:tcW w:w="3860" w:type="dxa"/>
            <w:tcBorders/>
            <w:shd w:fill="CCEEFF" w:val="clear"/>
            <w:vAlign w:val="center"/>
          </w:tcPr>
          <w:p>
            <w:pPr>
              <w:pStyle w:val="TableContents"/>
              <w:bidi w:val="0"/>
              <w:spacing w:before="0" w:after="283"/>
              <w:jc w:val="left"/>
              <w:rPr/>
            </w:pPr>
            <w:r>
              <w:rPr/>
              <w:t>Derivative liability – May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699</w:t>
            </w:r>
          </w:p>
        </w:tc>
        <w:tc>
          <w:tcPr>
            <w:tcW w:w="110" w:type="dxa"/>
            <w:tcBorders/>
            <w:shd w:fill="CCEEFF" w:val="clear"/>
            <w:vAlign w:val="center"/>
          </w:tcPr>
          <w:p>
            <w:pPr>
              <w:pStyle w:val="TableContents"/>
              <w:bidi w:val="0"/>
              <w:spacing w:before="0" w:after="283"/>
              <w:jc w:val="left"/>
              <w:rPr/>
            </w:pPr>
            <w:r>
              <w:rPr/>
              <w:t> </w:t>
            </w:r>
            <w:bookmarkStart w:id="628" w:name="xdx_40D_eus-gaap--DerivativeLiabilityFai"/>
            <w:bookmarkEnd w:id="628"/>
          </w:p>
        </w:tc>
      </w:tr>
      <w:tr>
        <w:trPr/>
        <w:tc>
          <w:tcPr>
            <w:tcW w:w="3860" w:type="dxa"/>
            <w:tcBorders/>
            <w:shd w:fill="FFFFFF" w:val="clear"/>
            <w:vAlign w:val="center"/>
          </w:tcPr>
          <w:p>
            <w:pPr>
              <w:pStyle w:val="TableContents"/>
              <w:bidi w:val="0"/>
              <w:spacing w:before="0" w:after="283"/>
              <w:jc w:val="left"/>
              <w:rPr/>
            </w:pPr>
            <w:r>
              <w:rPr/>
              <w:t>Change due to conversion of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(129</w:t>
            </w:r>
          </w:p>
        </w:tc>
        <w:tc>
          <w:tcPr>
            <w:tcW w:w="110" w:type="dxa"/>
            <w:tcBorders/>
            <w:shd w:fill="FFFFFF" w:val="clear"/>
            <w:vAlign w:val="center"/>
          </w:tcPr>
          <w:p>
            <w:pPr>
              <w:pStyle w:val="TableContents"/>
              <w:bidi w:val="0"/>
              <w:spacing w:before="0" w:after="283"/>
              <w:jc w:val="left"/>
              <w:rPr/>
            </w:pPr>
            <w:r>
              <w:rPr/>
              <w:t>)</w:t>
            </w:r>
            <w:bookmarkStart w:id="629" w:name="xdx_406_eus-gaap--DerivativeFairValueOfD"/>
            <w:bookmarkEnd w:id="629"/>
          </w:p>
        </w:tc>
      </w:tr>
      <w:tr>
        <w:trPr/>
        <w:tc>
          <w:tcPr>
            <w:tcW w:w="3860" w:type="dxa"/>
            <w:tcBorders/>
            <w:shd w:fill="CCEEFF" w:val="clear"/>
            <w:vAlign w:val="center"/>
          </w:tcPr>
          <w:p>
            <w:pPr>
              <w:pStyle w:val="TableContents"/>
              <w:bidi w:val="0"/>
              <w:spacing w:before="0" w:after="283"/>
              <w:jc w:val="left"/>
              <w:rPr/>
            </w:pPr>
            <w:r>
              <w:rPr/>
              <w:t>Derivative liability - July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570</w:t>
            </w:r>
          </w:p>
        </w:tc>
        <w:tc>
          <w:tcPr>
            <w:tcW w:w="110" w:type="dxa"/>
            <w:tcBorders/>
            <w:shd w:fill="CCEEFF" w:val="clear"/>
            <w:vAlign w:val="center"/>
          </w:tcPr>
          <w:p>
            <w:pPr>
              <w:pStyle w:val="TableContents"/>
              <w:bidi w:val="0"/>
              <w:spacing w:before="0" w:after="283"/>
              <w:jc w:val="left"/>
              <w:rPr/>
            </w:pPr>
            <w:r>
              <w:rPr/>
              <w:t> </w:t>
            </w:r>
            <w:bookmarkStart w:id="630" w:name="xdx_40E_eus-gaap--DerivativeFairValueOfD"/>
            <w:bookmarkEnd w:id="630"/>
          </w:p>
        </w:tc>
      </w:tr>
      <w:tr>
        <w:trPr/>
        <w:tc>
          <w:tcPr>
            <w:tcW w:w="3860" w:type="dxa"/>
            <w:tcBorders/>
            <w:shd w:fill="FFFFFF" w:val="clear"/>
            <w:vAlign w:val="center"/>
          </w:tcPr>
          <w:p>
            <w:pPr>
              <w:pStyle w:val="TableContents"/>
              <w:bidi w:val="0"/>
              <w:spacing w:before="0" w:after="283"/>
              <w:jc w:val="left"/>
              <w:rPr/>
            </w:pPr>
            <w:r>
              <w:rPr/>
              <w:t>Derivative liability – October issuance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110" w:type="dxa"/>
            <w:tcBorders/>
            <w:shd w:fill="FFFFFF" w:val="clear"/>
            <w:vAlign w:val="center"/>
          </w:tcPr>
          <w:p>
            <w:pPr>
              <w:pStyle w:val="TableContents"/>
              <w:bidi w:val="0"/>
              <w:spacing w:before="0" w:after="283"/>
              <w:jc w:val="left"/>
              <w:rPr/>
            </w:pPr>
            <w:r>
              <w:rPr/>
              <w:t> </w:t>
            </w:r>
            <w:bookmarkStart w:id="631" w:name="xdx_40E_eus-gaap--DerivativeLiabilityFai"/>
            <w:bookmarkEnd w:id="631"/>
          </w:p>
        </w:tc>
      </w:tr>
      <w:tr>
        <w:trPr/>
        <w:tc>
          <w:tcPr>
            <w:tcW w:w="3860" w:type="dxa"/>
            <w:tcBorders/>
            <w:shd w:fill="CCEEFF" w:val="clear"/>
            <w:vAlign w:val="center"/>
          </w:tcPr>
          <w:p>
            <w:pPr>
              <w:pStyle w:val="TableContents"/>
              <w:bidi w:val="0"/>
              <w:spacing w:before="0" w:after="283"/>
              <w:jc w:val="left"/>
              <w:rPr/>
            </w:pPr>
            <w:r>
              <w:rPr/>
              <w:t>Change due to conversion of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110" w:type="dxa"/>
            <w:tcBorders/>
            <w:shd w:fill="CCEEFF" w:val="clear"/>
            <w:vAlign w:val="center"/>
          </w:tcPr>
          <w:p>
            <w:pPr>
              <w:pStyle w:val="TableContents"/>
              <w:bidi w:val="0"/>
              <w:spacing w:before="0" w:after="283"/>
              <w:jc w:val="left"/>
              <w:rPr/>
            </w:pPr>
            <w:r>
              <w:rPr/>
              <w:t>)</w:t>
            </w:r>
            <w:bookmarkStart w:id="632" w:name="xdx_405_eus-gaap--DerivativeFairValueOfD"/>
            <w:bookmarkEnd w:id="632"/>
          </w:p>
        </w:tc>
      </w:tr>
      <w:tr>
        <w:trPr/>
        <w:tc>
          <w:tcPr>
            <w:tcW w:w="3860" w:type="dxa"/>
            <w:tcBorders/>
            <w:shd w:fill="FFFFFF" w:val="clear"/>
            <w:vAlign w:val="center"/>
          </w:tcPr>
          <w:p>
            <w:pPr>
              <w:pStyle w:val="TableContents"/>
              <w:bidi w:val="0"/>
              <w:spacing w:before="0" w:after="283"/>
              <w:jc w:val="left"/>
              <w:rPr/>
            </w:pPr>
            <w:r>
              <w:rPr/>
              <w:t>Derivative liability - October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881</w:t>
            </w:r>
          </w:p>
        </w:tc>
        <w:tc>
          <w:tcPr>
            <w:tcW w:w="110" w:type="dxa"/>
            <w:tcBorders/>
            <w:shd w:fill="FFFFFF" w:val="clear"/>
            <w:vAlign w:val="center"/>
          </w:tcPr>
          <w:p>
            <w:pPr>
              <w:pStyle w:val="TableContents"/>
              <w:bidi w:val="0"/>
              <w:spacing w:before="0" w:after="283"/>
              <w:jc w:val="left"/>
              <w:rPr/>
            </w:pPr>
            <w:r>
              <w:rPr/>
              <w:t> </w:t>
            </w:r>
            <w:bookmarkStart w:id="633" w:name="xdx_407_eus-gaap--DerivativeFairValueOfD"/>
            <w:bookmarkEnd w:id="633"/>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Derivative liability - issuance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881</w:t>
            </w:r>
          </w:p>
        </w:tc>
        <w:tc>
          <w:tcPr>
            <w:tcW w:w="110" w:type="dxa"/>
            <w:tcBorders/>
            <w:shd w:fill="FFFFFF" w:val="clear"/>
            <w:vAlign w:val="center"/>
          </w:tcPr>
          <w:p>
            <w:pPr>
              <w:pStyle w:val="TableContents"/>
              <w:bidi w:val="0"/>
              <w:spacing w:before="0" w:after="283"/>
              <w:jc w:val="left"/>
              <w:rPr/>
            </w:pPr>
            <w:r>
              <w:rPr/>
              <w:t> </w:t>
            </w:r>
            <w:bookmarkStart w:id="634" w:name="xdx_409_eus-gaap--DerivativeLiabilityFai"/>
            <w:bookmarkEnd w:id="634"/>
          </w:p>
        </w:tc>
      </w:tr>
      <w:tr>
        <w:trPr/>
        <w:tc>
          <w:tcPr>
            <w:tcW w:w="3860" w:type="dxa"/>
            <w:tcBorders/>
            <w:shd w:fill="CCEEFF" w:val="clear"/>
            <w:vAlign w:val="center"/>
          </w:tcPr>
          <w:p>
            <w:pPr>
              <w:pStyle w:val="TableContents"/>
              <w:bidi w:val="0"/>
              <w:spacing w:before="0" w:after="283"/>
              <w:jc w:val="left"/>
              <w:rPr/>
            </w:pPr>
            <w:r>
              <w:rPr/>
              <w:t>Change due to conversion of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w:t>
            </w:r>
            <w:bookmarkStart w:id="635" w:name="xdx_40A_ecustom--DerivativeLiabilityFair"/>
            <w:bookmarkEnd w:id="635"/>
          </w:p>
        </w:tc>
      </w:tr>
      <w:tr>
        <w:trPr/>
        <w:tc>
          <w:tcPr>
            <w:tcW w:w="3860" w:type="dxa"/>
            <w:tcBorders/>
            <w:shd w:fill="FFFFFF" w:val="clear"/>
            <w:vAlign w:val="center"/>
          </w:tcPr>
          <w:p>
            <w:pPr>
              <w:pStyle w:val="TableContents"/>
              <w:bidi w:val="0"/>
              <w:spacing w:before="0" w:after="283"/>
              <w:jc w:val="left"/>
              <w:rPr/>
            </w:pPr>
            <w:r>
              <w:rPr/>
              <w:t>Change due to revaluation of derivatives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1,617</w:t>
            </w:r>
          </w:p>
        </w:tc>
        <w:tc>
          <w:tcPr>
            <w:tcW w:w="110" w:type="dxa"/>
            <w:tcBorders/>
            <w:shd w:fill="FFFFFF" w:val="clear"/>
            <w:vAlign w:val="center"/>
          </w:tcPr>
          <w:p>
            <w:pPr>
              <w:pStyle w:val="TableContents"/>
              <w:bidi w:val="0"/>
              <w:spacing w:before="0" w:after="283"/>
              <w:jc w:val="left"/>
              <w:rPr/>
            </w:pPr>
            <w:r>
              <w:rPr/>
              <w:t> </w:t>
            </w:r>
            <w:bookmarkStart w:id="636" w:name="xdx_400_eus-gaap--DerivativeFairValueOfD"/>
            <w:bookmarkEnd w:id="636"/>
          </w:p>
        </w:tc>
      </w:tr>
      <w:tr>
        <w:trPr/>
        <w:tc>
          <w:tcPr>
            <w:tcW w:w="3860" w:type="dxa"/>
            <w:tcBorders/>
            <w:shd w:fill="CCEEFF" w:val="clear"/>
            <w:vAlign w:val="center"/>
          </w:tcPr>
          <w:p>
            <w:pPr>
              <w:pStyle w:val="TableContents"/>
              <w:bidi w:val="0"/>
              <w:spacing w:before="0" w:after="283"/>
              <w:jc w:val="left"/>
              <w:rPr/>
            </w:pPr>
            <w:r>
              <w:rPr/>
              <w:t>Derivative liability - January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2,180</w:t>
            </w:r>
          </w:p>
        </w:tc>
        <w:tc>
          <w:tcPr>
            <w:tcW w:w="110" w:type="dxa"/>
            <w:tcBorders/>
            <w:shd w:fill="CCEEFF" w:val="clear"/>
            <w:vAlign w:val="center"/>
          </w:tcPr>
          <w:p>
            <w:pPr>
              <w:pStyle w:val="TableContents"/>
              <w:bidi w:val="0"/>
              <w:spacing w:before="0" w:after="283"/>
              <w:jc w:val="left"/>
              <w:rPr/>
            </w:pPr>
            <w:r>
              <w:rPr/>
              <w:t> </w:t>
            </w:r>
            <w:bookmarkStart w:id="637" w:name="xdx_403_eus-gaap--DerivativeFairValueOfD"/>
            <w:bookmarkEnd w:id="637"/>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1790"/>
        <w:gridCol w:w="60"/>
        <w:gridCol w:w="172"/>
        <w:gridCol w:w="403"/>
        <w:gridCol w:w="60"/>
        <w:gridCol w:w="60"/>
        <w:gridCol w:w="247"/>
        <w:gridCol w:w="988"/>
        <w:gridCol w:w="60"/>
        <w:gridCol w:w="60"/>
        <w:gridCol w:w="322"/>
        <w:gridCol w:w="598"/>
        <w:gridCol w:w="75"/>
      </w:tblGrid>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8" w:name="xdx_498_20260131__us-gaap--FairValueByFa"/>
            <w:bookmarkEnd w:id="638"/>
          </w:p>
        </w:tc>
        <w:tc>
          <w:tcPr>
            <w:tcW w:w="1235" w:type="dxa"/>
            <w:gridSpan w:val="2"/>
            <w:tcBorders>
              <w:bottom w:val="single" w:sz="8" w:space="0" w:color="000000"/>
            </w:tcBorders>
            <w:tcMar>
              <w:bottom w:w="28" w:type="dxa"/>
            </w:tcMar>
            <w:vAlign w:val="center"/>
          </w:tcPr>
          <w:p>
            <w:pPr>
              <w:pStyle w:val="TableContents"/>
              <w:bidi w:val="0"/>
              <w:jc w:val="center"/>
              <w:rPr>
                <w:b/>
              </w:rPr>
            </w:pPr>
            <w:r>
              <w:rPr>
                <w:b/>
              </w:rPr>
              <w:t>January 31,</w:t>
            </w:r>
          </w:p>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9" w:name="xdx_491_20250430__us-gaap--FairValueByFa"/>
            <w:bookmarkEnd w:id="639"/>
          </w:p>
        </w:tc>
        <w:tc>
          <w:tcPr>
            <w:tcW w:w="920" w:type="dxa"/>
            <w:gridSpan w:val="2"/>
            <w:tcBorders>
              <w:bottom w:val="single" w:sz="8" w:space="0" w:color="000000"/>
            </w:tcBorders>
            <w:tcMar>
              <w:bottom w:w="28" w:type="dxa"/>
            </w:tcMar>
            <w:vAlign w:val="center"/>
          </w:tcPr>
          <w:p>
            <w:pPr>
              <w:pStyle w:val="TableContents"/>
              <w:bidi w:val="0"/>
              <w:jc w:val="center"/>
              <w:rPr>
                <w:b/>
              </w:rPr>
            </w:pPr>
            <w:r>
              <w:rPr>
                <w:b/>
              </w:rPr>
              <w:t>April 30,</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640" w:name="xdx_40B_eus-gaap--DerivativeLiabilitiesC"/>
            <w:bookmarkEnd w:id="640"/>
          </w:p>
        </w:tc>
      </w:tr>
      <w:tr>
        <w:trPr/>
        <w:tc>
          <w:tcPr>
            <w:tcW w:w="1790" w:type="dxa"/>
            <w:tcBorders/>
            <w:shd w:fill="CCEEFF" w:val="clear"/>
            <w:vAlign w:val="center"/>
          </w:tcPr>
          <w:p>
            <w:pPr>
              <w:pStyle w:val="TableContents"/>
              <w:bidi w:val="0"/>
              <w:spacing w:before="0" w:after="283"/>
              <w:jc w:val="both"/>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2,180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1" w:name="xdx_8A1_zWxIr6Id7xqa"/>
      <w:bookmarkEnd w:id="6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related to our convertible notes (refer to Note 13 for further discussion) was determined using inputs including the Company’s common stock price, the volume-weighted average price of the Company’s common stock upon conversion, and the probability of conversion methodology based on historical experience and the likelihood of attaining certain common stock share price levels. There were no financial instruments that were measured at fair value on a recurring basis as of January 31, 2025. During the periods presented, the Company has not changed the manner in which it values assets and liabilities that are measured at fair value. Transfers into or out of any hierarchy level are recognized at the end of the reporting period in which the transfers occurred. There were no transfers between any hierarchy levels during either of the three and nine months ended January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2" w:name="xdx_807_eus-gaap--StockholdersEquityNote"/>
      <w:bookmarkEnd w:id="642"/>
      <w:r>
        <w:rPr>
          <w:rFonts w:ascii="Times New Roman;Times;Serif" w:hAnsi="Times New Roman;Times;Serif"/>
          <w:b/>
          <w:i w:val="false"/>
          <w:caps w:val="false"/>
          <w:smallCaps w:val="false"/>
          <w:sz w:val="20"/>
        </w:rPr>
        <w:t xml:space="preserve">(13) </w:t>
      </w:r>
      <w:bookmarkStart w:id="643" w:name="xdx_82C_zjXWquFsz1r3"/>
      <w:bookmarkEnd w:id="643"/>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an aggregate offering price of up to $</w:t>
      </w:r>
      <w:bookmarkStart w:id="644" w:name="xdx_905_eus-gaap--SaleOfStockConsiderati"/>
      <w:bookmarkEnd w:id="644"/>
      <w:r>
        <w:rPr>
          <w:rFonts w:ascii="Times New Roman;Times;Serif" w:hAnsi="Times New Roman;Times;Serif"/>
          <w:b w:val="false"/>
          <w:i w:val="false"/>
          <w:caps w:val="false"/>
          <w:smallCaps w:val="false"/>
          <w:sz w:val="20"/>
        </w:rPr>
        <w:t>7.0 million (the “2023 ATM Facility”). On August 30, 2024 the aggregate offering price under the 2023 ATM Facility was increased to approximately $</w:t>
      </w:r>
      <w:bookmarkStart w:id="645" w:name="xdx_902_eus-gaap--SaleOfStockConsiderati"/>
      <w:bookmarkEnd w:id="645"/>
      <w:r>
        <w:rPr>
          <w:rFonts w:ascii="Times New Roman;Times;Serif" w:hAnsi="Times New Roman;Times;Serif"/>
          <w:b w:val="false"/>
          <w:i w:val="false"/>
          <w:caps w:val="false"/>
          <w:smallCaps w:val="false"/>
          <w:sz w:val="20"/>
        </w:rPr>
        <w:t>16.0 million. It was then reduced to approximately $</w:t>
      </w:r>
      <w:bookmarkStart w:id="646" w:name="xdx_901_eus-gaap--SaleOfStockConsiderati"/>
      <w:bookmarkEnd w:id="646"/>
      <w:r>
        <w:rPr>
          <w:rFonts w:ascii="Times New Roman;Times;Serif" w:hAnsi="Times New Roman;Times;Serif"/>
          <w:b w:val="false"/>
          <w:i w:val="false"/>
          <w:caps w:val="false"/>
          <w:smallCaps w:val="false"/>
          <w:sz w:val="20"/>
        </w:rPr>
        <w:t>2.9 million in September 2024 and increased again to approximately $</w:t>
      </w:r>
      <w:bookmarkStart w:id="647" w:name="xdx_909_eus-gaap--SaleOfStockConsiderati"/>
      <w:bookmarkEnd w:id="647"/>
      <w:r>
        <w:rPr>
          <w:rFonts w:ascii="Times New Roman;Times;Serif" w:hAnsi="Times New Roman;Times;Serif"/>
          <w:b w:val="false"/>
          <w:i w:val="false"/>
          <w:caps w:val="false"/>
          <w:smallCaps w:val="false"/>
          <w:sz w:val="20"/>
        </w:rPr>
        <w:t>60.0 million in December 2024. The Company received proceeds of approximately $</w:t>
      </w:r>
      <w:bookmarkStart w:id="648" w:name="xdx_90B_eus-gaap--ProceedsFromIssuanceOr"/>
      <w:bookmarkEnd w:id="648"/>
      <w:r>
        <w:rPr>
          <w:rFonts w:ascii="Times New Roman;Times;Serif" w:hAnsi="Times New Roman;Times;Serif"/>
          <w:b w:val="false"/>
          <w:i w:val="false"/>
          <w:caps w:val="false"/>
          <w:smallCaps w:val="false"/>
          <w:sz w:val="20"/>
        </w:rPr>
        <w:t>18.0 million under this facility prior to termination of the facility effective August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the Company entered into an At Market Issuance Sales Agreement with Ladenburg Thalmann &amp;Co. Inc., under which the Company may, from time to time, offer and sell shares of its common stock having an aggregate gross sales price of up to $</w:t>
      </w:r>
      <w:bookmarkStart w:id="649" w:name="xdx_908_eus-gaap--ProceedsFromIssuanceOf"/>
      <w:bookmarkEnd w:id="649"/>
      <w:r>
        <w:rPr>
          <w:rFonts w:ascii="Times New Roman;Times;Serif" w:hAnsi="Times New Roman;Times;Serif"/>
          <w:b w:val="false"/>
          <w:i w:val="false"/>
          <w:caps w:val="false"/>
          <w:smallCaps w:val="false"/>
          <w:sz w:val="20"/>
        </w:rPr>
        <w:t>40.0 million. The shares will be offered pursuant to the Company’s shelf registration statement on Form S-3, including the related prospectus supplement filed with the SEC on August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if any, will be made in transactions deemed to be “at the market offerings” as defined in Rule 415(a)(4) under the Securities Act, directly on or through the NYSE American or in negotiated transactions as otherwise permitted under the Sales Agreement. The Company is not obligated to sell any shares under the Ladenburg sales agreement and may suspend or terminate the offering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0" w:name="xdx_90D_eus-gaap--StockIssuedDuringPerio"/>
      <w:bookmarkEnd w:id="650"/>
      <w:r>
        <w:rPr>
          <w:rFonts w:ascii="Times New Roman;Times;Serif" w:hAnsi="Times New Roman;Times;Serif"/>
          <w:b w:val="false"/>
          <w:i w:val="false"/>
          <w:caps w:val="false"/>
          <w:smallCaps w:val="false"/>
          <w:sz w:val="20"/>
        </w:rPr>
        <w:t>10,117,602 shares were sold under the Ladenburg sales agreement during the nine months ended January 31, 2026 totaling proceeds of $</w:t>
      </w:r>
      <w:bookmarkStart w:id="651" w:name="xdx_900_eus-gaap--StockIssuedDuringPerio"/>
      <w:bookmarkEnd w:id="651"/>
      <w:r>
        <w:rPr>
          <w:rFonts w:ascii="Times New Roman;Times;Serif" w:hAnsi="Times New Roman;Times;Serif"/>
          <w:b w:val="false"/>
          <w:i w:val="false"/>
          <w:caps w:val="false"/>
          <w:smallCaps w:val="false"/>
          <w:sz w:val="20"/>
        </w:rPr>
        <w:t xml:space="preserve">4.9 million. Subsequent to January 31, 2026, through filing, there were an additional </w:t>
      </w:r>
      <w:bookmarkStart w:id="652" w:name="xdx_906_eus-gaap--StockIssuedDuringPerio"/>
      <w:bookmarkEnd w:id="652"/>
      <w:r>
        <w:rPr>
          <w:rFonts w:ascii="Times New Roman;Times;Serif" w:hAnsi="Times New Roman;Times;Serif"/>
          <w:b w:val="false"/>
          <w:i w:val="false"/>
          <w:caps w:val="false"/>
          <w:smallCaps w:val="false"/>
          <w:sz w:val="20"/>
        </w:rPr>
        <w:t>5,646,239 shares were sold under the Ladenburg sales agreement, totaling proceeds of $</w:t>
      </w:r>
      <w:bookmarkStart w:id="653" w:name="xdx_909_eus-gaap--StockIssuedDuringPerio"/>
      <w:bookmarkEnd w:id="653"/>
      <w:r>
        <w:rPr>
          <w:rFonts w:ascii="Times New Roman;Times;Serif" w:hAnsi="Times New Roman;Times;Serif"/>
          <w:b w:val="false"/>
          <w:i w:val="false"/>
          <w:caps w:val="false"/>
          <w:smallCaps w:val="false"/>
          <w:sz w:val="20"/>
        </w:rPr>
        <w:t>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issued $</w:t>
      </w:r>
      <w:bookmarkStart w:id="654" w:name="xdx_904_eus-gaap--DebtInstrumentFaceAmou"/>
      <w:bookmarkEnd w:id="654"/>
      <w:r>
        <w:rPr>
          <w:rFonts w:ascii="Times New Roman;Times;Serif" w:hAnsi="Times New Roman;Times;Serif"/>
          <w:b w:val="false"/>
          <w:i w:val="false"/>
          <w:caps w:val="false"/>
          <w:smallCaps w:val="false"/>
          <w:sz w:val="20"/>
        </w:rPr>
        <w:t>10.0 million in aggregate principal amount of convertible notes with a 24-month maturity to new institutional investors with net proceeds of $</w:t>
      </w:r>
      <w:bookmarkStart w:id="655" w:name="xdx_903_eus-gaap--ProceedsFromConvertibl"/>
      <w:bookmarkEnd w:id="655"/>
      <w:r>
        <w:rPr>
          <w:rFonts w:ascii="Times New Roman;Times;Serif" w:hAnsi="Times New Roman;Times;Serif"/>
          <w:b w:val="false"/>
          <w:i w:val="false"/>
          <w:caps w:val="false"/>
          <w:smallCaps w:val="false"/>
          <w:sz w:val="20"/>
        </w:rPr>
        <w:t>9.7 million. The notes are convertible into shares of our common stock under specific terms outlined in the Securities Purchase Agreement and Indenture. This financing was aimed at providing us with additional liquidity, supporting the commercialization of our systems, and advancing our autonomous maritime solutions. The convertible debt structure offers the potential for conversion into equity, which may result in dilution to existing shareholders upon conversion. On October 7, 2025, we issued and sold to the investors $</w:t>
      </w:r>
      <w:bookmarkStart w:id="656" w:name="xdx_906_eus-gaap--DebtInstrumentFaceAmou"/>
      <w:bookmarkEnd w:id="656"/>
      <w:r>
        <w:rPr>
          <w:rFonts w:ascii="Times New Roman;Times;Serif" w:hAnsi="Times New Roman;Times;Serif"/>
          <w:b w:val="false"/>
          <w:i w:val="false"/>
          <w:caps w:val="false"/>
          <w:smallCaps w:val="false"/>
          <w:sz w:val="20"/>
        </w:rPr>
        <w:t>6.5 million of additional notes. We can draw an additional $</w:t>
      </w:r>
      <w:bookmarkStart w:id="657" w:name="xdx_900_eus-gaap--DebtInstrumentIncrease"/>
      <w:bookmarkEnd w:id="657"/>
      <w:r>
        <w:rPr>
          <w:rFonts w:ascii="Times New Roman;Times;Serif" w:hAnsi="Times New Roman;Times;Serif"/>
          <w:b w:val="false"/>
          <w:i w:val="false"/>
          <w:caps w:val="false"/>
          <w:smallCaps w:val="false"/>
          <w:sz w:val="20"/>
        </w:rPr>
        <w:t>8.5 million of notes under the purchase agreement. Principal and interest conversion during the three and nine months ended January 31, 2026 was approximately $</w:t>
      </w:r>
      <w:bookmarkStart w:id="658" w:name="xdx_900_eus-gaap--DebtConversionOriginal"/>
      <w:bookmarkEnd w:id="658"/>
      <w:r>
        <w:rPr>
          <w:rFonts w:ascii="Times New Roman;Times;Serif" w:hAnsi="Times New Roman;Times;Serif"/>
          <w:b w:val="false"/>
          <w:i w:val="false"/>
          <w:caps w:val="false"/>
          <w:smallCaps w:val="false"/>
          <w:sz w:val="20"/>
        </w:rPr>
        <w:t>4.6 million and $</w:t>
      </w:r>
      <w:bookmarkStart w:id="659" w:name="xdx_90B_eus-gaap--DebtConversionOriginal"/>
      <w:bookmarkEnd w:id="659"/>
      <w:r>
        <w:rPr>
          <w:rFonts w:ascii="Times New Roman;Times;Serif" w:hAnsi="Times New Roman;Times;Serif"/>
          <w:b w:val="false"/>
          <w:i w:val="false"/>
          <w:caps w:val="false"/>
          <w:smallCaps w:val="false"/>
          <w:sz w:val="20"/>
        </w:rPr>
        <w:t>9.7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debt has a conversion feature that was determined to be an embedded derivative that requires bifurcation and separate accounting from the host instrument. At inception, the fair value of the derivative liability was approximately $</w:t>
      </w:r>
      <w:bookmarkStart w:id="660" w:name="xdx_908_eus-gaap--DerivativeLiabilities_"/>
      <w:bookmarkEnd w:id="660"/>
      <w:r>
        <w:rPr>
          <w:rFonts w:ascii="Times New Roman;Times;Serif" w:hAnsi="Times New Roman;Times;Serif"/>
          <w:b w:val="false"/>
          <w:i w:val="false"/>
          <w:caps w:val="false"/>
          <w:smallCaps w:val="false"/>
          <w:sz w:val="20"/>
        </w:rPr>
        <w:t>699,000 for the May issuance and $</w:t>
      </w:r>
      <w:bookmarkStart w:id="661" w:name="xdx_90F_eus-gaap--DerivativeLiabilities_"/>
      <w:bookmarkEnd w:id="661"/>
      <w:r>
        <w:rPr>
          <w:rFonts w:ascii="Times New Roman;Times;Serif" w:hAnsi="Times New Roman;Times;Serif"/>
          <w:b w:val="false"/>
          <w:i w:val="false"/>
          <w:caps w:val="false"/>
          <w:smallCaps w:val="false"/>
          <w:sz w:val="20"/>
        </w:rPr>
        <w:t>489,000 for the October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incremental product development and marketing efforts, which could materially and adversely affect our financial condition and operating results. If we are unable to secure additional financing, we may be forced to cease our operations. Subsequent to January 31, 2026, through filing, there were additional conversions of </w:t>
      </w:r>
      <w:bookmarkStart w:id="662" w:name="xdx_900_ecustom--StockIssuedDuringPeriod"/>
      <w:bookmarkEnd w:id="662"/>
      <w:r>
        <w:rPr>
          <w:rFonts w:ascii="Times New Roman;Times;Serif" w:hAnsi="Times New Roman;Times;Serif"/>
          <w:b w:val="false"/>
          <w:i w:val="false"/>
          <w:caps w:val="false"/>
          <w:smallCaps w:val="false"/>
          <w:sz w:val="20"/>
        </w:rPr>
        <w:t>6,269,872 shares, reducing the principal balance convertible debt by approximately $</w:t>
      </w:r>
      <w:bookmarkStart w:id="663" w:name="xdx_908_ecustom--StockIssuedDuringPeriod"/>
      <w:bookmarkEnd w:id="663"/>
      <w:r>
        <w:rPr>
          <w:rFonts w:ascii="Times New Roman;Times;Serif" w:hAnsi="Times New Roman;Times;Serif"/>
          <w:b w:val="false"/>
          <w:i w:val="false"/>
          <w:caps w:val="false"/>
          <w:smallCaps w:val="false"/>
          <w:sz w:val="20"/>
        </w:rPr>
        <w:t>1.5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4" w:name="xdx_805_eus-gaap--CommitmentsAndContinge"/>
      <w:bookmarkEnd w:id="664"/>
      <w:r>
        <w:rPr>
          <w:rFonts w:ascii="Times New Roman;Times;Serif" w:hAnsi="Times New Roman;Times;Serif"/>
          <w:b/>
          <w:i w:val="false"/>
          <w:caps w:val="false"/>
          <w:smallCaps w:val="false"/>
          <w:sz w:val="20"/>
        </w:rPr>
        <w:t xml:space="preserve">(14) </w:t>
      </w:r>
      <w:bookmarkStart w:id="665" w:name="xdx_82D_z7StjtK8ywql"/>
      <w:bookmarkEnd w:id="66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with Paragon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2023, Paragon Technologies, Inc. filed a complaint in the Court of Chancery of the State of Delaware against the Company, and the members of its Board of Directors, claiming certain breaches of their fiduciary duties. In an August 12, 2024 Press Release and its Form 10-Q report for the second quarter of 2024, Paragon announced that it was no longer pursuing litigation against the Company. Pursuant to a Court order dated January 9, 2025, Paragon was required “to file a status report within 30 days. Otherwise, the case will be dismissed under Rule 41(e).” Paragon did not file a status report, and in March 2026, the Court confirmed that it had dismissed the case due to failure to prosecute under Rule 41(e).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6" w:name="xdx_800_eus-gaap--IncomeTaxDisclosureTex"/>
      <w:bookmarkEnd w:id="666"/>
      <w:r>
        <w:rPr>
          <w:rFonts w:ascii="Times New Roman;Times;Serif" w:hAnsi="Times New Roman;Times;Serif"/>
          <w:b/>
          <w:i w:val="false"/>
          <w:caps w:val="false"/>
          <w:smallCaps w:val="false"/>
          <w:sz w:val="20"/>
        </w:rPr>
        <w:t xml:space="preserve">(15) </w:t>
      </w:r>
      <w:bookmarkStart w:id="667" w:name="xdx_825_zY1ElCjtr615"/>
      <w:bookmarkEnd w:id="66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Income Taxes.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January 31, 2026, the Company had no uncertain tax positions. The Company does not expect any material increases or decreases in its income tax expense or benefit in the next twelve months, related to examinations or uncertain tax positions. Net operating losses and credit carryforwards since inception remain open to examination by taxing authorities and will continue to remain open for a period of time after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w:t>
      </w:r>
      <w:bookmarkStart w:id="668" w:name="xdx_906_ecustom--BusinessAcquisitionOuts"/>
      <w:bookmarkEnd w:id="668"/>
      <w:r>
        <w:rPr>
          <w:rFonts w:ascii="Times New Roman;Times;Serif" w:hAnsi="Times New Roman;Times;Serif"/>
          <w:b w:val="false"/>
          <w:i w:val="false"/>
          <w:caps w:val="false"/>
          <w:smallCaps w:val="false"/>
          <w:sz w:val="20"/>
        </w:rPr>
        <w:t>4.99% or more of the outstanding common stock without approval by potentially subjecting any such person or group to significant dilution. The Plan was approved by shareholders by a non-binding advisory vote at the Company’s Annual Meeting held on February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the Rights using an option-pricing model. The amount was immaterial to the consolidated financial statements and deemed to be de minimis, and accordingly was not recorded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Impact of the One Big Beautiful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into law, introducing various changes to U.S. federal income tax provisions, including modifications to bonus depreciation, interest expense limitations, research and development expense treatment, and international tax rules. Under ASC 740, the effects of changes in tax law are required to be recognized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provisions of the OBBBA and determined that the enactment of the legislation did not have a material impact on its income tax provision, deferred tax assets or liabilities, or estimated annual effective tax rate for the quarter ended January 31, 2026. The Company will continue to monitor the potential future impacts of the OBBBA, including provisions that become effective in subsequent periods, and will reflect any material changes in its financial statements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9" w:name="xdx_803_eus-gaap--SegmentReportingDisclo"/>
      <w:bookmarkEnd w:id="669"/>
      <w:r>
        <w:rPr>
          <w:rFonts w:ascii="Times New Roman;Times;Serif" w:hAnsi="Times New Roman;Times;Serif"/>
          <w:b/>
          <w:i w:val="false"/>
          <w:caps w:val="false"/>
          <w:smallCaps w:val="false"/>
          <w:sz w:val="20"/>
        </w:rPr>
        <w:t xml:space="preserve">(16) </w:t>
      </w:r>
      <w:bookmarkStart w:id="670" w:name="xdx_82E_zWdiYzZbtYI2"/>
      <w:bookmarkEnd w:id="670"/>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671" w:name="xdx_901_eus-gaap--NumberOfReportableSegm"/>
      <w:bookmarkStart w:id="672" w:name="xdx_90A_eus-gaap--NumberOfOperatingSegme"/>
      <w:bookmarkEnd w:id="671"/>
      <w:bookmarkEnd w:id="672"/>
      <w:r>
        <w:rPr>
          <w:rFonts w:ascii="Times New Roman;Times;Serif" w:hAnsi="Times New Roman;Times;Serif"/>
          <w:b w:val="false"/>
          <w:i w:val="false"/>
          <w:caps w:val="false"/>
          <w:smallCaps w:val="false"/>
          <w:sz w:val="20"/>
        </w:rPr>
        <w:t>one operating segment. The Company’s chief operating decision maker (the “CODM”) is its Chief Executive Officer, who reviews financial information on a consolidated basis and utilizes net loss for purposes of making operating decisions, assessing financial performance of the consolidated Company, and making resource allocation decisions. The CODM also reviews total assets. While assets may move throughout the world to support our revenue projects, for reporting purposes they are included in North America total assets. Revenue and expenses are generally attributed to the operating unit that bills the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3" w:name="xdx_898_eus-gaap--ReconciliationOfRevenu"/>
      <w:bookmarkEnd w:id="673"/>
      <w:r>
        <w:rPr>
          <w:rFonts w:ascii="Times New Roman;Times;Serif" w:hAnsi="Times New Roman;Times;Serif"/>
          <w:b w:val="false"/>
          <w:i w:val="false"/>
          <w:caps w:val="false"/>
          <w:smallCaps w:val="false"/>
          <w:sz w:val="20"/>
        </w:rPr>
        <w:t>The following table presents selected financial information with respect to the Company’s single operating segment and its significant segment expenses for the three and nine months ended January 31, 2026 and 2025, respectively:</w:t>
      </w:r>
    </w:p>
    <w:p>
      <w:pPr>
        <w:pStyle w:val="TextBody"/>
        <w:bidi w:val="0"/>
        <w:spacing w:before="0" w:after="0"/>
        <w:ind w:left="0" w:right="0" w:hanging="0"/>
        <w:jc w:val="both"/>
        <w:rPr>
          <w:caps w:val="false"/>
          <w:smallCaps w:val="false"/>
        </w:rPr>
      </w:pPr>
      <w:r>
        <w:rPr>
          <w:caps w:val="false"/>
          <w:smallCaps w:val="false"/>
        </w:rPr>
        <w:t> </w:t>
      </w:r>
      <w:bookmarkStart w:id="674" w:name="xdx_8B6_zue72KQPv58k"/>
      <w:bookmarkEnd w:id="674"/>
      <w:r>
        <w:rPr>
          <w:rFonts w:ascii="Times New Roman;Times;Serif" w:hAnsi="Times New Roman;Times;Serif"/>
          <w:b w:val="false"/>
          <w:i w:val="false"/>
          <w:caps w:val="false"/>
          <w:smallCaps w:val="false"/>
          <w:sz w:val="20"/>
        </w:rPr>
        <w:t>Schedule of Operating Segment Expenses</w:t>
      </w:r>
    </w:p>
    <w:tbl>
      <w:tblPr>
        <w:tblW w:w="7602" w:type="dxa"/>
        <w:jc w:val="left"/>
        <w:tblInd w:w="0" w:type="dxa"/>
        <w:tblLayout w:type="fixed"/>
        <w:tblCellMar>
          <w:top w:w="0" w:type="dxa"/>
          <w:left w:w="0" w:type="dxa"/>
          <w:bottom w:w="0" w:type="dxa"/>
          <w:right w:w="0" w:type="dxa"/>
        </w:tblCellMar>
      </w:tblPr>
      <w:tblGrid>
        <w:gridCol w:w="4130"/>
        <w:gridCol w:w="60"/>
        <w:gridCol w:w="253"/>
        <w:gridCol w:w="1367"/>
        <w:gridCol w:w="172"/>
        <w:gridCol w:w="108"/>
        <w:gridCol w:w="253"/>
        <w:gridCol w:w="1149"/>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5" w:name="xdx_499_20251101__20260131_z1BijbvxYUpk"/>
            <w:bookmarkEnd w:id="675"/>
          </w:p>
        </w:tc>
        <w:tc>
          <w:tcPr>
            <w:tcW w:w="1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7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bookmarkStart w:id="676" w:name="xdx_49D_20241101__20250131_zCggo7n85Lc6"/>
            <w:bookmarkEnd w:id="676"/>
          </w:p>
        </w:tc>
        <w:tc>
          <w:tcPr>
            <w:tcW w:w="14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 ended January 31,</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2"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677" w:name="xdx_401_eus-gaap--Revenues_pn3n3_maNILz8"/>
            <w:bookmarkEnd w:id="677"/>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67" w:type="dxa"/>
            <w:tcBorders/>
            <w:shd w:fill="CCEEFF" w:val="clear"/>
            <w:vAlign w:val="center"/>
          </w:tcPr>
          <w:p>
            <w:pPr>
              <w:pStyle w:val="TableContents"/>
              <w:bidi w:val="0"/>
              <w:spacing w:before="0" w:after="283"/>
              <w:jc w:val="right"/>
              <w:rPr/>
            </w:pPr>
            <w:r>
              <w:rPr/>
              <w:t>513</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825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78" w:name="xdx_40B_eus-gaap--CostOfRevenue_pn3n3_ms"/>
            <w:bookmarkEnd w:id="678"/>
          </w:p>
        </w:tc>
      </w:tr>
      <w:tr>
        <w:trPr/>
        <w:tc>
          <w:tcPr>
            <w:tcW w:w="413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1,268</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628</w:t>
            </w:r>
          </w:p>
        </w:tc>
        <w:tc>
          <w:tcPr>
            <w:tcW w:w="110" w:type="dxa"/>
            <w:tcBorders/>
            <w:shd w:fill="CCEEFF" w:val="clear"/>
            <w:vAlign w:val="center"/>
          </w:tcPr>
          <w:p>
            <w:pPr>
              <w:pStyle w:val="TableContents"/>
              <w:bidi w:val="0"/>
              <w:spacing w:before="0" w:after="283"/>
              <w:jc w:val="left"/>
              <w:rPr/>
            </w:pPr>
            <w:r>
              <w:rPr/>
              <w:t> </w:t>
            </w:r>
            <w:bookmarkStart w:id="679" w:name="xdx_406_eus-gaap--OtherCostAndExpenseOpe"/>
            <w:bookmarkEnd w:id="679"/>
          </w:p>
        </w:tc>
      </w:tr>
      <w:tr>
        <w:trPr/>
        <w:tc>
          <w:tcPr>
            <w:tcW w:w="4130" w:type="dxa"/>
            <w:tcBorders/>
            <w:shd w:fill="FFFFFF" w:val="clear"/>
            <w:vAlign w:val="center"/>
          </w:tcPr>
          <w:p>
            <w:pPr>
              <w:pStyle w:val="TableContents"/>
              <w:bidi w:val="0"/>
              <w:spacing w:before="0" w:after="283"/>
              <w:jc w:val="left"/>
              <w:rPr/>
            </w:pPr>
            <w:r>
              <w:rPr/>
              <w:t>Product development costs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641</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711</w:t>
            </w:r>
          </w:p>
        </w:tc>
        <w:tc>
          <w:tcPr>
            <w:tcW w:w="110" w:type="dxa"/>
            <w:tcBorders/>
            <w:shd w:fill="FFFFFF" w:val="clear"/>
            <w:vAlign w:val="center"/>
          </w:tcPr>
          <w:p>
            <w:pPr>
              <w:pStyle w:val="TableContents"/>
              <w:bidi w:val="0"/>
              <w:spacing w:before="0" w:after="283"/>
              <w:jc w:val="left"/>
              <w:rPr/>
            </w:pPr>
            <w:r>
              <w:rPr/>
              <w:t> </w:t>
            </w:r>
            <w:bookmarkStart w:id="680" w:name="xdx_408_eus-gaap--LaborAndRelatedExpense"/>
            <w:bookmarkEnd w:id="680"/>
          </w:p>
        </w:tc>
      </w:tr>
      <w:tr>
        <w:trPr/>
        <w:tc>
          <w:tcPr>
            <w:tcW w:w="4130" w:type="dxa"/>
            <w:tcBorders/>
            <w:shd w:fill="CCEEFF" w:val="clear"/>
            <w:vAlign w:val="center"/>
          </w:tcPr>
          <w:p>
            <w:pPr>
              <w:pStyle w:val="TableContents"/>
              <w:bidi w:val="0"/>
              <w:spacing w:before="0" w:after="283"/>
              <w:jc w:val="left"/>
              <w:rPr/>
            </w:pPr>
            <w:r>
              <w:rPr/>
              <w:t>Employee-related costs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2,385</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1,928</w:t>
            </w:r>
          </w:p>
        </w:tc>
        <w:tc>
          <w:tcPr>
            <w:tcW w:w="110" w:type="dxa"/>
            <w:tcBorders/>
            <w:shd w:fill="CCEEFF" w:val="clear"/>
            <w:vAlign w:val="center"/>
          </w:tcPr>
          <w:p>
            <w:pPr>
              <w:pStyle w:val="TableContents"/>
              <w:bidi w:val="0"/>
              <w:spacing w:before="0" w:after="283"/>
              <w:jc w:val="left"/>
              <w:rPr/>
            </w:pPr>
            <w:r>
              <w:rPr/>
              <w:t> </w:t>
            </w:r>
            <w:bookmarkStart w:id="681" w:name="xdx_403_eus-gaap--ProfessionalFees_pn3n3"/>
            <w:bookmarkEnd w:id="681"/>
          </w:p>
        </w:tc>
      </w:tr>
      <w:tr>
        <w:trPr/>
        <w:tc>
          <w:tcPr>
            <w:tcW w:w="4130" w:type="dxa"/>
            <w:tcBorders/>
            <w:shd w:fill="FFFFFF" w:val="clear"/>
            <w:vAlign w:val="center"/>
          </w:tcPr>
          <w:p>
            <w:pPr>
              <w:pStyle w:val="TableContents"/>
              <w:bidi w:val="0"/>
              <w:spacing w:before="0" w:after="283"/>
              <w:jc w:val="left"/>
              <w:rPr/>
            </w:pPr>
            <w:r>
              <w:rPr/>
              <w:t>Professional, consulting and contractor fees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1,172</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1,159</w:t>
            </w:r>
          </w:p>
        </w:tc>
        <w:tc>
          <w:tcPr>
            <w:tcW w:w="110" w:type="dxa"/>
            <w:tcBorders/>
            <w:shd w:fill="FFFFFF" w:val="clear"/>
            <w:vAlign w:val="center"/>
          </w:tcPr>
          <w:p>
            <w:pPr>
              <w:pStyle w:val="TableContents"/>
              <w:bidi w:val="0"/>
              <w:spacing w:before="0" w:after="283"/>
              <w:jc w:val="left"/>
              <w:rPr/>
            </w:pPr>
            <w:r>
              <w:rPr/>
              <w:t> </w:t>
            </w:r>
            <w:bookmarkStart w:id="682" w:name="xdx_40C_eus-gaap--GeneralAndAdministrati"/>
            <w:bookmarkEnd w:id="682"/>
          </w:p>
        </w:tc>
      </w:tr>
      <w:tr>
        <w:trPr/>
        <w:tc>
          <w:tcPr>
            <w:tcW w:w="4130" w:type="dxa"/>
            <w:tcBorders/>
            <w:shd w:fill="CCEEFF" w:val="clear"/>
            <w:vAlign w:val="center"/>
          </w:tcPr>
          <w:p>
            <w:pPr>
              <w:pStyle w:val="TableContents"/>
              <w:bidi w:val="0"/>
              <w:spacing w:before="0" w:after="283"/>
              <w:jc w:val="left"/>
              <w:rPr/>
            </w:pPr>
            <w:r>
              <w:rPr/>
              <w:t>General and administrative costs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849</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789</w:t>
            </w:r>
          </w:p>
        </w:tc>
        <w:tc>
          <w:tcPr>
            <w:tcW w:w="110" w:type="dxa"/>
            <w:tcBorders/>
            <w:shd w:fill="CCEEFF" w:val="clear"/>
            <w:vAlign w:val="center"/>
          </w:tcPr>
          <w:p>
            <w:pPr>
              <w:pStyle w:val="TableContents"/>
              <w:bidi w:val="0"/>
              <w:spacing w:before="0" w:after="283"/>
              <w:jc w:val="left"/>
              <w:rPr/>
            </w:pPr>
            <w:r>
              <w:rPr/>
              <w:t> </w:t>
            </w:r>
            <w:bookmarkStart w:id="683" w:name="xdx_402_ecustom--FacilitiesCosts_pn3n3_m"/>
            <w:bookmarkEnd w:id="683"/>
          </w:p>
        </w:tc>
      </w:tr>
      <w:tr>
        <w:trPr/>
        <w:tc>
          <w:tcPr>
            <w:tcW w:w="4130" w:type="dxa"/>
            <w:tcBorders/>
            <w:shd w:fill="FFFFFF" w:val="clear"/>
            <w:vAlign w:val="center"/>
          </w:tcPr>
          <w:p>
            <w:pPr>
              <w:pStyle w:val="TableContents"/>
              <w:bidi w:val="0"/>
              <w:spacing w:before="0" w:after="283"/>
              <w:jc w:val="left"/>
              <w:rPr/>
            </w:pPr>
            <w:r>
              <w:rPr/>
              <w:t>Facilities costs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449</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415</w:t>
            </w:r>
          </w:p>
        </w:tc>
        <w:tc>
          <w:tcPr>
            <w:tcW w:w="110" w:type="dxa"/>
            <w:tcBorders/>
            <w:shd w:fill="FFFFFF" w:val="clear"/>
            <w:vAlign w:val="center"/>
          </w:tcPr>
          <w:p>
            <w:pPr>
              <w:pStyle w:val="TableContents"/>
              <w:bidi w:val="0"/>
              <w:spacing w:before="0" w:after="283"/>
              <w:jc w:val="left"/>
              <w:rPr/>
            </w:pPr>
            <w:r>
              <w:rPr/>
              <w:t> </w:t>
            </w:r>
            <w:bookmarkStart w:id="684" w:name="xdx_409_eus-gaap--ShareBasedCompensation"/>
            <w:bookmarkEnd w:id="684"/>
          </w:p>
        </w:tc>
      </w:tr>
      <w:tr>
        <w:trPr/>
        <w:tc>
          <w:tcPr>
            <w:tcW w:w="413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2,600</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685" w:name="xdx_407_eus-gaap--DepreciationAndAmortiz"/>
            <w:bookmarkEnd w:id="685"/>
          </w:p>
        </w:tc>
      </w:tr>
      <w:tr>
        <w:trPr/>
        <w:tc>
          <w:tcPr>
            <w:tcW w:w="413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267</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bookmarkStart w:id="686" w:name="xdx_409_eus-gaap--OtherOperatingIncomeEx"/>
            <w:bookmarkEnd w:id="686"/>
          </w:p>
        </w:tc>
      </w:tr>
      <w:tr>
        <w:trPr/>
        <w:tc>
          <w:tcPr>
            <w:tcW w:w="4130"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(95</w:t>
            </w:r>
          </w:p>
        </w:tc>
        <w:tc>
          <w:tcPr>
            <w:tcW w:w="172"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687" w:name="xdx_40C_eus-gaap--InterestIncomeExpenseN"/>
            <w:bookmarkEnd w:id="687"/>
          </w:p>
        </w:tc>
      </w:tr>
      <w:tr>
        <w:trPr/>
        <w:tc>
          <w:tcPr>
            <w:tcW w:w="4130"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726</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w:t>
            </w:r>
            <w:bookmarkStart w:id="688" w:name="xdx_408_eus-gaap--ProvisionForDoubtfulAc"/>
            <w:bookmarkEnd w:id="688"/>
          </w:p>
        </w:tc>
      </w:tr>
      <w:tr>
        <w:trPr/>
        <w:tc>
          <w:tcPr>
            <w:tcW w:w="4130" w:type="dxa"/>
            <w:tcBorders/>
            <w:shd w:fill="CCEEFF" w:val="clear"/>
            <w:vAlign w:val="center"/>
          </w:tcPr>
          <w:p>
            <w:pPr>
              <w:pStyle w:val="TableContents"/>
              <w:bidi w:val="0"/>
              <w:spacing w:before="0" w:after="283"/>
              <w:jc w:val="left"/>
              <w:rPr/>
            </w:pPr>
            <w:r>
              <w:rPr/>
              <w:t>Credit loss expense</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bookmarkStart w:id="689" w:name="xdx_40C_ecustom--ChangeInFairValueOfDeri"/>
            <w:bookmarkEnd w:id="689"/>
          </w:p>
        </w:tc>
      </w:tr>
      <w:tr>
        <w:trPr/>
        <w:tc>
          <w:tcPr>
            <w:tcW w:w="4130" w:type="dxa"/>
            <w:tcBorders/>
            <w:shd w:fill="FFFFFF" w:val="clear"/>
            <w:vAlign w:val="center"/>
          </w:tcPr>
          <w:p>
            <w:pPr>
              <w:pStyle w:val="TableContents"/>
              <w:bidi w:val="0"/>
              <w:spacing w:before="0" w:after="283"/>
              <w:jc w:val="left"/>
              <w:rPr/>
            </w:pPr>
            <w:r>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1,617</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90" w:name="xdx_403_eus-gaap--GainsLossesOnExtinguis"/>
            <w:bookmarkEnd w:id="690"/>
          </w:p>
        </w:tc>
      </w:tr>
      <w:tr>
        <w:trPr/>
        <w:tc>
          <w:tcPr>
            <w:tcW w:w="413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 </w:t>
            </w:r>
            <w:bookmarkStart w:id="691" w:name="xdx_404_eus-gaap--NetIncomeLoss_iT_pn3n3"/>
            <w:bookmarkEnd w:id="691"/>
          </w:p>
        </w:tc>
      </w:tr>
      <w:tr>
        <w:trPr/>
        <w:tc>
          <w:tcPr>
            <w:tcW w:w="4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pPr>
            <w:r>
              <w:rPr/>
              <w:t>(11,366</w:t>
            </w:r>
          </w:p>
        </w:tc>
        <w:tc>
          <w:tcPr>
            <w:tcW w:w="172"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pPr>
            <w:r>
              <w:rPr/>
              <w:t>(6,720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467" w:type="dxa"/>
        <w:jc w:val="left"/>
        <w:tblInd w:w="0" w:type="dxa"/>
        <w:tblLayout w:type="fixed"/>
        <w:tblCellMar>
          <w:top w:w="0" w:type="dxa"/>
          <w:left w:w="0" w:type="dxa"/>
          <w:bottom w:w="0" w:type="dxa"/>
          <w:right w:w="0" w:type="dxa"/>
        </w:tblCellMar>
      </w:tblPr>
      <w:tblGrid>
        <w:gridCol w:w="4130"/>
        <w:gridCol w:w="60"/>
        <w:gridCol w:w="228"/>
        <w:gridCol w:w="1230"/>
        <w:gridCol w:w="154"/>
        <w:gridCol w:w="97"/>
        <w:gridCol w:w="228"/>
        <w:gridCol w:w="1230"/>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2" w:name="xdx_49C_20250501__20260131_zfIUySzvtvJ4"/>
            <w:bookmarkEnd w:id="692"/>
          </w:p>
        </w:tc>
        <w:tc>
          <w:tcPr>
            <w:tcW w:w="14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693" w:name="xdx_49F_20240501__20250131_zsizpsphEnQ6"/>
            <w:bookmarkEnd w:id="693"/>
          </w:p>
        </w:tc>
        <w:tc>
          <w:tcPr>
            <w:tcW w:w="14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 ended January 31,</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694" w:name="xdx_401_eus-gaap--Revenues_pn3n3_maNILz8"/>
            <w:bookmarkEnd w:id="694"/>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2,119</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4,545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95" w:name="xdx_40B_eus-gaap--CostOfRevenue_pn3n3_ms"/>
            <w:bookmarkEnd w:id="695"/>
          </w:p>
        </w:tc>
      </w:tr>
      <w:tr>
        <w:trPr/>
        <w:tc>
          <w:tcPr>
            <w:tcW w:w="413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4,277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3,106</w:t>
            </w:r>
          </w:p>
        </w:tc>
        <w:tc>
          <w:tcPr>
            <w:tcW w:w="110" w:type="dxa"/>
            <w:tcBorders/>
            <w:shd w:fill="CCEEFF" w:val="clear"/>
            <w:vAlign w:val="center"/>
          </w:tcPr>
          <w:p>
            <w:pPr>
              <w:pStyle w:val="TableContents"/>
              <w:bidi w:val="0"/>
              <w:spacing w:before="0" w:after="283"/>
              <w:jc w:val="left"/>
              <w:rPr/>
            </w:pPr>
            <w:r>
              <w:rPr/>
              <w:t> </w:t>
            </w:r>
            <w:bookmarkStart w:id="696" w:name="xdx_406_eus-gaap--OtherCostAndExpenseOpe"/>
            <w:bookmarkEnd w:id="696"/>
          </w:p>
        </w:tc>
      </w:tr>
      <w:tr>
        <w:trPr/>
        <w:tc>
          <w:tcPr>
            <w:tcW w:w="4130" w:type="dxa"/>
            <w:tcBorders/>
            <w:shd w:fill="FFFFFF" w:val="clear"/>
            <w:vAlign w:val="center"/>
          </w:tcPr>
          <w:p>
            <w:pPr>
              <w:pStyle w:val="TableContents"/>
              <w:bidi w:val="0"/>
              <w:spacing w:before="0" w:after="283"/>
              <w:jc w:val="left"/>
              <w:rPr/>
            </w:pPr>
            <w:r>
              <w:rPr/>
              <w:t>Product development costs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1,063</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1,431</w:t>
            </w:r>
          </w:p>
        </w:tc>
        <w:tc>
          <w:tcPr>
            <w:tcW w:w="110" w:type="dxa"/>
            <w:tcBorders/>
            <w:shd w:fill="FFFFFF" w:val="clear"/>
            <w:vAlign w:val="center"/>
          </w:tcPr>
          <w:p>
            <w:pPr>
              <w:pStyle w:val="TableContents"/>
              <w:bidi w:val="0"/>
              <w:spacing w:before="0" w:after="283"/>
              <w:jc w:val="left"/>
              <w:rPr/>
            </w:pPr>
            <w:r>
              <w:rPr/>
              <w:t> </w:t>
            </w:r>
            <w:bookmarkStart w:id="697" w:name="xdx_408_eus-gaap--LaborAndRelatedExpense"/>
            <w:bookmarkEnd w:id="697"/>
          </w:p>
        </w:tc>
      </w:tr>
      <w:tr>
        <w:trPr/>
        <w:tc>
          <w:tcPr>
            <w:tcW w:w="4130" w:type="dxa"/>
            <w:tcBorders/>
            <w:shd w:fill="CCEEFF" w:val="clear"/>
            <w:vAlign w:val="center"/>
          </w:tcPr>
          <w:p>
            <w:pPr>
              <w:pStyle w:val="TableContents"/>
              <w:bidi w:val="0"/>
              <w:spacing w:before="0" w:after="283"/>
              <w:jc w:val="left"/>
              <w:rPr/>
            </w:pPr>
            <w:r>
              <w:rPr/>
              <w:t>Employee-related costs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7,066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5,557</w:t>
            </w:r>
          </w:p>
        </w:tc>
        <w:tc>
          <w:tcPr>
            <w:tcW w:w="110" w:type="dxa"/>
            <w:tcBorders/>
            <w:shd w:fill="CCEEFF" w:val="clear"/>
            <w:vAlign w:val="center"/>
          </w:tcPr>
          <w:p>
            <w:pPr>
              <w:pStyle w:val="TableContents"/>
              <w:bidi w:val="0"/>
              <w:spacing w:before="0" w:after="283"/>
              <w:jc w:val="left"/>
              <w:rPr/>
            </w:pPr>
            <w:r>
              <w:rPr/>
              <w:t> </w:t>
            </w:r>
            <w:bookmarkStart w:id="698" w:name="xdx_403_eus-gaap--ProfessionalFees_pn3n3"/>
            <w:bookmarkEnd w:id="698"/>
          </w:p>
        </w:tc>
      </w:tr>
      <w:tr>
        <w:trPr/>
        <w:tc>
          <w:tcPr>
            <w:tcW w:w="4130" w:type="dxa"/>
            <w:tcBorders/>
            <w:shd w:fill="FFFFFF" w:val="clear"/>
            <w:vAlign w:val="center"/>
          </w:tcPr>
          <w:p>
            <w:pPr>
              <w:pStyle w:val="TableContents"/>
              <w:bidi w:val="0"/>
              <w:spacing w:before="0" w:after="283"/>
              <w:jc w:val="left"/>
              <w:rPr/>
            </w:pPr>
            <w:r>
              <w:rPr/>
              <w:t>Professional, consulting and contractor fees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3,627</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3,443</w:t>
            </w:r>
          </w:p>
        </w:tc>
        <w:tc>
          <w:tcPr>
            <w:tcW w:w="110" w:type="dxa"/>
            <w:tcBorders/>
            <w:shd w:fill="FFFFFF" w:val="clear"/>
            <w:vAlign w:val="center"/>
          </w:tcPr>
          <w:p>
            <w:pPr>
              <w:pStyle w:val="TableContents"/>
              <w:bidi w:val="0"/>
              <w:spacing w:before="0" w:after="283"/>
              <w:jc w:val="left"/>
              <w:rPr/>
            </w:pPr>
            <w:r>
              <w:rPr/>
              <w:t> </w:t>
            </w:r>
            <w:bookmarkStart w:id="699" w:name="xdx_40C_eus-gaap--GeneralAndAdministrati"/>
            <w:bookmarkEnd w:id="699"/>
          </w:p>
        </w:tc>
      </w:tr>
      <w:tr>
        <w:trPr/>
        <w:tc>
          <w:tcPr>
            <w:tcW w:w="4130" w:type="dxa"/>
            <w:tcBorders/>
            <w:shd w:fill="CCEEFF" w:val="clear"/>
            <w:vAlign w:val="center"/>
          </w:tcPr>
          <w:p>
            <w:pPr>
              <w:pStyle w:val="TableContents"/>
              <w:bidi w:val="0"/>
              <w:spacing w:before="0" w:after="283"/>
              <w:jc w:val="left"/>
              <w:rPr/>
            </w:pPr>
            <w:r>
              <w:rPr/>
              <w:t>General and administrative costs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2,175</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1,941</w:t>
            </w:r>
          </w:p>
        </w:tc>
        <w:tc>
          <w:tcPr>
            <w:tcW w:w="110" w:type="dxa"/>
            <w:tcBorders/>
            <w:shd w:fill="CCEEFF" w:val="clear"/>
            <w:vAlign w:val="center"/>
          </w:tcPr>
          <w:p>
            <w:pPr>
              <w:pStyle w:val="TableContents"/>
              <w:bidi w:val="0"/>
              <w:spacing w:before="0" w:after="283"/>
              <w:jc w:val="left"/>
              <w:rPr/>
            </w:pPr>
            <w:r>
              <w:rPr/>
              <w:t> </w:t>
            </w:r>
            <w:bookmarkStart w:id="700" w:name="xdx_402_ecustom--FacilitiesCosts_pn3n3_m"/>
            <w:bookmarkEnd w:id="700"/>
          </w:p>
        </w:tc>
      </w:tr>
      <w:tr>
        <w:trPr/>
        <w:tc>
          <w:tcPr>
            <w:tcW w:w="4130" w:type="dxa"/>
            <w:tcBorders/>
            <w:shd w:fill="FFFFFF" w:val="clear"/>
            <w:vAlign w:val="center"/>
          </w:tcPr>
          <w:p>
            <w:pPr>
              <w:pStyle w:val="TableContents"/>
              <w:bidi w:val="0"/>
              <w:spacing w:before="0" w:after="283"/>
              <w:jc w:val="left"/>
              <w:rPr/>
            </w:pPr>
            <w:r>
              <w:rPr/>
              <w:t>Facilities costs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1,246</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1,188</w:t>
            </w:r>
          </w:p>
        </w:tc>
        <w:tc>
          <w:tcPr>
            <w:tcW w:w="110" w:type="dxa"/>
            <w:tcBorders/>
            <w:shd w:fill="FFFFFF" w:val="clear"/>
            <w:vAlign w:val="center"/>
          </w:tcPr>
          <w:p>
            <w:pPr>
              <w:pStyle w:val="TableContents"/>
              <w:bidi w:val="0"/>
              <w:spacing w:before="0" w:after="283"/>
              <w:jc w:val="left"/>
              <w:rPr/>
            </w:pPr>
            <w:r>
              <w:rPr/>
              <w:t> </w:t>
            </w:r>
            <w:bookmarkStart w:id="701" w:name="xdx_409_eus-gaap--ShareBasedCompensation"/>
            <w:bookmarkEnd w:id="701"/>
          </w:p>
        </w:tc>
      </w:tr>
      <w:tr>
        <w:trPr/>
        <w:tc>
          <w:tcPr>
            <w:tcW w:w="413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7,791</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bookmarkStart w:id="702" w:name="xdx_40D_eus-gaap--DepreciationAndAmortiz"/>
            <w:bookmarkEnd w:id="702"/>
          </w:p>
        </w:tc>
      </w:tr>
      <w:tr>
        <w:trPr/>
        <w:tc>
          <w:tcPr>
            <w:tcW w:w="413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731</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711</w:t>
            </w:r>
          </w:p>
        </w:tc>
        <w:tc>
          <w:tcPr>
            <w:tcW w:w="110" w:type="dxa"/>
            <w:tcBorders/>
            <w:shd w:fill="FFFFFF" w:val="clear"/>
            <w:vAlign w:val="center"/>
          </w:tcPr>
          <w:p>
            <w:pPr>
              <w:pStyle w:val="TableContents"/>
              <w:bidi w:val="0"/>
              <w:spacing w:before="0" w:after="283"/>
              <w:jc w:val="left"/>
              <w:rPr/>
            </w:pPr>
            <w:r>
              <w:rPr/>
              <w:t> </w:t>
            </w:r>
            <w:bookmarkStart w:id="703" w:name="xdx_409_eus-gaap--OtherOperatingIncomeEx"/>
            <w:bookmarkEnd w:id="703"/>
          </w:p>
        </w:tc>
      </w:tr>
      <w:tr>
        <w:trPr/>
        <w:tc>
          <w:tcPr>
            <w:tcW w:w="4130"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43</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bookmarkStart w:id="704" w:name="xdx_40C_eus-gaap--InterestIncomeExpenseN"/>
            <w:bookmarkEnd w:id="704"/>
          </w:p>
        </w:tc>
      </w:tr>
      <w:tr>
        <w:trPr/>
        <w:tc>
          <w:tcPr>
            <w:tcW w:w="4130"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1,600</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bookmarkStart w:id="705" w:name="xdx_408_eus-gaap--ProvisionForDoubtfulAc"/>
            <w:bookmarkEnd w:id="705"/>
          </w:p>
        </w:tc>
      </w:tr>
      <w:tr>
        <w:trPr/>
        <w:tc>
          <w:tcPr>
            <w:tcW w:w="4130" w:type="dxa"/>
            <w:tcBorders/>
            <w:shd w:fill="CCEEFF" w:val="clear"/>
            <w:vAlign w:val="center"/>
          </w:tcPr>
          <w:p>
            <w:pPr>
              <w:pStyle w:val="TableContents"/>
              <w:bidi w:val="0"/>
              <w:spacing w:before="0" w:after="283"/>
              <w:jc w:val="left"/>
              <w:rPr/>
            </w:pPr>
            <w:r>
              <w:rPr/>
              <w:t>Credit loss expense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461</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bookmarkStart w:id="706" w:name="xdx_40D_ecustom--ChangeInFairValueOfDeri"/>
            <w:bookmarkEnd w:id="706"/>
          </w:p>
        </w:tc>
      </w:tr>
      <w:tr>
        <w:trPr/>
        <w:tc>
          <w:tcPr>
            <w:tcW w:w="4130" w:type="dxa"/>
            <w:tcBorders/>
            <w:shd w:fill="FFFFFF" w:val="clear"/>
            <w:vAlign w:val="center"/>
          </w:tcPr>
          <w:p>
            <w:pPr>
              <w:pStyle w:val="TableContents"/>
              <w:bidi w:val="0"/>
              <w:spacing w:before="0" w:after="283"/>
              <w:jc w:val="left"/>
              <w:rPr/>
            </w:pPr>
            <w:r>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1,617</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07" w:name="xdx_40D_eus-gaap--GainsLossesOnExtinguis"/>
            <w:bookmarkEnd w:id="707"/>
          </w:p>
        </w:tc>
      </w:tr>
      <w:tr>
        <w:trPr/>
        <w:tc>
          <w:tcPr>
            <w:tcW w:w="413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 </w:t>
            </w:r>
            <w:bookmarkStart w:id="708" w:name="xdx_404_eus-gaap--NetIncomeLoss_iT_pn3n3"/>
            <w:bookmarkEnd w:id="708"/>
          </w:p>
        </w:tc>
      </w:tr>
      <w:tr>
        <w:trPr/>
        <w:tc>
          <w:tcPr>
            <w:tcW w:w="4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pPr>
            <w:r>
              <w:rPr/>
              <w:t>(29,578</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pPr>
            <w:r>
              <w:rPr/>
              <w:t>(15,085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09" w:name="xdx_8A0_z1Kgbwumh0e4"/>
      <w:bookmarkEnd w:id="709"/>
      <w:r>
        <w:rPr>
          <w:caps w:val="false"/>
          <w:smallCaps w:val="false"/>
        </w:rPr>
        <w:t> </w:t>
      </w:r>
    </w:p>
    <w:p>
      <w:pPr>
        <w:pStyle w:val="TextBody"/>
        <w:bidi w:val="0"/>
        <w:spacing w:before="0" w:after="0"/>
        <w:ind w:left="0" w:right="0" w:hanging="0"/>
        <w:jc w:val="both"/>
        <w:rPr>
          <w:caps w:val="false"/>
          <w:smallCaps w:val="false"/>
        </w:rPr>
      </w:pPr>
      <w:bookmarkStart w:id="710" w:name="xdx_813_zwGjYKNCCC4a"/>
      <w:bookmarkEnd w:id="71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1" w:name="sq_001"/>
      <w:bookmarkEnd w:id="71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expand markets across geographic boundaries;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the conflict between the United States, Israel and Iran, Russia’s invasion of Ukraine, the Israel/Palestine conflict and previous attacks on merchant ships in the Red Sea;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2025,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2025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2025 refers to the year ended April 30, 2025). References to “we,” “us,” “our,” and “OPT” refer to Ocean Power Technologies, Inc. and its subsidiaries,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business description from that disclosed in our Annual Report on Form 10-K for the year ended April 30, 2025, filed with the SEC on July 24, 2025, and our Quarterly Report on Form 10-Q for the quarter ended July 31, 2025, filed with the SEC on September 15, 2025, except as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and as described in more detail below, we issued an additional $6.5 million of convertible notes to institutional investors, and increased our backlog from comparable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2026, the Company incurred a net loss of approximately $29.6 million and used cash in operations of approximately $19.9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we entered into an At Market Issuance Sales Agreement (the “Sales Agreement”) with Ladenburg Thalmann &amp; Co. Inc. under which we may offer and sell, from time to time, shares of our common stock having an aggregate gross sales price of up to $40.0 million. We intend to use any net proceeds for general corporate purposes, including sales and marketing, product development, working capital, capital expenditures, repayment or refinancing of indebtedness, repurchases or redemptions of securities, and potential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facility replaced our prior ATM program, which was terminated effective August 8,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issued $10.0 million aggregate principal amount of convertible notes with a 24-month maturity, receiving net proceeds of $9.7 million. The notes are convertible into shares of our common stock under specified terms, and conversion could result in dilution to existing shareholders. On October 7, 2025, the Company issued and sold to the investors $6.5 million of additional notes. There are $8.5 million of additional notes available under the purchase agreement with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2026, backlog was $19.9 million, compared to $7.5 million at January 31, 2025. Backlog represents unfulfilled purchase orders and agreements with commercial and governmental customers. The Company expects to convert all current backlog within the next 12 to 36 months. The amount and timing of backlog conversion to revenue is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for the year ended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FASB issued certain Accounting Standards Updates (“ASUs”) that may be relevant to the Company’s operations and financial reporting. We are currently evaluating the potential impact of these ASUs and adopting them when applicable based on their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 for the annual period ending April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March 17, 2026,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line items in our Statements of Operations and some of the factors that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The following table shows the percentage of our revenues by geographical location of our customers for the three and three months ended January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0"/>
        <w:gridCol w:w="60"/>
        <w:gridCol w:w="174"/>
        <w:gridCol w:w="1092"/>
        <w:gridCol w:w="617"/>
        <w:gridCol w:w="172"/>
        <w:gridCol w:w="174"/>
        <w:gridCol w:w="1092"/>
        <w:gridCol w:w="215"/>
        <w:gridCol w:w="60"/>
        <w:gridCol w:w="167"/>
        <w:gridCol w:w="1050"/>
        <w:gridCol w:w="593"/>
        <w:gridCol w:w="165"/>
        <w:gridCol w:w="167"/>
        <w:gridCol w:w="1050"/>
        <w:gridCol w:w="237"/>
      </w:tblGrid>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w:t>
            </w:r>
          </w:p>
        </w:tc>
        <w:tc>
          <w:tcPr>
            <w:tcW w:w="237" w:type="dxa"/>
            <w:tcBorders/>
            <w:vAlign w:val="center"/>
          </w:tcPr>
          <w:p>
            <w:pPr>
              <w:pStyle w:val="TableContents"/>
              <w:bidi w:val="0"/>
              <w:spacing w:before="0" w:after="283"/>
              <w:jc w:val="left"/>
              <w:rPr/>
            </w:pPr>
            <w:r>
              <w:rPr/>
              <w:t> </w:t>
            </w:r>
          </w:p>
        </w:tc>
      </w:tr>
      <w:tr>
        <w:trPr/>
        <w:tc>
          <w:tcPr>
            <w:tcW w:w="3120" w:type="dxa"/>
            <w:tcBorders>
              <w:bottom w:val="single" w:sz="8" w:space="0" w:color="000000"/>
            </w:tcBorders>
            <w:tcMar>
              <w:bottom w:w="28" w:type="dxa"/>
            </w:tcMar>
            <w:vAlign w:val="center"/>
          </w:tcPr>
          <w:p>
            <w:pPr>
              <w:pStyle w:val="TableContents"/>
              <w:bidi w:val="0"/>
              <w:spacing w:before="0" w:after="283"/>
              <w:jc w:val="left"/>
              <w:rPr>
                <w:b/>
              </w:rPr>
            </w:pPr>
            <w:r>
              <w:rPr>
                <w:b/>
              </w:rPr>
              <w:t>Customer Location*</w:t>
            </w:r>
          </w:p>
        </w:tc>
        <w:tc>
          <w:tcPr>
            <w:tcW w:w="60"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7" w:type="dxa"/>
            <w:tcBorders/>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pPr>
            <w:r>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16</w:t>
            </w:r>
          </w:p>
        </w:tc>
        <w:tc>
          <w:tcPr>
            <w:tcW w:w="617"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17</w:t>
            </w:r>
          </w:p>
        </w:tc>
        <w:tc>
          <w:tcPr>
            <w:tcW w:w="593" w:type="dxa"/>
            <w:tcBorders/>
            <w:shd w:fill="CCEEFF" w:val="clear"/>
            <w:vAlign w:val="center"/>
          </w:tcPr>
          <w:p>
            <w:pPr>
              <w:pStyle w:val="TableContents"/>
              <w:bidi w:val="0"/>
              <w:spacing w:before="0" w:after="283"/>
              <w:jc w:val="left"/>
              <w:rPr/>
            </w:pPr>
            <w:r>
              <w:rPr/>
              <w:t>%</w:t>
            </w:r>
          </w:p>
        </w:tc>
        <w:tc>
          <w:tcPr>
            <w:tcW w:w="16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67</w:t>
            </w:r>
          </w:p>
        </w:tc>
        <w:tc>
          <w:tcPr>
            <w:tcW w:w="237" w:type="dxa"/>
            <w:tcBorders/>
            <w:shd w:fill="CCEEFF" w:val="clear"/>
            <w:vAlign w:val="center"/>
          </w:tcPr>
          <w:p>
            <w:pPr>
              <w:pStyle w:val="TableContents"/>
              <w:bidi w:val="0"/>
              <w:spacing w:before="0" w:after="283"/>
              <w:jc w:val="left"/>
              <w:rPr/>
            </w:pPr>
            <w:r>
              <w:rPr/>
              <w:t>%</w:t>
            </w:r>
          </w:p>
        </w:tc>
      </w:tr>
      <w:tr>
        <w:trPr/>
        <w:tc>
          <w:tcPr>
            <w:tcW w:w="3120" w:type="dxa"/>
            <w:tcBorders/>
            <w:shd w:fill="FFFFFF" w:val="clear"/>
            <w:vAlign w:val="center"/>
          </w:tcPr>
          <w:p>
            <w:pPr>
              <w:pStyle w:val="TableContents"/>
              <w:bidi w:val="0"/>
              <w:spacing w:before="0" w:after="283"/>
              <w:jc w:val="left"/>
              <w:rPr/>
            </w:pPr>
            <w:r>
              <w:rPr/>
              <w:t>EMEA</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26</w:t>
            </w:r>
          </w:p>
        </w:tc>
        <w:tc>
          <w:tcPr>
            <w:tcW w:w="617" w:type="dxa"/>
            <w:tcBorders/>
            <w:shd w:fill="FFFFFF" w:val="clear"/>
            <w:vAlign w:val="center"/>
          </w:tcPr>
          <w:p>
            <w:pPr>
              <w:pStyle w:val="TableContents"/>
              <w:bidi w:val="0"/>
              <w:spacing w:before="0" w:after="283"/>
              <w:jc w:val="left"/>
              <w:rPr/>
            </w:pPr>
            <w:r>
              <w:rPr/>
              <w:t>%</w:t>
            </w:r>
          </w:p>
        </w:tc>
        <w:tc>
          <w:tcPr>
            <w:tcW w:w="172"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61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61</w:t>
            </w:r>
          </w:p>
        </w:tc>
        <w:tc>
          <w:tcPr>
            <w:tcW w:w="593" w:type="dxa"/>
            <w:tcBorders/>
            <w:shd w:fill="FFFFFF" w:val="clear"/>
            <w:vAlign w:val="center"/>
          </w:tcPr>
          <w:p>
            <w:pPr>
              <w:pStyle w:val="TableContents"/>
              <w:bidi w:val="0"/>
              <w:spacing w:before="0" w:after="283"/>
              <w:jc w:val="left"/>
              <w:rPr/>
            </w:pPr>
            <w:r>
              <w:rPr/>
              <w:t>%</w:t>
            </w:r>
          </w:p>
        </w:tc>
        <w:tc>
          <w:tcPr>
            <w:tcW w:w="165"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33</w:t>
            </w:r>
          </w:p>
        </w:tc>
        <w:tc>
          <w:tcPr>
            <w:tcW w:w="237" w:type="dxa"/>
            <w:tcBorders/>
            <w:shd w:fill="FFFFFF" w:val="clear"/>
            <w:vAlign w:val="center"/>
          </w:tcPr>
          <w:p>
            <w:pPr>
              <w:pStyle w:val="TableContents"/>
              <w:bidi w:val="0"/>
              <w:spacing w:before="0" w:after="283"/>
              <w:jc w:val="left"/>
              <w:rPr/>
            </w:pPr>
            <w:r>
              <w:rPr/>
              <w:t>%</w:t>
            </w:r>
          </w:p>
        </w:tc>
      </w:tr>
      <w:tr>
        <w:trPr/>
        <w:tc>
          <w:tcPr>
            <w:tcW w:w="3120" w:type="dxa"/>
            <w:tcBorders/>
            <w:shd w:fill="CCEEFF" w:val="clear"/>
            <w:vAlign w:val="center"/>
          </w:tcPr>
          <w:p>
            <w:pPr>
              <w:pStyle w:val="TableContents"/>
              <w:bidi w:val="0"/>
              <w:spacing w:before="0" w:after="283"/>
              <w:jc w:val="left"/>
              <w:rPr/>
            </w:pPr>
            <w:r>
              <w:rPr/>
              <w:t>Asia &amp; Australia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617"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593" w:type="dxa"/>
            <w:tcBorders/>
            <w:shd w:fill="CCEEFF" w:val="clear"/>
            <w:vAlign w:val="center"/>
          </w:tcPr>
          <w:p>
            <w:pPr>
              <w:pStyle w:val="TableContents"/>
              <w:bidi w:val="0"/>
              <w:spacing w:before="0" w:after="283"/>
              <w:jc w:val="left"/>
              <w:rPr/>
            </w:pPr>
            <w:r>
              <w:rPr/>
              <w:t>%</w:t>
            </w:r>
          </w:p>
        </w:tc>
        <w:tc>
          <w:tcPr>
            <w:tcW w:w="165"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w:t>
            </w:r>
          </w:p>
        </w:tc>
      </w:tr>
      <w:tr>
        <w:trPr/>
        <w:tc>
          <w:tcPr>
            <w:tcW w:w="3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617" w:type="dxa"/>
            <w:tcBorders/>
            <w:shd w:fill="FFFFFF" w:val="clear"/>
            <w:vAlign w:val="center"/>
          </w:tcPr>
          <w:p>
            <w:pPr>
              <w:pStyle w:val="TableContents"/>
              <w:bidi w:val="0"/>
              <w:spacing w:before="0" w:after="283"/>
              <w:jc w:val="left"/>
              <w:rPr/>
            </w:pPr>
            <w:r>
              <w:rPr/>
              <w:t>%</w:t>
            </w:r>
          </w:p>
        </w:tc>
        <w:tc>
          <w:tcPr>
            <w:tcW w:w="172"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593" w:type="dxa"/>
            <w:tcBorders/>
            <w:shd w:fill="FFFFFF" w:val="clear"/>
            <w:vAlign w:val="center"/>
          </w:tcPr>
          <w:p>
            <w:pPr>
              <w:pStyle w:val="TableContents"/>
              <w:bidi w:val="0"/>
              <w:spacing w:before="0" w:after="283"/>
              <w:jc w:val="left"/>
              <w:rPr/>
            </w:pPr>
            <w:r>
              <w:rPr/>
              <w:t>%</w:t>
            </w:r>
          </w:p>
        </w:tc>
        <w:tc>
          <w:tcPr>
            <w:tcW w:w="165"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7"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 U.S. Government contracts, the revenue is classified as North American however, location of operations may differ.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subcontracts, incurred materials, labor and manufacturing overhead expenses, such as engineering expenses,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process of winding down its Australian subsidiary during fiscal 2024 and its UK subsidiary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January 31, 2026 compared to the three months ended January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three months ended January 31, 2026 and 2025.</w:t>
      </w:r>
    </w:p>
    <w:p>
      <w:pPr>
        <w:pStyle w:val="TextBody"/>
        <w:bidi w:val="0"/>
        <w:spacing w:before="0" w:after="0"/>
        <w:ind w:left="0" w:right="0" w:hanging="0"/>
        <w:jc w:val="left"/>
        <w:rPr>
          <w:caps w:val="false"/>
          <w:smallCaps w:val="false"/>
        </w:rPr>
      </w:pPr>
      <w:r>
        <w:rPr>
          <w:caps w:val="false"/>
          <w:smallCaps w:val="false"/>
        </w:rPr>
        <w:t> </w:t>
      </w:r>
    </w:p>
    <w:tbl>
      <w:tblPr>
        <w:tblW w:w="6852" w:type="dxa"/>
        <w:jc w:val="left"/>
        <w:tblInd w:w="0" w:type="dxa"/>
        <w:tblLayout w:type="fixed"/>
        <w:tblCellMar>
          <w:top w:w="0" w:type="dxa"/>
          <w:left w:w="0" w:type="dxa"/>
          <w:bottom w:w="0" w:type="dxa"/>
          <w:right w:w="0" w:type="dxa"/>
        </w:tblCellMar>
      </w:tblPr>
      <w:tblGrid>
        <w:gridCol w:w="3290"/>
        <w:gridCol w:w="60"/>
        <w:gridCol w:w="260"/>
        <w:gridCol w:w="1404"/>
        <w:gridCol w:w="176"/>
        <w:gridCol w:w="111"/>
        <w:gridCol w:w="260"/>
        <w:gridCol w:w="118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January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6"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4" w:type="dxa"/>
            <w:gridSpan w:val="2"/>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513</w:t>
            </w:r>
          </w:p>
        </w:tc>
        <w:tc>
          <w:tcPr>
            <w:tcW w:w="176"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825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1,268</w:t>
            </w:r>
          </w:p>
        </w:tc>
        <w:tc>
          <w:tcPr>
            <w:tcW w:w="176"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(755</w:t>
            </w:r>
          </w:p>
        </w:tc>
        <w:tc>
          <w:tcPr>
            <w:tcW w:w="176"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197</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8,363</w:t>
            </w:r>
          </w:p>
        </w:tc>
        <w:tc>
          <w:tcPr>
            <w:tcW w:w="176"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6,072</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(9,118</w:t>
            </w:r>
          </w:p>
        </w:tc>
        <w:tc>
          <w:tcPr>
            <w:tcW w:w="176"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(5,875</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(726</w:t>
            </w:r>
          </w:p>
        </w:tc>
        <w:tc>
          <w:tcPr>
            <w:tcW w:w="176"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96</w:t>
            </w:r>
          </w:p>
        </w:tc>
        <w:tc>
          <w:tcPr>
            <w:tcW w:w="176"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(1,617</w:t>
            </w:r>
          </w:p>
        </w:tc>
        <w:tc>
          <w:tcPr>
            <w:tcW w:w="176"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76"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(11,366</w:t>
            </w:r>
          </w:p>
        </w:tc>
        <w:tc>
          <w:tcPr>
            <w:tcW w:w="176"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(6,720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6"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jc w:val="right"/>
              <w:rPr/>
            </w:pPr>
            <w:r>
              <w:rPr/>
              <w:t>(11,366</w:t>
            </w:r>
          </w:p>
        </w:tc>
        <w:tc>
          <w:tcPr>
            <w:tcW w:w="176"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double" w:sz="6" w:space="0" w:color="000000"/>
            </w:tcBorders>
            <w:shd w:fill="CCEEFF" w:val="clear"/>
            <w:tcMar>
              <w:bottom w:w="28" w:type="dxa"/>
            </w:tcMar>
            <w:vAlign w:val="center"/>
          </w:tcPr>
          <w:p>
            <w:pPr>
              <w:pStyle w:val="TableContents"/>
              <w:bidi w:val="0"/>
              <w:spacing w:before="0" w:after="283"/>
              <w:jc w:val="right"/>
              <w:rPr/>
            </w:pPr>
            <w:r>
              <w:rPr/>
              <w:t>(6,720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January 31, 2026 and 2025 were approximately $0.5 million and $0.8 million, respectively. The year-over-year decline in revenue was largely driven by timing impacts associated with the U.S. federal government shutdown. These disruptions shifted a number of OPT deliverables and development activities into subsequent quarters, which reduced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January 31, 2026 and 2025 increased to $1.3 million from $0.6 million, respectively. The year-over-year increase is related primarily to full recognition of losses associated with contracts in strategically important markets. The expenses associated with these projects are now substantially complete, although they will continue to generate revenue over the next several months. Importantly, our core programs and commercial pipeline continue to demonstrate improving margin quality and operating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January 31, 2026 and 2025 were $8.4 million and $6.1 million, respectively. The increase of approximately $2.3 million was primarily the result of the significant increases in share-based compensation of $1.8 million and increases in employee related expenses of $0.5 million compared to prior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(expense)/income for the three months ended January 31, 2026 and 2025 was $(726,000) and $6,000, respectively, with the change primarily related to interest expenses associated with the May and October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three months ended January 31, 2026 and 2025 was $96,000 and (13,000), respectively. This change is due to insurance proceeds in the current year, whereas the prior year expense was related to realized foreign exchange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derivatives for the three months ended January 31, 2026 and 2025 was $1.6 million and zero respectively. The increase is a result of the fair value of the current years derivative in association with the convertible debt issued in May and October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of debt of $0.8 million for the period ended January 31, 2025 relates to convertible notes issued in December 2024 that were converted to common stock in December 2024. There was no similar loss in the comparable current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Nine months ended January 31, 2026 compared to the nine months ended January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nine months ended January 31, 2026 and 2025.</w:t>
      </w:r>
    </w:p>
    <w:p>
      <w:pPr>
        <w:pStyle w:val="TextBody"/>
        <w:bidi w:val="0"/>
        <w:spacing w:before="0" w:after="0"/>
        <w:ind w:left="0" w:right="0" w:hanging="0"/>
        <w:jc w:val="left"/>
        <w:rPr>
          <w:caps w:val="false"/>
          <w:smallCaps w:val="false"/>
        </w:rPr>
      </w:pPr>
      <w:r>
        <w:rPr>
          <w:caps w:val="false"/>
          <w:smallCaps w:val="false"/>
        </w:rPr>
        <w:t> </w:t>
      </w:r>
    </w:p>
    <w:tbl>
      <w:tblPr>
        <w:tblW w:w="6717" w:type="dxa"/>
        <w:jc w:val="left"/>
        <w:tblInd w:w="0" w:type="dxa"/>
        <w:tblLayout w:type="fixed"/>
        <w:tblCellMar>
          <w:top w:w="0" w:type="dxa"/>
          <w:left w:w="0" w:type="dxa"/>
          <w:bottom w:w="0" w:type="dxa"/>
          <w:right w:w="0" w:type="dxa"/>
        </w:tblCellMar>
      </w:tblPr>
      <w:tblGrid>
        <w:gridCol w:w="3290"/>
        <w:gridCol w:w="60"/>
        <w:gridCol w:w="234"/>
        <w:gridCol w:w="1265"/>
        <w:gridCol w:w="159"/>
        <w:gridCol w:w="100"/>
        <w:gridCol w:w="234"/>
        <w:gridCol w:w="1265"/>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January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2,119</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4,545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4,277</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3,106</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(2,158</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1,439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24,160</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15,702</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(26,318</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(14,263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(1,600</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(32</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(1,617</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Foreign exchange gain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(29,578</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(15,085</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(29,578</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(15,085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January 31, 2026 and 2025 were approximately $2.1 million and $4.5 million, respectively. The year-over-year decrease is primarily related to the timing of deliveries on current year projects versus the prior year contracts of WAM-Vs.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January 31, 2026 and 2025 increased to $4.3 million from $3.1 million, respectively. The year-over-year increase is related primarily to full recognition of one-time losses associated with contracts in strategically important markets. The expenses associated with these projects are now substantially complete, although they will continue to generate revenue over the next several months. Importantly, our core programs and commercial pipeline continue to demonstrate improving margin quality and operating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nine months ended January 31, 2026 and 2025 were $24.2 million and $15.7 million, respectively. The increase of approximately $8.5 million was primarily the result of the significant increases in share-based compensation of $6.5 million, increases in employee-related expenses of $1.5 million, an increase in product development costs of $0.5 million, and increases in general and administrative fees of $0.5 million, offset partially by decreases in professional fees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(expense)/income for the nine months ended January 31, 2026 and 2025 was ($1.6) million and $13,000, respectively, with the change primarily related to interest expenses associated with the May and October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 for the nine months ended January 31, 2026 and 2025 was $(32,000) and 4,000, respectively, with the change primarily related to a litigation settlement of $195,000, offset by insurance proceeds of $163,000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derivatives for the nine months ended January 31, 2026 and 2025 was $1.6 million and zero respectively. The increase is a result of the fair value of the current years derivative in association with the convertible debt issued in May and October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of debt of $0.8 million as of January 31, 2025 relates to convertible notes issued in December 2024 that were converted to common stock in December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relate primarily to working capital needed to operate and grow our business including funding operating expenses. We have experienced and continue to experience negative cash flows from operations and net losses. The Company incurred net losses of $29.6 million and $15.1 million for the nine months ended January 31, 2026 and 2025, respectively. Refer to “Liquidity Outlook”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2026, net cash used in operating activities was $19.9 million, an increase of of $5.3 million compared to net cash used in operating activities during the nine months ended January 31, 2025 of $14.6 million. This primarily reflects an increase in net loss of $13.8 million, account receivable, and inventory on hand, partially offset an increase in accounts payable, contract liabilities, and equity compensation in the current year versus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nine months ended January 31, 2026 was $1.8 million, compared to $0.4 million during the nine months ended January 31, 2025, a change of $1.4 million. The net cash used in investing activities during the nine months ended January 31, 2026 was due to the purchase of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nine months ended January 31, 2026 and January 31, 2025 was $22.0 million and $21.9 million, respectively. The current year activity was driven by the proceeds raised related to the issuance of the May and October 2025 convertible notes of $17.6 million and ATM proceeds of $5.2 million, and the prior year activity was related primarily to ATM proceeds of $16.8 million, $3.2 million in proceeds related to convertible debt issued in December 2024, and proceeds from other capital rases of $2.5 million discussed above under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material effect of exchange rates on cash and cash equivalents during either the three or nine months ended January 31, 2026 and January 31, 2025.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cash flows from customer revenues have not been sufficient to fund our operations and provide the capital resources for our business. As of January 31, 2026, our year-to-date revenues were $2.1 million, our year-to-date net losses were $29.6 million, and our year-to-date net cash used in operating activities was $19.9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devote substantial resources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and the potential that this affects the demand for, or restrict the use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expand markets across geographic boundaries;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the conflict between the United States, Israel and Iran, Russia’s invasion of Ukraine, the Israel/Palestine conflict and previous attacks on merchant ships in the Red Sea;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through January 31, 2026, we have been funding our business principally through sales of our securities. As of January 31, 2026, our cash and cash equivalents and long-term restricted cash balance was $7.2 million and we expect to fund our business with this amount and, to a lesser extent, with our cash flow generated from operations. Management believes the Company’s current cash and cash equivalents, and short term investments, may not be sufficient to fund its planned expenditures through March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2" w:name="sq_002"/>
      <w:bookmarkEnd w:id="71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3" w:name="sq_003"/>
      <w:bookmarkEnd w:id="713"/>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we carried out an evaluation, under the supervision and with the participation of our management, including our CEO and CFO, of the effectiveness of the design and operation of our disclosure controls based upon the framework presented in “Internal Control-Integrated Framework” (2013) issued by the Committee of Sponsoring Organizations of the Treadway Commission (“COSO”). Based on that evaluation, our CEO and CFO concluded that these disclosure controls and procedures were effective as of January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nine months ended January 31,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4" w:name="sq_004"/>
      <w:bookmarkEnd w:id="714"/>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5" w:name="sq_005"/>
      <w:bookmarkEnd w:id="715"/>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matters in dispute, see Note 14 to the Consolidated Financial Statements under Part I, Item 1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6" w:name="sq_006"/>
      <w:bookmarkEnd w:id="716"/>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our business and operations should be read together with the risk factors contained in Item 1A of our Annual Report on Form 10-K for the year ended April 30, 2025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adopt and use artificial intelligence could have a material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adoption and use of artificial intelligence (“AI”) technologies are rapidly transforming our industry, enabling faster data analysis and automation through machine learning and predictive modeling. Many of our competitors are investing heavily in AI-driven capabilities to enhance customer acquisition, personalization, pricing optimization, supply chain efficiency, product development, and marketing effectiveness. If we are unable to adopt and deploy AI effectively as quickly as our competitors, it may cause us to be relatively less productive or innovative, adversely impacting our competitiveness, our ability to effectively execute our strategic transformation and requiring additional investments that increase our costs. Laws and regulations regarding AI are rapidly evolving as well, including in the areas of data privacy, cybersecurity, intellectual property, and data protections. Compliance with new or changing laws, regulations, or industry standards relating to AI may impose significant operational and financial burdens and may limit our ability to develop, deploy, or use AI in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doubts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cash balance may not be sufficient to fund our planned expenditures through twelve months from the filing date of this Form 10-Q. These conditions raise substantial doubt about our ability to continue as a going concern. The ability to continue as a going concern is dependent upon our operations in the future and/or obtaining the necessary financing to meet our obligations and repay our liabilities arising from normal business operations when they become due. The accompanying consolidated financial statements have been prepared on a basis which assumes we are a going concern and do not include any adjustments to reflect the possible future effects on the recoverability and classification of assets or the amounts and classifications of liabilities that may result from any uncertainty related to our ability to continue as a going concern. Such adjustments could be material. There can be no assurance that sufficient funds required during the next year or thereafter will be generated from operations or that funds will be available from external sources, such as debt or equity financings or other potential sources. The lack of additional capital resulting from the inability to generate cash flow from operations, or to raise capital from external sources would have a material adverse effect on its business. Furthermore, there can be no assurance that any such required funds, if available, will be available on attractive terms or that they will not have a significant dilutive effect on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or difficulties in converting backlog into revenue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2026, our backlog was $19.9 million, a significant increase compared to the prior year. While backlog represents business under contract that we expect to recognize as revenue, the timing of conversion is uncertain and may be delayed due to changes in customer schedules, contract modifications, regulatory approvals, or other factors beyond our control. If we are unable to convert backlog into revenue as anticipated, our results of operations and cash flows could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sq_007"/>
      <w:bookmarkEnd w:id="717"/>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8" w:name="sq_008"/>
      <w:bookmarkEnd w:id="718"/>
      <w:r>
        <w:rPr>
          <w:rFonts w:ascii="Times New Roman;Times;Serif" w:hAnsi="Times New Roman;Times;Serif"/>
          <w:b/>
          <w:i w:val="false"/>
          <w:caps w:val="false"/>
          <w:smallCaps w:val="false"/>
          <w:sz w:val="20"/>
        </w:rPr>
        <w:t xml:space="preserve">Item 3. </w:t>
      </w:r>
      <w:r>
        <w:rPr>
          <w:rFonts w:ascii="Times New Roman;Times;Serif" w:hAnsi="Times New Roman;Times;Serif"/>
          <w:b/>
          <w:i/>
          <w:caps w:val="false"/>
          <w:smallCaps w:val="false"/>
          <w:sz w:val="20"/>
        </w:rPr>
        <w:t>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9" w:name="sq_009"/>
      <w:bookmarkEnd w:id="719"/>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0" w:name="sq_010"/>
      <w:bookmarkEnd w:id="720"/>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1" w:name="sq_011"/>
      <w:bookmarkEnd w:id="721"/>
      <w:r>
        <w:rPr>
          <w:rFonts w:ascii="Times New Roman;Times;Serif" w:hAnsi="Times New Roman;Times;Serif"/>
          <w:b/>
          <w:i w:val="false"/>
          <w:caps w:val="false"/>
          <w:smallCaps w:val="false"/>
          <w:sz w:val="20"/>
        </w:rPr>
        <w:t xml:space="preserve">Item 6. </w:t>
      </w:r>
      <w:r>
        <w:rPr>
          <w:rFonts w:ascii="Times New Roman;Times;Serif" w:hAnsi="Times New Roman;Times;Serif"/>
          <w:b/>
          <w:i/>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38"/>
        <w:gridCol w:w="9597"/>
      </w:tblGrid>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r>
              <w:rPr>
                <w:rFonts w:ascii="Times New Roman;Times;Serif" w:hAnsi="Times New Roman;Times;Serif"/>
                <w:b w:val="false"/>
                <w:i w:val="false"/>
                <w:caps w:val="false"/>
                <w:smallCaps w:val="false"/>
                <w:sz w:val="20"/>
              </w:rPr>
              <w:t xml:space="preserve"> </w:t>
            </w:r>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Quarterly Report on Form 10-Q for the quarter ended January 31, 2026, formatted in eXtensible Business Reporting Language (XBRL): (i) Consolidated Balance Sheets – January 31, 2026 (unaudited) and April 30, 2025, (ii) Consolidated Statements of Operations (unaudited) – three and three months ended January 31, 2026 and 2023, (iii) Consolidated Statements of Comprehensive Loss (unaudited) – three and three months ended January 31, 2026 and 2021, (iv) Consolidated Statement of Shareholders’ Equity (unaudited) – three and three months ended January 31, 2026 and 2023 (v) Consolidated Statements of Cash Flows (unaudited) –three months ended January 31, 2026 and 2023, (vi) Notes to Consolidated Financial Statements.**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hyperlink w:anchor="TableOfContents">
              <w:r>
                <w:rPr>
                  <w:rStyle w:val="InternetLink"/>
                </w:rPr>
                <w:t>Table of Contents</w:t>
              </w:r>
            </w:hyperlink>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805"/>
        <w:gridCol w:w="365"/>
        <w:gridCol w:w="4130"/>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Ocean Power Technologies,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ind w:left="0" w:right="0" w:hanging="0"/>
        <w:jc w:val="center"/>
        <w:rPr>
          <w:caps w:val="false"/>
          <w:smallCaps w:val="false"/>
        </w:rPr>
      </w:pPr>
      <w:bookmarkStart w:id="722" w:name="ex31-1.htm"/>
      <w:bookmarkStart w:id="723" w:name="ksex311"/>
      <w:bookmarkEnd w:id="722"/>
      <w:bookmarkEnd w:id="7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Philipp Stratmann,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17, 2026</w:t>
            </w:r>
          </w:p>
        </w:tc>
        <w:tc>
          <w:tcPr>
            <w:tcW w:w="31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Philipp Stratmann</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 Stratmann</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724" w:name="ex31-2.htm"/>
      <w:bookmarkStart w:id="725" w:name="ksex312"/>
      <w:bookmarkEnd w:id="724"/>
      <w:bookmarkEnd w:id="7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17, 2026</w:t>
            </w:r>
          </w:p>
        </w:tc>
        <w:tc>
          <w:tcPr>
            <w:tcW w:w="41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Powers</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Powers</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726" w:name="ex32-1.htm"/>
      <w:bookmarkStart w:id="727" w:name="ksex321"/>
      <w:bookmarkEnd w:id="726"/>
      <w:bookmarkEnd w:id="72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2026, as filed with the Securities and Exchange Commission on the date hereof (the “Report”), the undersigned, Philipp Stratmann, President and Chief Executive Officer of the Company, hereby certifies,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17, 2026</w:t>
            </w:r>
          </w:p>
        </w:tc>
        <w:tc>
          <w:tcPr>
            <w:tcW w:w="31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Philipp Stratmann</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 Stratmann</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728" w:name="ex32-2.htm"/>
      <w:bookmarkStart w:id="729" w:name="ksex322"/>
      <w:bookmarkEnd w:id="728"/>
      <w:bookmarkEnd w:id="7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2026,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17, 2026</w:t>
            </w:r>
          </w:p>
        </w:tc>
        <w:tc>
          <w:tcPr>
            <w:tcW w:w="41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Powers</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Powers</w:t>
            </w:r>
          </w:p>
        </w:tc>
      </w:tr>
      <w:tr>
        <w:trPr/>
        <w:tc>
          <w:tcPr>
            <w:tcW w:w="180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149315226004017/ex10-1.htm" TargetMode="External"/><Relationship Id="rId3" Type="http://schemas.openxmlformats.org/officeDocument/2006/relationships/hyperlink" Target="https://www.sec.gov/Archives/edgar/data/1378140/000149315225026037/form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21152</Words>
  <Characters>117172</Characters>
  <CharactersWithSpaces>139924</CharactersWithSpaces>
  <Paragraphs>6455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