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240" w:right="1300" w:hanging="3033"/>
        <w:spacing w:after="0" w:line="501" w:lineRule="auto"/>
        <w:tabs>
          <w:tab w:leader="none" w:pos="97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2019</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80" w:hanging="153"/>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 to 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22-2535818</w:t>
            </w:r>
          </w:p>
        </w:tc>
      </w:tr>
      <w:tr>
        <w:trPr>
          <w:trHeight w:val="196"/>
        </w:trPr>
        <w:tc>
          <w:tcPr>
            <w:tcW w:w="56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1" w:right="239" w:bottom="1440" w:gutter="0" w:footer="0" w:header="0"/>
        </w:sectPr>
      </w:pPr>
    </w:p>
    <w:p>
      <w:pPr>
        <w:spacing w:after="0" w:line="1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[X]</w:t>
      </w:r>
    </w:p>
    <w:p>
      <w:pPr>
        <w:spacing w:after="0" w:line="657" w:lineRule="exact"/>
        <w:rPr>
          <w:sz w:val="24"/>
          <w:szCs w:val="24"/>
          <w:color w:val="auto"/>
        </w:rPr>
      </w:pPr>
    </w:p>
    <w:p>
      <w:pPr>
        <w:sectPr>
          <w:pgSz w:w="11900" w:h="16838" w:orient="portrait"/>
          <w:cols w:equalWidth="0" w:num="4">
            <w:col w:w="2680" w:space="720"/>
            <w:col w:w="1460" w:space="720"/>
            <w:col w:w="2580" w:space="580"/>
            <w:col w:w="2680"/>
          </w:cols>
          <w:pgMar w:left="240" w:top="74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ectPr>
          <w:pgSz w:w="11900" w:h="16838" w:orient="portrait"/>
          <w:cols w:equalWidth="0" w:num="1">
            <w:col w:w="11420"/>
          </w:cols>
          <w:pgMar w:left="240" w:top="741" w:right="23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10, 2019, the number of outstanding shares of common stock of the registrant was 5,771,134.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20" w:type="dxa"/>
            <w:vAlign w:val="bottom"/>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96"/>
        </w:trPr>
        <w:tc>
          <w:tcPr>
            <w:tcW w:w="20" w:type="dxa"/>
            <w:vAlign w:val="bottom"/>
          </w:tcPr>
          <w:p>
            <w:pPr>
              <w:spacing w:after="0"/>
              <w:rPr>
                <w:sz w:val="17"/>
                <w:szCs w:val="17"/>
                <w:color w:val="auto"/>
              </w:rPr>
            </w:pPr>
          </w:p>
        </w:tc>
        <w:tc>
          <w:tcPr>
            <w:tcW w:w="32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 FINANCIAL INFORMATION</w:t>
              </w:r>
            </w:hyperlink>
          </w:p>
        </w:tc>
        <w:tc>
          <w:tcPr>
            <w:tcW w:w="75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2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July 31, 2019 (unaudited) and April 30, 2019</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8"/>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Operations for the three months ended July 31, 2019 and 2018</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2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Statements of Comprehensive Loss for the three months ended July 31, 2019 and 2018</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 of Stockholders’ Equity for the three months ended July 31, 2019</w:t>
              </w:r>
            </w:hyperlink>
          </w:p>
        </w:tc>
        <w:tc>
          <w:tcPr>
            <w:tcW w:w="23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Consolidated Statements of Cash Flows for the three months ended July 31, 2019 and 2018</w:t>
              </w:r>
            </w:hyperlink>
          </w:p>
        </w:tc>
        <w:tc>
          <w:tcPr>
            <w:tcW w:w="30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0" w:type="dxa"/>
            <w:vAlign w:val="bottom"/>
            <w:gridSpan w:val="19"/>
          </w:tcPr>
          <w:p>
            <w:pPr>
              <w:ind w:left="18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Consolidated Financial Statements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3. Quantitative and Qualitative Disclosures About Market Risk</w:t>
              </w:r>
            </w:hyperlink>
          </w:p>
        </w:tc>
        <w:tc>
          <w:tcPr>
            <w:tcW w:w="35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Item 4. Controls and Procedures</w:t>
              </w:r>
            </w:hyperlink>
          </w:p>
        </w:tc>
        <w:tc>
          <w:tcPr>
            <w:tcW w:w="82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20" w:type="dxa"/>
            <w:vAlign w:val="bottom"/>
          </w:tcPr>
          <w:p>
            <w:pPr>
              <w:spacing w:after="0"/>
              <w:rPr>
                <w:sz w:val="15"/>
                <w:szCs w:val="15"/>
                <w:color w:val="auto"/>
              </w:rPr>
            </w:pPr>
          </w:p>
        </w:tc>
        <w:tc>
          <w:tcPr>
            <w:tcW w:w="10760" w:type="dxa"/>
            <w:vAlign w:val="bottom"/>
            <w:gridSpan w:val="20"/>
          </w:tcPr>
          <w:p>
            <w:pPr>
              <w:spacing w:after="0" w:line="176" w:lineRule="exact"/>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PART II — OTHER INFORMATION</w:t>
              </w:r>
            </w:hyperlink>
          </w:p>
        </w:tc>
        <w:tc>
          <w:tcPr>
            <w:tcW w:w="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1. Legal Proceedings</w:t>
              </w:r>
            </w:hyperlink>
          </w:p>
        </w:tc>
        <w:tc>
          <w:tcPr>
            <w:tcW w:w="870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1A. Risk Factors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2. Unregistered Sales of Equity Securities and Use of Proceeds</w:t>
              </w:r>
            </w:hyperlink>
          </w:p>
        </w:tc>
        <w:tc>
          <w:tcPr>
            <w:tcW w:w="56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3. Defaults Upon Senior Securities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4. Mine Safety Disclosures</w:t>
              </w:r>
            </w:hyperlink>
          </w:p>
        </w:tc>
        <w:tc>
          <w:tcPr>
            <w:tcW w:w="82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5. Other Information</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6. Exhibits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PowerBuoys®, and achieve and sustain profitability;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a commercially viable PowerBuoy®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market new products, such as a hybrid PowerBuoy® or subsea battery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PowerBuoys® and our wave energy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output, survivability and reliability of our PowerBuoys®;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strategic partners may not be successful and we may not be successful in establishing additional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through our current equity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2019,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460" w:type="dxa"/>
            <w:vAlign w:val="bottom"/>
            <w:gridSpan w:val="3"/>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24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(in $000’s, except share data)</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April 30, 2019</w:t>
            </w:r>
          </w:p>
        </w:tc>
      </w:t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13,332</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16,660</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14,107</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17,619</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57"/>
        </w:trPr>
        <w:tc>
          <w:tcPr>
            <w:tcW w:w="696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960" w:type="dxa"/>
            <w:vAlign w:val="bottom"/>
            <w:shd w:val="clear" w:color="auto" w:fill="CCEEFF"/>
          </w:tcPr>
          <w:p>
            <w:pPr>
              <w:ind w:left="158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36"/>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Power Technologies, Inc. stockholders’ equity:</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9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100,000,000 shares, issued 5,775,385 and</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5,425,517 shares, respectively</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4,251 and 3,770 shares, respectively</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226,099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226,026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(212,809)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(209,784)</w:t>
            </w: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12,828</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15,775</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52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7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8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138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Engineering and product development costs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6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2,895</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6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top w:val="single" w:sz="8" w:color="CCEEFF"/>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6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6,040,466</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907,693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 w:name="page6"/>
    <w:bookmarkEnd w:id="5"/>
    <w:p>
      <w:pPr>
        <w:ind w:left="390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5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20" w:type="dxa"/>
            <w:vAlign w:val="bottom"/>
            <w:gridSpan w:val="2"/>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(3,025)</w:t>
            </w:r>
          </w:p>
        </w:tc>
        <w:tc>
          <w:tcPr>
            <w:tcW w:w="144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31, 2019</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5"/>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 April 30, 2019</w:t>
            </w: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5,425,517</w:t>
            </w:r>
          </w:p>
        </w:tc>
        <w:tc>
          <w:tcPr>
            <w:tcW w:w="560" w:type="dxa"/>
            <w:vAlign w:val="bottom"/>
            <w:gridSpan w:val="3"/>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(3,770)</w:t>
            </w:r>
          </w:p>
        </w:tc>
        <w:tc>
          <w:tcPr>
            <w:tcW w:w="3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240" w:type="dxa"/>
            <w:vAlign w:val="bottom"/>
            <w:gridSpan w:val="3"/>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226,026</w:t>
            </w:r>
          </w:p>
        </w:tc>
        <w:tc>
          <w:tcPr>
            <w:tcW w:w="26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(209,784)</w:t>
            </w:r>
          </w:p>
        </w:tc>
        <w:tc>
          <w:tcPr>
            <w:tcW w:w="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(3,025)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Issuance/(forfeiture) of restricted stock, net</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350,000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July 31, 2019</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5,775,385</w:t>
            </w:r>
          </w:p>
        </w:tc>
        <w:tc>
          <w:tcPr>
            <w:tcW w:w="5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2"/>
                <w:szCs w:val="12"/>
                <w:color w:val="auto"/>
              </w:rPr>
              <w:t>(4,251</w:t>
            </w:r>
            <w:r>
              <w:rPr>
                <w:rFonts w:ascii="Times New Roman" w:cs="Times New Roman" w:eastAsia="Times New Roman" w:hAnsi="Times New Roman"/>
                <w:sz w:val="20"/>
                <w:szCs w:val="20"/>
                <w:color w:val="auto"/>
                <w:vertAlign w:val="superscript"/>
              </w:rPr>
              <w:t>)</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2"/>
                <w:szCs w:val="12"/>
                <w:color w:val="auto"/>
              </w:rPr>
              <w:t>(302</w:t>
            </w:r>
            <w:r>
              <w:rPr>
                <w:rFonts w:ascii="Times New Roman" w:cs="Times New Roman" w:eastAsia="Times New Roman" w:hAnsi="Times New Roman"/>
                <w:sz w:val="20"/>
                <w:szCs w:val="20"/>
                <w:color w:val="auto"/>
                <w:vertAlign w:val="superscript"/>
              </w:rPr>
              <w:t>)</w:t>
            </w:r>
          </w:p>
        </w:tc>
        <w:tc>
          <w:tcPr>
            <w:tcW w:w="2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226,099</w:t>
            </w: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2"/>
                <w:szCs w:val="12"/>
                <w:color w:val="auto"/>
              </w:rPr>
              <w:t>(212,809</w:t>
            </w:r>
            <w:r>
              <w:rPr>
                <w:rFonts w:ascii="Times New Roman" w:cs="Times New Roman" w:eastAsia="Times New Roman" w:hAnsi="Times New Roman"/>
                <w:sz w:val="20"/>
                <w:szCs w:val="20"/>
                <w:color w:val="auto"/>
                <w:vertAlign w:val="superscript"/>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260"/>
              <w:spacing w:after="0" w:line="176" w:lineRule="exact"/>
              <w:rPr>
                <w:sz w:val="20"/>
                <w:szCs w:val="20"/>
                <w:color w:val="auto"/>
              </w:rPr>
            </w:pPr>
            <w:r>
              <w:rPr>
                <w:rFonts w:ascii="Times New Roman" w:cs="Times New Roman" w:eastAsia="Times New Roman" w:hAnsi="Times New Roman"/>
                <w:sz w:val="12"/>
                <w:szCs w:val="12"/>
                <w:color w:val="auto"/>
              </w:rPr>
              <w:t>(166</w:t>
            </w:r>
            <w:r>
              <w:rPr>
                <w:rFonts w:ascii="Times New Roman" w:cs="Times New Roman" w:eastAsia="Times New Roman" w:hAnsi="Times New Roman"/>
                <w:sz w:val="20"/>
                <w:szCs w:val="20"/>
                <w:color w:val="auto"/>
                <w:vertAlign w:val="superscript"/>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 2018</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5"/>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 April 30, 2018</w:t>
            </w: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921,247</w:t>
            </w:r>
          </w:p>
        </w:tc>
        <w:tc>
          <w:tcPr>
            <w:tcW w:w="1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(3,701)</w:t>
            </w:r>
          </w:p>
        </w:tc>
        <w:tc>
          <w:tcPr>
            <w:tcW w:w="3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208,216</w:t>
            </w:r>
          </w:p>
        </w:tc>
        <w:tc>
          <w:tcPr>
            <w:tcW w:w="1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(197,538)</w:t>
            </w:r>
          </w:p>
        </w:tc>
        <w:tc>
          <w:tcPr>
            <w:tcW w:w="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(3,240)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14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July 31, 2018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922,115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60"/>
              <w:spacing w:after="0" w:line="176" w:lineRule="exact"/>
              <w:rPr>
                <w:sz w:val="20"/>
                <w:szCs w:val="20"/>
                <w:color w:val="auto"/>
              </w:rPr>
            </w:pPr>
            <w:r>
              <w:rPr>
                <w:rFonts w:ascii="Times New Roman" w:cs="Times New Roman" w:eastAsia="Times New Roman" w:hAnsi="Times New Roman"/>
                <w:sz w:val="12"/>
                <w:szCs w:val="12"/>
                <w:color w:val="auto"/>
              </w:rPr>
              <w:t>(3,701</w:t>
            </w:r>
            <w:r>
              <w:rPr>
                <w:rFonts w:ascii="Times New Roman" w:cs="Times New Roman" w:eastAsia="Times New Roman" w:hAnsi="Times New Roman"/>
                <w:sz w:val="20"/>
                <w:szCs w:val="20"/>
                <w:color w:val="auto"/>
                <w:vertAlign w:val="superscript"/>
              </w:rPr>
              <w:t>)</w:t>
            </w:r>
          </w:p>
        </w:tc>
        <w:tc>
          <w:tcPr>
            <w:tcW w:w="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2"/>
                <w:szCs w:val="12"/>
                <w:color w:val="auto"/>
              </w:rPr>
              <w:t>(300</w:t>
            </w:r>
            <w:r>
              <w:rPr>
                <w:rFonts w:ascii="Times New Roman" w:cs="Times New Roman" w:eastAsia="Times New Roman" w:hAnsi="Times New Roman"/>
                <w:sz w:val="20"/>
                <w:szCs w:val="20"/>
                <w:color w:val="auto"/>
                <w:vertAlign w:val="superscript"/>
              </w:rPr>
              <w:t>)</w:t>
            </w:r>
          </w:p>
        </w:tc>
        <w:tc>
          <w:tcPr>
            <w:tcW w:w="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208,296</w:t>
            </w:r>
          </w:p>
        </w:tc>
        <w:tc>
          <w:tcPr>
            <w:tcW w:w="180" w:type="dxa"/>
            <w:vAlign w:val="bottom"/>
            <w:shd w:val="clear" w:color="auto" w:fill="CCEEFF"/>
          </w:tcPr>
          <w:p>
            <w:pPr>
              <w:spacing w:after="0"/>
              <w:rPr>
                <w:sz w:val="15"/>
                <w:szCs w:val="15"/>
                <w:color w:val="auto"/>
              </w:rPr>
            </w:pP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80"/>
              <w:spacing w:after="0" w:line="176" w:lineRule="exact"/>
              <w:rPr>
                <w:sz w:val="20"/>
                <w:szCs w:val="20"/>
                <w:color w:val="auto"/>
              </w:rPr>
            </w:pPr>
            <w:r>
              <w:rPr>
                <w:rFonts w:ascii="Times New Roman" w:cs="Times New Roman" w:eastAsia="Times New Roman" w:hAnsi="Times New Roman"/>
                <w:sz w:val="12"/>
                <w:szCs w:val="12"/>
                <w:color w:val="auto"/>
              </w:rPr>
              <w:t>(200,778</w:t>
            </w:r>
            <w:r>
              <w:rPr>
                <w:rFonts w:ascii="Times New Roman" w:cs="Times New Roman" w:eastAsia="Times New Roman" w:hAnsi="Times New Roman"/>
                <w:sz w:val="20"/>
                <w:szCs w:val="20"/>
                <w:color w:val="auto"/>
                <w:vertAlign w:val="superscript"/>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280"/>
              <w:spacing w:after="0" w:line="176" w:lineRule="exact"/>
              <w:rPr>
                <w:sz w:val="20"/>
                <w:szCs w:val="20"/>
                <w:color w:val="auto"/>
              </w:rPr>
            </w:pPr>
            <w:r>
              <w:rPr>
                <w:rFonts w:ascii="Times New Roman" w:cs="Times New Roman" w:eastAsia="Times New Roman" w:hAnsi="Times New Roman"/>
                <w:sz w:val="12"/>
                <w:szCs w:val="12"/>
                <w:color w:val="auto"/>
              </w:rPr>
              <w:t>(156</w:t>
            </w:r>
            <w:r>
              <w:rPr>
                <w:rFonts w:ascii="Times New Roman" w:cs="Times New Roman" w:eastAsia="Times New Roman" w:hAnsi="Times New Roman"/>
                <w:sz w:val="20"/>
                <w:szCs w:val="20"/>
                <w:color w:val="auto"/>
                <w:vertAlign w:val="superscript"/>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80" w:type="dxa"/>
            <w:vAlign w:val="bottom"/>
          </w:tcPr>
          <w:p>
            <w:pPr>
              <w:ind w:left="5300"/>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gridSpan w:val="2"/>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(3,025)</w:t>
            </w:r>
          </w:p>
        </w:tc>
        <w:tc>
          <w:tcPr>
            <w:tcW w:w="144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loss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expense related to stock option grants and restricted stock</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Unbilled receivables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Contract assets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Deferred rent</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Deferred credit payable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Unearned revenue</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 in lease liability</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Contract liabilities</w:t>
            </w: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bottom w:val="single" w:sz="8" w:color="CCEEFF"/>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50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(3,605</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computers, equipment and furniture</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 associated with exercise of pre-funded warrants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capital lease obligations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bottom w:val="single" w:sz="8" w:color="CCEEFF"/>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cash used by financing activities</w:t>
            </w:r>
          </w:p>
        </w:tc>
        <w:tc>
          <w:tcPr>
            <w:tcW w:w="50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5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17,159</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50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3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computers, equipment and furniture through accrued expenses</w:t>
            </w:r>
          </w:p>
        </w:tc>
        <w:tc>
          <w:tcPr>
            <w:tcW w:w="1800" w:type="dxa"/>
            <w:vAlign w:val="bottom"/>
            <w:gridSpan w:val="2"/>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 w:name="page9"/>
    <w:bookmarkEnd w:id="8"/>
    <w:p>
      <w:pPr>
        <w:ind w:left="38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relating to our technology. Today our goal is to generate the majority our revenue from the sale or lease of products, and sales of services to support our business operations. As we continue to develop and commercialize our products and services, we expect to have a net loss of cash from operating activities unless and until we achieve positive cash flow from the commercialization of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2019 filed with the Securities and Exchange Commission (“SEC”) and elsewhere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the Company will continue as a going concern. The Company has experienced substantial and recurring losses from operations, which have contributed to an accumulated deficit of $212.8 million as of July 31, 2019. As of July 31, 2019, the Company had approximately $13.5 million in cash, cash equivalents, and restricted cash on hand. The Company generated revenues of $0.2 million and $31,000 during each of the three months ended July 31, 2019 and 2018. Based on the Company’s cash, cash equivalents and restricted cash balances as of July 31, 2019, the Company believes that it will be able to finance its capital requirements and operations into the quarter ending July 31, 2020. Among other things, the Company is currently evaluating a variety of different financing alternatives and we expect to continue to fund our business with sales of our securities and through generating revenue with customers. The Company will require additional equity and/or debt financing to continue its operations into Fiscal Year 2021.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a public offering of the Company’s equity or debt securities; partnerships and/or collaborations. There can be no assurance that any of these future-funding efforts will be successful.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2019 and during the three months ended July 31, 2019,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currently has committed sources of equity financing through its At the Market Offering Agreement with Alliance Global Partners (discussed further below), but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23, 2017, the Company sold 286,972 shares of common stock at a price of $28.40 per share in a best efforts public offering. The net proceeds to the Company from the offering were approximately $7.4 million, after deducting placement fees and offering expenses payable by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As of July 31, 2019, the Company has sold 162,162 shares of common stock with an aggregate market value of $949,259 at an average price of $5.85 per share pursuant to this common stock purchase agreement. The Company has issued all the shares available for sale under the current common stock purchase agreement.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2019, the Company entered into an At the Market Offering Agreement (“2019 ATM Facility”) with A.G.P./Alliance Global Partners (“AGP”), under which the Company may issue and sell to or through AGP, acting as agent and/or principal, shares of the Company’s common stock having an aggregate offering price of up to $25 million. As of July 31, 2019, under the 2019 ATM Facility, the Company issued and sold 151,561 shares of its common stock with an aggregate market value of $958,229 at an average price of $6.32 per share and paid AGP a sales commission of approximately $33,469 related to those shares.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Reverse Stock-Split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special meeting of the Company’s stockholders on March 8, 2019, our stockholders approved a proposal to amend our Certificate of Incorporation to affect a reverse split of our common stock at a ratio to be determined by the Company’s Board of Directors within a specific range. After the special meeting of stockholders, the Company’s Board of Directors convened and decided to initiate the reverse split, chose a ratio, and directed management to take the necessary steps to effectuate the reverse split as soon as possible. Pursuant to the direction of the Board, the Company filed a Certificate of Amendment to our Certificate of Incorporation to affect a one-for-twenty reverse stock split of our common stock (the “Reverse Stock Split”). As of the close of markets on March 11, 2019, the effective date of the Reverse Stock Split, every twenty shares of issued and outstanding common stock were combined into one issued and outstanding share of common stock, without any change in the par value per share. Any fractional shares in connection with the Reverse Stock Split were rounded up to the nearest whole share and no cash payments were made by the Company to stockholders in lieu of fractional shares. The common stock began trading on a reverse stock split-adjusted basis on the Nasdaq on March 12, 2019. All share and per share data included in this quarterly report has been retroactively restated to reflect the Reverse Stock Split.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fair value of warrant liabilities, estimated costs to complete projects; and percentage of completion of customer contracts for purposes of revenue recognition. Actual results could differ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Cash Equivalents, Restricted Cash and Security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invests excess cash in a money market account.</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17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1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Company’s cash is restricted under the terms of two security agreements.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July 31, 2019, there were no letters of credit outstanding under this agreement and the Company has transferred the cash that served as security for the letters of credit to its operating cash account.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other agreement is between the Company and Santander Bank. Under the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Restricted cash includes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40" w:type="dxa"/>
            <w:vAlign w:val="bottom"/>
            <w:gridSpan w:val="4"/>
          </w:tcPr>
          <w:p>
            <w:pPr>
              <w:jc w:val="right"/>
              <w:ind w:right="972"/>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Agreement</w:t>
            </w:r>
          </w:p>
        </w:tc>
        <w:tc>
          <w:tcPr>
            <w:tcW w:w="350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Santander Bank</w:t>
            </w:r>
          </w:p>
        </w:tc>
        <w:tc>
          <w:tcPr>
            <w:tcW w:w="20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5"/>
          </w:tcPr>
          <w:p>
            <w:pPr>
              <w:jc w:val="right"/>
              <w:ind w:right="1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short term</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 term</w:t>
            </w:r>
          </w:p>
        </w:tc>
        <w:tc>
          <w:tcPr>
            <w:tcW w:w="1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Foreign Exchange Gains and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accounts that are denominated in British pounds sterling, Euros and Australian dollars. These amounts are included in cash, cash equivalents and restricted cash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balances and accounts receivable. The Company invests its excess cash in a money market fund and does not believe that it is exposed to any significant risks related to its cash accounts and money market fund.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100" w:type="dxa"/>
            <w:vAlign w:val="bottom"/>
            <w:gridSpan w:val="2"/>
          </w:tcPr>
          <w:p>
            <w:pPr>
              <w:spacing w:after="0"/>
              <w:rPr>
                <w:sz w:val="20"/>
                <w:szCs w:val="20"/>
                <w:color w:val="auto"/>
              </w:rPr>
            </w:pPr>
          </w:p>
        </w:tc>
        <w:tc>
          <w:tcPr>
            <w:tcW w:w="17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414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41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Navy</w:t>
            </w:r>
          </w:p>
        </w:tc>
        <w:tc>
          <w:tcPr>
            <w:tcW w:w="414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1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Warrant Accounting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its public offerings in accordance with the guidance on “Accounting for Certain Financial Instruments with Characteristics of Both Liabilities and Equity” in Accounting Standards Codification (“ASC”) Topic 480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non-vested restricted stock issued to employees and non-employee directors, were excluded from the diluted loss per share calculation due to their anti-dilutive effect.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options to purchase shares of common stock, warrants on common stock and non-vested restricted stock issued to employees and non-employee directors, totaling 5,008,145 and 44,942 for the three months ended July 31, 2019 and July 31, 2018, respectively, were excluded from each of the computations as the effect would be anti-dilutive due to the Company’s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three months ended July 31, 2019 and 2018 was approximately $0.1 million and $0.1 million, respectively. The following table summarizes share-based compensation related to the Company’s share-based plans by expense category for the three months ended July 31, 2019 and 2018:</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30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gridSpan w:val="3"/>
          </w:tcPr>
          <w:p>
            <w:pPr>
              <w:jc w:val="right"/>
              <w:ind w:right="835"/>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40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40" w:type="dxa"/>
            <w:vAlign w:val="bottom"/>
            <w:gridSpan w:val="2"/>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Deferred Rent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2017, the Company signed a 7-year lease for approximately 56,000 square feet in Monroe Township, New Jersey that is being used as warehouse/production space, the Company’s principal offices and corporate headquarters. The lease was classified as an operating lease. Rent payments relating to the Monroe premises are subject to annual increases. The minimum monthly payments will vary over the 7-year term of the lease. The Landlord has provided the Company a tenant improvement allowance in an amount up to, but not exceeding, $137,563 to be applied to the cost of tenant improvement work. The Company recorded lease incentive liability to deferred rent. With the Company’s adoption of Accounting Standards Update (“ASU”) No. 2016-02 on May 1, 2019, the balances in lease incentive liability and deferred rent have been included in the value of the right of use asset.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three-month period ended July 31, 2019 and 2018 all of the Company’s contracts were classified as firm fixed price.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2019, the Company’s total remaining performance obligations, also referred to as backlog, totaled $0.7 million. The Company expects to recognize approximately 100%, or $0.7 million, of the remaining performance obligations as revenue over the next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PB3 PowerBuoy® Leasing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lease arrangements with certain customers for their PB3 PowerBuoy® (“PB3”). As of July 31, 2019, the Company has one active lease arrangement and the term is for 18 months. Revenue related to multiple-element arrangements are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leases as either operating or financing in accordance with the authoritative accounting guidance contained within ASC Topic 842,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At inception of the contract, the Company evaluates the lease against the lease classification criteria within ASC Topic 842. If the direct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sales-type classification criteria are met, then the lease is accounted for as a finance lease. All others are treated as an operating lease.</w:t>
      </w:r>
    </w:p>
    <w:p>
      <w:pPr>
        <w:spacing w:after="0" w:line="176"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operating lease arrangements generally on a straight-line basis over the lease term and is presented in Revenues in consolidated statement of operations. The lease income for the three months ended July 31, 2019 was immaterial. The Company did not record any lease income for the three months ended July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Recently Issued Accounting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amends the existing guidance on accounting for leases. Topic 842 was further clarified and amended within ASU 2017-13, ASU 2018-01, ASU 2018-10, ASU 2018-11 and ASU 2018-20. The new standard establishes a right-of-use (ROU) model that requires a lessee to record a ROU asset and a lease liability on the balance sheet for all leases with terms longer than twelve months or leases that contain a purchase option that is reasonably certain to be exercised.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The guidance permits the Company to utilize the package of practical expedients in that, upon adoption of Topic 842, allows entities to (1) not reassess whether any expired or existing contracts are or contain leases, (2) retain the classification of leases (e.g., operating or finance lease) existing as of the date of adoption and (3) not reassess initial direct costs for any existing leases. Additionally, the Company elected to exclude short-term leases having initial terms of 12 months or less and recognizes rent expense on a straight-line basis over the lease term. The Company adopted Topic 842 on May 1, 2019 using the modified retrospective approach. Under this approach, comparative periods presented in the financial statements in which the new lease standard is adopted will continue to be presented in accordance with prior GAAP. The adoption of this standard had an impact on the Company’s Consolidated Balance Sheets, recognizing a ROU and a lease liability of approximately $1.4 million and $1.5 million, respectively, and eliminating deferred rent of $39,000 and an unamortized lease incentive receivable of $108,000. Refer to Note 6 to the Consolidated Financial Statements for disclosure requirements related to the adoption of this standard.</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amendment in this update replaces the incurred loss impairment methodology in current GAAP with a methodology that reflects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The Company is currently evaluating the impact the adoption of ASU 2016-13 will have on its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The ASU modifies, removes, and adds several disclosure requirements on fair value measurements in Topic 820, Fair Value Measurement.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August 2018, the FASB issued ASU No. 2018-15,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Internal-Use Software (Subtopic 350-40).”</w:t>
      </w:r>
      <w:r>
        <w:rPr>
          <w:rFonts w:ascii="Times New Roman" w:cs="Times New Roman" w:eastAsia="Times New Roman" w:hAnsi="Times New Roman"/>
          <w:sz w:val="18"/>
          <w:szCs w:val="18"/>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(3) Account Receivable, Contract Assets, and Contract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July 31, 2019 and April 30, 2019.</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April 30, 2019</w:t>
            </w:r>
          </w:p>
        </w:tc>
      </w:tr>
      <w:tr>
        <w:trPr>
          <w:trHeight w:val="234"/>
        </w:trPr>
        <w:tc>
          <w:tcPr>
            <w:tcW w:w="4960" w:type="dxa"/>
            <w:vAlign w:val="bottom"/>
          </w:tcPr>
          <w:p>
            <w:pPr>
              <w:spacing w:after="0"/>
              <w:rPr>
                <w:sz w:val="20"/>
                <w:szCs w:val="20"/>
                <w:color w:val="auto"/>
              </w:rPr>
            </w:pPr>
          </w:p>
        </w:tc>
        <w:tc>
          <w:tcPr>
            <w:tcW w:w="2720" w:type="dxa"/>
            <w:vAlign w:val="bottom"/>
            <w:tcBorders>
              <w:top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Amount invoiced to customer</w:t>
            </w:r>
          </w:p>
        </w:tc>
        <w:tc>
          <w:tcPr>
            <w:tcW w:w="1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spacing w:after="0"/>
              <w:rPr>
                <w:sz w:val="18"/>
                <w:szCs w:val="18"/>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Collections</w:t>
            </w:r>
          </w:p>
        </w:tc>
        <w:tc>
          <w:tcPr>
            <w:tcW w:w="13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r>
      <w:tr>
        <w:trPr>
          <w:trHeight w:val="217"/>
        </w:trPr>
        <w:tc>
          <w:tcPr>
            <w:tcW w:w="4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conditioned on completing additional tasks or services for a performance obligation. The increase in contract assets is primarily a result of services performed but unbilled during the three months ended July 31, 2019.</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decrease in contract liabilities is primarily a result of additional revenue recognized during the three months ended July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of the following at July 31, 2019 and April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6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36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104</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130</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Prepaid offering costs</w:t>
            </w: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153</w:t>
            </w:r>
          </w:p>
        </w:tc>
        <w:tc>
          <w:tcPr>
            <w:tcW w:w="8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20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161</w:t>
            </w:r>
          </w:p>
        </w:tc>
        <w:tc>
          <w:tcPr>
            <w:tcW w:w="8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567</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July 31, 2019 and April 30, 2019 consisted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180" w:type="dxa"/>
            <w:vAlign w:val="bottom"/>
          </w:tcPr>
          <w:p>
            <w:pPr>
              <w:spacing w:after="0"/>
              <w:rPr>
                <w:sz w:val="21"/>
                <w:szCs w:val="21"/>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April 30, 2019</w:t>
            </w:r>
          </w:p>
        </w:tc>
      </w:tr>
      <w:tr>
        <w:trPr>
          <w:trHeight w:val="234"/>
        </w:trPr>
        <w:tc>
          <w:tcPr>
            <w:tcW w:w="49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198"/>
        </w:trPr>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under capitalized lease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4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$38,000 and $45,000 for the three-month period ended July 31, 2019 and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 xml:space="preserve">As of July 31, 2019, the Company has one active lease which has been classified as an operating lease per accounting guidance contained within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Company’s remaining operating lease term on this lease is less than a year. The maturities of lease payments remaining on this lease are immaterial. The accounting of the operating lease income according to ASC Topic 842, “Leases” is similar to the accounting in prior years.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ind w:left="40"/>
        <w:spacing w:after="0" w:line="256" w:lineRule="auto"/>
        <w:rPr>
          <w:sz w:val="20"/>
          <w:szCs w:val="20"/>
          <w:color w:val="auto"/>
        </w:rPr>
      </w:pPr>
      <w:r>
        <w:rPr>
          <w:rFonts w:ascii="Times New Roman" w:cs="Times New Roman" w:eastAsia="Times New Roman" w:hAnsi="Times New Roman"/>
          <w:sz w:val="18"/>
          <w:szCs w:val="18"/>
          <w:color w:val="auto"/>
        </w:rPr>
        <w:t>The Company has one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 The Company has elected the package of practical expedients which applies to leases that commenced before the adoption date. By electing the package of practical expedients, the Company did not need to reassess whether any existing contracts are or contain leases, the lease classification for any existing leases and initial direct costs for any existing leases.</w:t>
      </w:r>
    </w:p>
    <w:p>
      <w:pPr>
        <w:spacing w:after="0" w:line="188"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used the incremental borrowing rate based on the information available at the effective date to determine the present value of future payments. Lease terms may include options to extend or terminate the lease when it is reasonably certain that we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 The operating lease straight-line expense in the consolidated statement of operations and the operating cash flows from operating leases cash payments for the three months ended July 31, 2019 was $79,000 and $79,000, respectively.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July 31, 2019 was as follows:</w:t>
      </w:r>
    </w:p>
    <w:p>
      <w:pPr>
        <w:spacing w:after="0" w:line="22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19685</wp:posOffset>
            </wp:positionV>
            <wp:extent cx="11404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0460" cy="17145"/>
                    </a:xfrm>
                    <a:prstGeom prst="rect">
                      <a:avLst/>
                    </a:prstGeom>
                    <a:noFill/>
                  </pic:spPr>
                </pic:pic>
              </a:graphicData>
            </a:graphic>
          </wp:anchor>
        </w:drawing>
      </w:r>
    </w:p>
    <w:p>
      <w:pPr>
        <w:spacing w:after="0" w:line="20"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420"/>
          </w:cols>
          <w:pgMar w:left="240" w:top="648" w:right="239" w:bottom="1440" w:gutter="0" w:footer="0" w:header="0"/>
        </w:sectPr>
      </w:pP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auto"/>
        </w:rPr>
        <w:t>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-119380</wp:posOffset>
            </wp:positionV>
            <wp:extent cx="542861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Operating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5715</wp:posOffset>
            </wp:positionV>
            <wp:extent cx="54286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Right-of-use liability- current</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Right-of-use liability-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43180</wp:posOffset>
            </wp:positionV>
            <wp:extent cx="542861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73" w:lineRule="exact"/>
        <w:rPr>
          <w:sz w:val="20"/>
          <w:szCs w:val="20"/>
          <w:color w:val="auto"/>
        </w:rPr>
      </w:pPr>
    </w:p>
    <w:p>
      <w:pPr>
        <w:ind w:left="1440" w:right="1380"/>
        <w:spacing w:after="0" w:line="282" w:lineRule="auto"/>
        <w:rPr>
          <w:sz w:val="20"/>
          <w:szCs w:val="20"/>
          <w:color w:val="auto"/>
        </w:rPr>
      </w:pPr>
      <w:r>
        <w:rPr>
          <w:rFonts w:ascii="Times New Roman" w:cs="Times New Roman" w:eastAsia="Times New Roman" w:hAnsi="Times New Roman"/>
          <w:sz w:val="18"/>
          <w:szCs w:val="18"/>
          <w:color w:val="auto"/>
        </w:rPr>
        <w:t>Weighted average remaining lease term- operating leases Weighted average discount rate-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-159385</wp:posOffset>
            </wp:positionV>
            <wp:extent cx="54286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Total remaining lease payments under the Company’s operating lease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1780" w:hanging="1390"/>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1,314</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208</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1,253</w:t>
      </w:r>
    </w:p>
    <w:p>
      <w:pPr>
        <w:spacing w:after="0" w:line="45" w:lineRule="exact"/>
        <w:rPr>
          <w:sz w:val="20"/>
          <w:szCs w:val="20"/>
          <w:color w:val="auto"/>
        </w:rPr>
      </w:pPr>
    </w:p>
    <w:p>
      <w:pPr>
        <w:ind w:left="1780" w:hanging="1390"/>
        <w:spacing w:after="0"/>
        <w:tabs>
          <w:tab w:leader="none" w:pos="1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17145</wp:posOffset>
            </wp:positionV>
            <wp:extent cx="1140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5.25 years</w:t>
      </w:r>
    </w:p>
    <w:p>
      <w:pPr>
        <w:spacing w:after="0" w:line="27"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19685</wp:posOffset>
            </wp:positionV>
            <wp:extent cx="11836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640" cy="1714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ectPr>
          <w:pgSz w:w="11900" w:h="16838" w:orient="portrait"/>
          <w:cols w:equalWidth="0" w:num="2">
            <w:col w:w="6920" w:space="720"/>
            <w:col w:w="3780"/>
          </w:cols>
          <w:pgMar w:left="240" w:top="648" w:right="239" w:bottom="1440" w:gutter="0" w:footer="0" w:header="0"/>
          <w:type w:val="continuous"/>
        </w:sectPr>
      </w:pPr>
    </w:p>
    <w:p>
      <w:pPr>
        <w:spacing w:after="0" w:line="4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(August- April)</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w:t>
            </w:r>
          </w:p>
        </w:tc>
      </w:t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 840 Disclosure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elected the modified retrospective transition method and is required to present previously disclosed information under the prior accounting standard for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 as of April 30, 2019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20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8" w:right="239" w:bottom="144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at July 31, 2019 and April 30, 2019: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5"/>
          </w:tcPr>
          <w:p>
            <w:pPr>
              <w:jc w:val="right"/>
              <w:ind w:right="1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6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Contract loss reserve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 payable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Classified Warrants</w:t>
      </w:r>
    </w:p>
    <w:p>
      <w:pPr>
        <w:spacing w:after="0" w:line="227" w:lineRule="exact"/>
        <w:rPr>
          <w:sz w:val="20"/>
          <w:szCs w:val="20"/>
          <w:color w:val="auto"/>
        </w:rPr>
      </w:pPr>
    </w:p>
    <w:p>
      <w:pPr>
        <w:jc w:val="both"/>
        <w:ind w:firstLine="77"/>
        <w:spacing w:after="0" w:line="256"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five years following the Initial Exercise Date. As of July 31, 2019, none of the warrants have been exercised.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date of issuance. As of July 31, 2019, none of the warrants have been exercised.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2019, the Company issued and sold in a public offering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July 31, 2019, 2,982,120 of the pre-funded warrants have been exercised. The common stock warrants have an exercise price of $3.85 per share and expire five years from the issuance date. As of July 31, 2019, none of the common stock warrants have been exercised.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its June and July 2016 public offerings in accordance with the guidance on “Accounting for Certain Financial Instruments with Characteristics of Both Liabilities and Equity”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As such, the warrants have a value of $300 at July 31, 2019 and $6,000 at April 30, 2019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An unrealized gain of approximately $6,000 and $85,000 were included within “Gain due to change in fair value of warrant liabilities” in the Consolidated Statements of Operations for the three months ended July 31, 2019 and 2018, respectively. The Company determined the fair value using the Black-Scholes option pricing model with the following assumptions for the period ended July 31, 2019 and 2018:</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July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2.0 - 2.4</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3.0 - 3.4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111.3%</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undesignated preferred stock with a par value of $0.001 per share. As of July 31, 2019, and 2018, no shares of preferred stock had been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100,000,000 shares authorized with a par value of $0.001 per share. As of July 31, 2019 there were 5,775,385 shares issued.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2018, the Company entered into a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common stock as a commitment fee. As of July 31, 2019, the Company has sold 162,162 shares of common stock with an aggregate market value of $949,259 at an average price of $5.85 per share pursuant to this common stock purchase agreement. The Company has sold all the shares available for sale under the current common stock purchase agreement.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 million. As of July 31, 2019, under the 2019 ATM Facility the Company had issued and sold 151,561 shares of its common stock with an aggregate market value of $958,229 at an average price of $6.32 per share and paid AGP a sales commission of approximately $33,469 related to those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in a public offering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our common stock in an underwritten public offering. The net proceeds to the Company from the offering were approximately $15.7 million, after deducting underwriter’s fees and offering expenses payable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2019 and 2018, 481 and zero shares of common stock, respectively, were purchased by the Company from employees to pay taxes related to the vesting of restricted stock and are reflected in Treasury Stock as of July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upon approval by the Company’s stockholders, the Company’s 2015 Omnibus Incentive Plan (the “2015 Plan”) became effective. A total of 12,036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32,036. On December 7, 2018, upon approval by the Company’s stockholders, the Company increased the number of shares authorized for issuance to 132,036.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July 31, 2019, the Company has 60,276 shares available for future issuance under the 2015 Plan.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5635(c)(4) 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July 31, 2019, there were 25,000 shares available for grant under the 2018 Inducement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57"/>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granted, for both service-based and performance-based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was based on the Company’s historical volatility over the expected life of the stock option granted. There were no shares granted in the three months ended July 31, 2019 and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2019</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Cancelled/forfeited</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vMerge w:val="restart"/>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34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gridSpan w:val="2"/>
            <w:vMerge w:val="continue"/>
          </w:tcPr>
          <w:p>
            <w:pPr>
              <w:spacing w:after="0"/>
              <w:rPr>
                <w:sz w:val="4"/>
                <w:szCs w:val="4"/>
                <w:color w:val="auto"/>
              </w:rPr>
            </w:pPr>
          </w:p>
        </w:tc>
        <w:tc>
          <w:tcPr>
            <w:tcW w:w="460" w:type="dxa"/>
            <w:vAlign w:val="bottom"/>
            <w:tcBorders>
              <w:bottom w:val="single" w:sz="8" w:color="CCEEFF"/>
            </w:tcBorders>
            <w:vMerge w:val="continue"/>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31, 2019</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63,983</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July 31, 2019</w:t>
            </w: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vMerge w:val="restart"/>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8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17,733</w:t>
            </w: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July 31, 2019, the total intrinsic value of both outstanding and exercisable options was zero. As of July 31, 2019, approximately 46,251 additional options were unvested, which had no intrinsic value and a weighted average remaining contractual term of 9.4 years. There was approximately $89,000 and $51,000 of total recognized compensation cost related to stock options during each of the three months ended July 31, 2019 and 2018, respectively. As of July 31, 2019, there was approximately $116,000 of total unrecognized compensation cost related to non-vested stock options granted under the plans. This cost is expected to be recognized over a weighted-average period of 0.3 years. The Company typically issues newly authorized but unissued shares to satisfy option exercises under these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non-vested restricted stock is generally recorded based on its market value on the date of grant and recognized ratably over the associated service and performance period. During the three months ended July 31, 2019, the Company did not grant shares subject to service-based vesting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30"/>
        </w:trPr>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 Price per</w:t>
            </w:r>
          </w:p>
        </w:tc>
      </w:tr>
      <w:tr>
        <w:trPr>
          <w:trHeight w:val="245"/>
        </w:trPr>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414"/>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6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16"/>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55"/>
        </w:trPr>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00" w:space="160"/>
            <w:col w:w="4960"/>
          </w:cols>
          <w:pgMar w:left="240" w:top="661" w:right="239" w:bottom="1440" w:gutter="0" w:footer="0" w:header="0"/>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$3,000 and $29,000 of total recognized compensation cost related to restricted stock for the three months ended July 31, 2019 and 2018, respectively. As of July 31, 2019, there was approximately $2,000 of total unrecognized compensation cost related to unvested restricted stock granted under our plans. This cost is expected to be recognized over a weighted average period of 0.1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84" w:lineRule="exact"/>
        <w:rPr>
          <w:sz w:val="20"/>
          <w:szCs w:val="20"/>
          <w:color w:val="auto"/>
        </w:rPr>
      </w:pPr>
    </w:p>
    <w:p>
      <w:pPr>
        <w:jc w:val="both"/>
        <w:ind w:left="920" w:right="20" w:hanging="904"/>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76" w:lineRule="exact"/>
        <w:rPr>
          <w:sz w:val="20"/>
          <w:szCs w:val="20"/>
          <w:color w:val="auto"/>
        </w:rPr>
      </w:pPr>
    </w:p>
    <w:p>
      <w:pPr>
        <w:jc w:val="both"/>
        <w:ind w:left="920" w:hanging="904"/>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76" w:lineRule="exact"/>
        <w:rPr>
          <w:sz w:val="20"/>
          <w:szCs w:val="20"/>
          <w:color w:val="auto"/>
        </w:rPr>
      </w:pPr>
    </w:p>
    <w:p>
      <w:pPr>
        <w:jc w:val="both"/>
        <w:ind w:left="920" w:hanging="904"/>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levels during each of the three months ended July 31, 2019 and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warrant liabilities (refer to Note 8)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July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Quoted prices in active</w:t>
            </w:r>
          </w:p>
        </w:tc>
        <w:tc>
          <w:tcPr>
            <w:tcW w:w="280" w:type="dxa"/>
            <w:vAlign w:val="bottom"/>
          </w:tcPr>
          <w:p>
            <w:pPr>
              <w:spacing w:after="0"/>
              <w:rPr>
                <w:sz w:val="18"/>
                <w:szCs w:val="18"/>
                <w:color w:val="auto"/>
              </w:rPr>
            </w:pPr>
          </w:p>
        </w:tc>
        <w:tc>
          <w:tcPr>
            <w:tcW w:w="1440" w:type="dxa"/>
            <w:vAlign w:val="bottom"/>
            <w:gridSpan w:val="3"/>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Total Carrying Value in</w:t>
            </w:r>
          </w:p>
        </w:tc>
        <w:tc>
          <w:tcPr>
            <w:tcW w:w="320" w:type="dxa"/>
            <w:vAlign w:val="bottom"/>
          </w:tcPr>
          <w:p>
            <w:pPr>
              <w:spacing w:after="0"/>
              <w:rPr>
                <w:sz w:val="18"/>
                <w:szCs w:val="18"/>
                <w:color w:val="auto"/>
              </w:rPr>
            </w:pPr>
          </w:p>
        </w:tc>
        <w:tc>
          <w:tcPr>
            <w:tcW w:w="23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markets for identical</w:t>
            </w:r>
          </w:p>
        </w:tc>
        <w:tc>
          <w:tcPr>
            <w:tcW w:w="280" w:type="dxa"/>
            <w:vAlign w:val="bottom"/>
          </w:tcPr>
          <w:p>
            <w:pPr>
              <w:spacing w:after="0"/>
              <w:rPr>
                <w:sz w:val="18"/>
                <w:szCs w:val="18"/>
                <w:color w:val="auto"/>
              </w:rPr>
            </w:pPr>
          </w:p>
        </w:tc>
        <w:tc>
          <w:tcPr>
            <w:tcW w:w="1440" w:type="dxa"/>
            <w:vAlign w:val="bottom"/>
            <w:gridSpan w:val="3"/>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8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Consolidated Balance</w:t>
            </w:r>
          </w:p>
        </w:tc>
        <w:tc>
          <w:tcPr>
            <w:tcW w:w="320" w:type="dxa"/>
            <w:vAlign w:val="bottom"/>
          </w:tcPr>
          <w:p>
            <w:pPr>
              <w:spacing w:after="0"/>
              <w:rPr>
                <w:sz w:val="18"/>
                <w:szCs w:val="18"/>
                <w:color w:val="auto"/>
              </w:rPr>
            </w:pP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assets or liabilities</w:t>
            </w:r>
          </w:p>
        </w:tc>
        <w:tc>
          <w:tcPr>
            <w:tcW w:w="280" w:type="dxa"/>
            <w:vAlign w:val="bottom"/>
          </w:tcPr>
          <w:p>
            <w:pPr>
              <w:spacing w:after="0"/>
              <w:rPr>
                <w:sz w:val="18"/>
                <w:szCs w:val="18"/>
                <w:color w:val="auto"/>
              </w:rPr>
            </w:pPr>
          </w:p>
        </w:tc>
        <w:tc>
          <w:tcPr>
            <w:tcW w:w="1440" w:type="dxa"/>
            <w:vAlign w:val="bottom"/>
            <w:gridSpan w:val="3"/>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14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3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9280" w:type="dxa"/>
            <w:vAlign w:val="bottom"/>
            <w:gridSpan w:val="11"/>
          </w:tcPr>
          <w:p>
            <w:pPr>
              <w:jc w:val="right"/>
              <w:ind w:right="292"/>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April 30, 2019.</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Quoted prices in active</w:t>
            </w:r>
          </w:p>
        </w:tc>
        <w:tc>
          <w:tcPr>
            <w:tcW w:w="280" w:type="dxa"/>
            <w:vAlign w:val="bottom"/>
          </w:tcPr>
          <w:p>
            <w:pPr>
              <w:spacing w:after="0"/>
              <w:rPr>
                <w:sz w:val="18"/>
                <w:szCs w:val="18"/>
                <w:color w:val="auto"/>
              </w:rPr>
            </w:pPr>
          </w:p>
        </w:tc>
        <w:tc>
          <w:tcPr>
            <w:tcW w:w="1440" w:type="dxa"/>
            <w:vAlign w:val="bottom"/>
            <w:gridSpan w:val="3"/>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Total Carrying Value in</w:t>
            </w:r>
          </w:p>
        </w:tc>
        <w:tc>
          <w:tcPr>
            <w:tcW w:w="26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markets for identical assets</w:t>
            </w:r>
          </w:p>
        </w:tc>
        <w:tc>
          <w:tcPr>
            <w:tcW w:w="280" w:type="dxa"/>
            <w:vAlign w:val="bottom"/>
          </w:tcPr>
          <w:p>
            <w:pPr>
              <w:spacing w:after="0"/>
              <w:rPr>
                <w:sz w:val="18"/>
                <w:szCs w:val="18"/>
                <w:color w:val="auto"/>
              </w:rPr>
            </w:pPr>
          </w:p>
        </w:tc>
        <w:tc>
          <w:tcPr>
            <w:tcW w:w="1440" w:type="dxa"/>
            <w:vAlign w:val="bottom"/>
            <w:gridSpan w:val="3"/>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8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Consolidated Balance</w:t>
            </w:r>
          </w:p>
        </w:tc>
        <w:tc>
          <w:tcPr>
            <w:tcW w:w="320" w:type="dxa"/>
            <w:vAlign w:val="bottom"/>
          </w:tcPr>
          <w:p>
            <w:pPr>
              <w:spacing w:after="0"/>
              <w:rPr>
                <w:sz w:val="18"/>
                <w:szCs w:val="18"/>
                <w:color w:val="auto"/>
              </w:rPr>
            </w:pPr>
          </w:p>
        </w:tc>
        <w:tc>
          <w:tcPr>
            <w:tcW w:w="236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or liabilities</w:t>
            </w:r>
          </w:p>
        </w:tc>
        <w:tc>
          <w:tcPr>
            <w:tcW w:w="280" w:type="dxa"/>
            <w:vAlign w:val="bottom"/>
          </w:tcPr>
          <w:p>
            <w:pPr>
              <w:spacing w:after="0"/>
              <w:rPr>
                <w:sz w:val="18"/>
                <w:szCs w:val="18"/>
                <w:color w:val="auto"/>
              </w:rPr>
            </w:pPr>
          </w:p>
        </w:tc>
        <w:tc>
          <w:tcPr>
            <w:tcW w:w="1440" w:type="dxa"/>
            <w:vAlign w:val="bottom"/>
            <w:gridSpan w:val="3"/>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14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3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warrant liabilities held at July 31, 2019.</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7"/>
          </w:tcPr>
          <w:p>
            <w:pPr>
              <w:jc w:val="right"/>
              <w:ind w:right="812"/>
              <w:spacing w:after="0"/>
              <w:rPr>
                <w:sz w:val="20"/>
                <w:szCs w:val="20"/>
                <w:color w:val="auto"/>
              </w:rPr>
            </w:pPr>
            <w:r>
              <w:rPr>
                <w:rFonts w:ascii="Times New Roman" w:cs="Times New Roman" w:eastAsia="Times New Roman" w:hAnsi="Times New Roman"/>
                <w:sz w:val="18"/>
                <w:szCs w:val="18"/>
                <w:color w:val="auto"/>
              </w:rPr>
              <w:t>Fair Value Measurement Using Significant Unobservable Inputs (Level 3)</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Warrant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9"/>
              </w:rPr>
              <w:t>Liability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8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April 30, 2018</w:t>
            </w: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April 30, 2019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restart"/>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vMerge w:val="continue"/>
          </w:tcPr>
          <w:p>
            <w:pPr>
              <w:spacing w:after="0"/>
              <w:rPr>
                <w:sz w:val="21"/>
                <w:szCs w:val="21"/>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2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Fair value – July 31, 2019</w:t>
            </w:r>
          </w:p>
        </w:tc>
        <w:tc>
          <w:tcPr>
            <w:tcW w:w="3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spacing w:after="0"/>
              <w:rPr>
                <w:sz w:val="18"/>
                <w:szCs w:val="18"/>
                <w:color w:val="auto"/>
              </w:rPr>
            </w:pPr>
          </w:p>
        </w:tc>
        <w:tc>
          <w:tcPr>
            <w:tcW w:w="6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re-measured assets or liabilities at fair value on a non-recurring basis during the three months ended July 31, 2019 and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August 28, 2018, counsel for Mr. Dunleavy filed a demand for arbitration, captioned </w:t>
      </w:r>
      <w:r>
        <w:rPr>
          <w:rFonts w:ascii="Times New Roman" w:cs="Times New Roman" w:eastAsia="Times New Roman" w:hAnsi="Times New Roman"/>
          <w:sz w:val="18"/>
          <w:szCs w:val="18"/>
          <w:i w:val="1"/>
          <w:iCs w:val="1"/>
          <w:color w:val="auto"/>
        </w:rPr>
        <w:t>Charles F. Dunleavy v. Ocean Power Technologies, Inc.,</w:t>
      </w:r>
      <w:r>
        <w:rPr>
          <w:rFonts w:ascii="Times New Roman" w:cs="Times New Roman" w:eastAsia="Times New Roman" w:hAnsi="Times New Roman"/>
          <w:sz w:val="18"/>
          <w:szCs w:val="18"/>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three-person arbitration panel scheduled the discovery process to run from April 12, 2019 until November 9, 2019, set a pre-hearing case management conference for October 14, 2019, and set the hearing for December 9-13, 2019 in Princeton, New Jersey. Discovery is currently underway. As of July 31, 2019, the Company has not accrued any provision related to this matter since it is not probable and cannot reasonably estimate the loss contingency.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Compliance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9, 2018, the Company received written notification from Nasdaq indicating that the closing bid price of the Company’s common stock had been below $1.00 per share for a period of 30 consecutive trading days, and as a result, the Company was not in compliance with the minimum bid price requirement for continued listing. Under the Nasdaq Listing Rules, the Company was provided with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the grace period. If the Company did not regain compliance before February 5, 2019, Nasdaq stated that it would provide the Company with written notice that its securities are subject to delisting. At that time, the Company could appeal Nasdaq’s determination to a Nasdaq Listing Qualifications Panel, which would stay any further delisting action by Nasdaq pending a final decision by the panel. Alternatively, the Company could have been eligible for an additional 180 calendar day grace period if it met the continued listing standards, with the exception of bid price, for the Nasdaq Capital Market, and if the Company stated its intent to affect a reverse split, if necessary, to cure such deficiency.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11, 2019, the Company received another written notification from Nasdaq indicating that the Company had not regained compliance with the minimum bid price requirement and that the Company’s stockholders’ equity, as reported in the Company’s Quarterly Report on Form 10-Q for the quarter ended October 31, 2018, did not qualify the Company for an additional 180 calendar day extension period for compliance. On February 19, 2019, the Company appealed Nasdaq’s determination to a Hearings Panel (the “Panel”), pursuant to the procedures set forth in the Nasdaq Listing Rule 5800 Series. The appeal stayed the suspension of the Company’s securities pending the Panel’s decision, during which time the Company’s common stock continued to be listed on Nasdaq, and the Company’s common stock continued to trade under the symbol “OPTT”.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2019, the Company received another written notification from Nasdaq indicating that the Company did not comply with the minimum stockholders’ equity requirement for continued listing. The earlier-filed appeal of the minimum bid price requirement was sufficient to encompass the minimum stockholder’s equity requirement, and the stay of suspension continued pending the Panel hearing and decision.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Panel held its hearing on March 28, 2019. On April 4, 2019, the Panel issued the following two decisions: (i) the Panel concluded that the Company was in compliance with the minimum bid price rule; and (ii) the Panel granted the Company’s request to cure its stockholder equity deficiency by conducting a public offering that was estimated to raise $10 million by no later than April 30, 2019. On April 24, 2019, the Company provided the Panel with an update following a public offering that raised approximately $15.7 million (after deducting underwriter fees, commissions and other offering expenses) and closed on April 8, 2019. The update included revised projections of stockholder equity based upon the actual amount of proceeds raised during the public offering, which in the Company’s opinion was sufficient to cure the stockholder equity deficiency.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2019 the Company received a letter from Nasdaq confirming that the Company has regained compliance with the minimum shareholders’ equity rule, as required by the Panel’s decision dated April 4, 2019, and is in compliance with other applicable requirements as set forth in the decision and required for listing on Nasdaq. Accordingly, the Panel determined to continue the listing of the Company’s securities on Nasdaq and closed the matter.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FINRA Review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4, 2019, FINRA notified the Company that it was conducting a routine review of the Company’s stock associated with two public announcements and asked several questions regarding: (i) an April 3, 2019 announcement that the Company had won a contract with a leading oil and gas operator; and (ii) an April 4, 2019 announcement of the pricing of an underwritten public offering. The Company provided its response to the FINRA questions on April 9, 2019. As of SEPTEMBER 16, 2019, FINRA has not provided any follow-up.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years. The Company has estimated this penalty to be $177,000 and as of July 31, 2019 and April 30, 2019 has recorded the penalty in Accrued expenses in the Consolidated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2008 to 2014, when our Spanish branch was closed (see Note 14 to the Condensed Consolidated Financial Statements). At July 31, 2019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Operating Segments and Geographic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the three months ended July 31, 2019 and 2018, the Company’s primary business operations were in North America.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5" w:name="page26"/>
    <w:bookmarkEnd w:id="25"/>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2019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2019 refers to the year ended April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security and defense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Equally important are increases in available power which may allow for better sensors, faster data sampling and higher frequency communication intervals up to real-time which could improve scientific and economic returns.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1984 and headquartered in Monroe Township, New Jersey, we believe we are the leader in ocean wave power conversion technology. Our PB3 is our first fully commercial product which generates electricity by harnessing the renewable energy of ocean waves. In addition to our PB3, we continue to develop our PowerBuoy® product line based on modular, ocean-going buoys, which we have been periodically ocean testing since 1997. In November 2018, the Company announced additional complementary products, the hybrid PowerBuoy® and subsea battery solutions which leverage our existing expertise in offshore power systems while expanding our product line beyond our flagship PB3 offering.</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PB3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market research and publicly available data, we believe that numerous markets have a direct need for our PowerBuoys® including oil and gas, defense and security, science and research,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2019 and the first three months of fiscal year 2020, we continued work on projects with the Premier Oil (“PMO”), Eni S.p.A. (“Eni”), the U.S. Navy Small Business Innovation Research (“U.S. SBIR”) program, and a leading oil &amp; gas operator.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of our technology has been funded by capital we raised, by development engineering contracts we received starting in fiscal 1995 with agencies like the Department of Energy (“DOE”), the U.S. Navy, the Department of Homeland Security, and revenue generating projects with MES, Premier Oil and Eni. Through these historic projects, we also continued development of our PowerBuoy® technologies. We are continuing to focus on marketing and developing our PowerBuoy® products and services for use in autonomous power applications.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PB3 commercial product validation activities, a concerted effort has been underway which is focused on proactively implementing additional features driven by extensive and direct discussions with potential users, customers, marketing partners, and end users in our target markets. Such features include:</w:t>
      </w:r>
    </w:p>
    <w:p>
      <w:pPr>
        <w:spacing w:after="0" w:line="176" w:lineRule="exact"/>
        <w:rPr>
          <w:sz w:val="20"/>
          <w:szCs w:val="20"/>
          <w:color w:val="auto"/>
        </w:rPr>
      </w:pPr>
    </w:p>
    <w:p>
      <w:pPr>
        <w:jc w:val="both"/>
        <w:ind w:left="1100" w:hanging="322"/>
        <w:spacing w:after="0" w:line="266"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development of a single point mooring umbilical solution that not only allows for quick deployment of the PowerBuoy® but also enables delivery of power and communication capabilities to customer payloads which are external to the PowerBuoy®, and which may reside in the water column, on the seabed, or both.</w:t>
      </w:r>
    </w:p>
    <w:p>
      <w:pPr>
        <w:spacing w:after="0" w:line="176" w:lineRule="exact"/>
        <w:rPr>
          <w:rFonts w:ascii="Times New Roman" w:cs="Times New Roman" w:eastAsia="Times New Roman" w:hAnsi="Times New Roman"/>
          <w:sz w:val="18"/>
          <w:szCs w:val="18"/>
          <w:color w:val="auto"/>
        </w:rPr>
      </w:pPr>
    </w:p>
    <w:p>
      <w:pPr>
        <w:ind w:left="1100" w:right="20" w:hanging="322"/>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and implementation of a tripod-mounted platform that can be installed on the PB3 spar to provide a high mounting location for customer payloads.</w:t>
      </w:r>
    </w:p>
    <w:p>
      <w:pPr>
        <w:spacing w:after="0" w:line="161" w:lineRule="exact"/>
        <w:rPr>
          <w:rFonts w:ascii="Times New Roman" w:cs="Times New Roman" w:eastAsia="Times New Roman" w:hAnsi="Times New Roman"/>
          <w:sz w:val="18"/>
          <w:szCs w:val="18"/>
          <w:color w:val="auto"/>
        </w:rPr>
      </w:pPr>
    </w:p>
    <w:p>
      <w:pPr>
        <w:ind w:left="1100" w:right="20" w:hanging="322"/>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and implementation of an advanced buoy controller that reduces controller power consumption and cost by 90% each, improves buoy reliability, and supports high computational speeds needed for the PowerBuoy® monitoring and control.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and building upon our initial success in implementing an auto-ballast system in our PB3, we further enhanced this feature in order to achieve faster and more cost effective PB3 deployments and retrievals.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We believe that by demonstrating the capability of our PowerBuoy® in oil &amp; gas and telecommunications applications, we can advance our technology and gain further adoption from our target markets. We continue to improve design and manufacturing to enhance our ability to improve customer value, displace incumbent solutions, and become the preferred power source for new and existing applications in our target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utilizing our experience with multiple commercial PB3 deployments globally to continually improve our product so that we have higher energy efficiency, additional mooring capability, platform flexibility and high reliability. For example, the redesigned PB3 leverages our knowledge base from past designs to incorporate new design features which we believe will improve its reliability and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2018, the Company announced several new product offerings including hybrid PowerBuoy®, subsea battery systems and support services.</w:t>
      </w:r>
    </w:p>
    <w:p>
      <w:pPr>
        <w:spacing w:after="0" w:line="223" w:lineRule="exact"/>
        <w:rPr>
          <w:sz w:val="20"/>
          <w:szCs w:val="20"/>
          <w:color w:val="auto"/>
        </w:rPr>
      </w:pPr>
    </w:p>
    <w:p>
      <w:pPr>
        <w:jc w:val="both"/>
        <w:ind w:left="1060" w:hanging="323"/>
        <w:spacing w:after="0" w:line="253"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Hybrid PowerBuoy® - </w:t>
      </w:r>
      <w:r>
        <w:rPr>
          <w:rFonts w:ascii="Times New Roman" w:cs="Times New Roman" w:eastAsia="Times New Roman" w:hAnsi="Times New Roman"/>
          <w:sz w:val="18"/>
          <w:szCs w:val="18"/>
          <w:color w:val="auto"/>
        </w:rPr>
        <w:t>The Company is in the process of creating a hybrid PowerBuoy® that will be a smaller liquid-fueled surface buoy,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wave power generating PB3 PowerBuoy®, capable of providing reliable power in remote offshore locations. This product is to be highly complementary to the PB3 PowerBuoy® by providing the Company the opportunity to address a broader spectrum of customer deployment needs, including low-wave environments, with the potential for greater Company integration within each customer project. It is primarily intended for shorter term deployment applications such as electric remotely operated vehicles (“eROV’s”) and autonomous underwater vehicles (“AUV’s”) inspections and short-term maintenance, topside surveillance and communications, and subsea equipment and controls. The hybrid PowerBuoy® is anticipated to be a lightweight, quickly deployable and cost-effective solution. The design is also anticipated to have a high payload capacity for communications and surveillance, with the capability of being tethered to subsea payloads and battery packs, or with a conventional anchor mooring system. The Company intends to design the hybrid PowerBuoy® with a Stirling engine to outperform traditional diesel buoys, which we believe have more frequent service and refueling intervals. We believe the hybrid PowerBuoy® will be able to operate in an environmentally safer manner using more robust fuels, while operating over a wider temperature range than diesel buoys.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7" w:name="page28"/>
    <w:bookmarkEnd w:id="27"/>
    <w:p>
      <w:pPr>
        <w:jc w:val="both"/>
        <w:ind w:left="1060" w:hanging="323"/>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Subsea battery systems </w:t>
      </w:r>
      <w:r>
        <w:rPr>
          <w:rFonts w:ascii="Times New Roman" w:cs="Times New Roman" w:eastAsia="Times New Roman" w:hAnsi="Times New Roman"/>
          <w:sz w:val="18"/>
          <w:szCs w:val="18"/>
          <w:color w:val="auto"/>
        </w:rPr>
        <w:t>– The Company is in the process of creating a sea floor energy storage solution for remote offshore operations.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subsea battery systems will contain lithium ion batteries, which provide high power density, to supply power that can enable subsea equipment, sensors, communications, AUV’s and eROV’s recharge. The Company’s PB3 PowerBuoy® is complimentary to subsea battery systems by providing a means for recharging during longer term deployments, or the subsea battery systems can be used independently for shorter term deployments. Ideal for many remote offshore customer applications, these subsea battery systems are anticipated to be high performance, cost-efficient, and quickly deployable. Given the Company’s expertise in offshore energy storage systems from existing PB3 PowerBuoy® technology, the subsea battery solutions will provide an opportunity for the Company to differentiate through technical, cost and delivery leadership.</w:t>
      </w:r>
    </w:p>
    <w:p>
      <w:pPr>
        <w:spacing w:after="0" w:line="183" w:lineRule="exact"/>
        <w:rPr>
          <w:rFonts w:ascii="Times New Roman" w:cs="Times New Roman" w:eastAsia="Times New Roman" w:hAnsi="Times New Roman"/>
          <w:sz w:val="18"/>
          <w:szCs w:val="18"/>
          <w:color w:val="auto"/>
        </w:rPr>
      </w:pPr>
    </w:p>
    <w:p>
      <w:pPr>
        <w:jc w:val="both"/>
        <w:ind w:left="1060" w:hanging="323"/>
        <w:spacing w:after="0" w:line="26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services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offers customers a comprehensive range of support services that meet their specific needs. These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include innovation services, remote monitoring, extended service agreements, customization and pre-packaged payload options, engineering-design-testing services, mooring design, and marine services. These same support services will be extended to the new subsea battery solution and hybrid PowerBuoy®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percentage of our revenue we derived from significant customers for the periods indicated:</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6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1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Navy</w:t>
            </w:r>
          </w:p>
        </w:tc>
        <w:tc>
          <w:tcPr>
            <w:tcW w:w="1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achieve success in commercializing our products, we must expand our customer base and obtain commercial contracts to lease or sell our PowerBuoy® and related services to customers. Our potential customer base for our PowerBuoys®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ind w:left="780" w:hanging="326"/>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entered into an agreement with a leading oil and gas operator to conduct a detailed feasibility study of using the Company’s technology to monitor subsea wells.</w:t>
      </w:r>
    </w:p>
    <w:p>
      <w:pPr>
        <w:spacing w:after="0" w:line="161" w:lineRule="exact"/>
        <w:rPr>
          <w:rFonts w:ascii="Times New Roman" w:cs="Times New Roman" w:eastAsia="Times New Roman" w:hAnsi="Times New Roman"/>
          <w:sz w:val="18"/>
          <w:szCs w:val="18"/>
          <w:color w:val="auto"/>
        </w:rPr>
      </w:pPr>
    </w:p>
    <w:p>
      <w:pPr>
        <w:ind w:left="780" w:right="20" w:hanging="326"/>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61" w:lineRule="exact"/>
        <w:rPr>
          <w:rFonts w:ascii="Times New Roman" w:cs="Times New Roman" w:eastAsia="Times New Roman" w:hAnsi="Times New Roman"/>
          <w:sz w:val="18"/>
          <w:szCs w:val="18"/>
          <w:color w:val="auto"/>
        </w:rPr>
      </w:pPr>
    </w:p>
    <w:p>
      <w:pPr>
        <w:ind w:left="780" w:hanging="326"/>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entered into an agreement with EGP to evaluate a PB3 deployment along the coast of Chile through a detailed feasibility study of the PowerBuoy® as an offshore autonomous platform hosting oceanographic sensor systems.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8" w:name="page29"/>
    <w:bookmarkEnd w:id="28"/>
    <w:p>
      <w:pPr>
        <w:ind w:left="780" w:hanging="326"/>
        <w:spacing w:after="0" w:line="282"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we entered into a contract with PMO for the lease (for at least three months and a maximum of twelve months) of a PB3 to be deployed in one of PMO’s offshore fields in the North Sea.</w:t>
      </w:r>
    </w:p>
    <w:p>
      <w:pPr>
        <w:spacing w:after="0" w:line="161" w:lineRule="exact"/>
        <w:rPr>
          <w:rFonts w:ascii="Times New Roman" w:cs="Times New Roman" w:eastAsia="Times New Roman" w:hAnsi="Times New Roman"/>
          <w:sz w:val="18"/>
          <w:szCs w:val="18"/>
          <w:color w:val="auto"/>
        </w:rPr>
      </w:pPr>
    </w:p>
    <w:p>
      <w:pPr>
        <w:ind w:left="780" w:hanging="326"/>
        <w:spacing w:after="0" w:line="282"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we entered into an agreement with Eni that provides for a minimum 24-month contract that includes an 18-month PB3 lease and associated project management.</w:t>
      </w:r>
    </w:p>
    <w:p>
      <w:pPr>
        <w:spacing w:after="0" w:line="161" w:lineRule="exact"/>
        <w:rPr>
          <w:rFonts w:ascii="Times New Roman" w:cs="Times New Roman" w:eastAsia="Times New Roman" w:hAnsi="Times New Roman"/>
          <w:sz w:val="18"/>
          <w:szCs w:val="18"/>
          <w:color w:val="auto"/>
        </w:rPr>
      </w:pPr>
    </w:p>
    <w:p>
      <w:pPr>
        <w:jc w:val="both"/>
        <w:ind w:left="780" w:hanging="326"/>
        <w:spacing w:after="0" w:line="25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we entered into a contract with U.S.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 The Company is waiting for ONR funding of Phase 2, Option 1 to be approved.</w:t>
      </w:r>
    </w:p>
    <w:p>
      <w:pPr>
        <w:spacing w:after="0" w:line="187" w:lineRule="exact"/>
        <w:rPr>
          <w:rFonts w:ascii="Times New Roman" w:cs="Times New Roman" w:eastAsia="Times New Roman" w:hAnsi="Times New Roman"/>
          <w:sz w:val="18"/>
          <w:szCs w:val="18"/>
          <w:color w:val="auto"/>
        </w:rPr>
      </w:pPr>
    </w:p>
    <w:p>
      <w:pPr>
        <w:jc w:val="both"/>
        <w:ind w:left="780" w:hanging="326"/>
        <w:spacing w:after="0" w:line="254"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27" w:lineRule="exact"/>
        <w:rPr>
          <w:sz w:val="20"/>
          <w:szCs w:val="20"/>
          <w:color w:val="auto"/>
        </w:rPr>
      </w:pPr>
    </w:p>
    <w:p>
      <w:pPr>
        <w:jc w:val="both"/>
        <w:ind w:left="780" w:hanging="326"/>
        <w:spacing w:after="0" w:line="261"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we signed a memorandum of understanding with Modus Seabed Intervention Ltd. (“Modus”). for the purpose of developing and delivering commercial market solutions that offer a step-change in innovation and market value against conventional methodologies, specifically through development and marketing of a combined Hybrid Autonomous Underwater Vehicle (HAUV) charging station which will be able to utilize the PowerBuoy® system for topside charging and communications.</w:t>
      </w:r>
    </w:p>
    <w:p>
      <w:pPr>
        <w:spacing w:after="0" w:line="180" w:lineRule="exact"/>
        <w:rPr>
          <w:rFonts w:ascii="Times New Roman" w:cs="Times New Roman" w:eastAsia="Times New Roman" w:hAnsi="Times New Roman"/>
          <w:sz w:val="18"/>
          <w:szCs w:val="18"/>
          <w:color w:val="auto"/>
        </w:rPr>
      </w:pPr>
    </w:p>
    <w:p>
      <w:pPr>
        <w:ind w:left="780" w:hanging="326"/>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signed a memorandum of understanding with Acteon Field Life Service Ltd. (“Acteon”) to develop, explore and exploit mutual opportunities in the global oil and gas and renewable markets.</w:t>
      </w:r>
    </w:p>
    <w:p>
      <w:pPr>
        <w:spacing w:after="0" w:line="161" w:lineRule="exact"/>
        <w:rPr>
          <w:rFonts w:ascii="Times New Roman" w:cs="Times New Roman" w:eastAsia="Times New Roman" w:hAnsi="Times New Roman"/>
          <w:sz w:val="18"/>
          <w:szCs w:val="18"/>
          <w:color w:val="auto"/>
        </w:rPr>
      </w:pPr>
    </w:p>
    <w:p>
      <w:pPr>
        <w:ind w:left="780" w:right="20" w:hanging="326"/>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we entered into a Joint System Solution Development and Marketing Agreement with Saab Seaeye Ltd. (“Saab”). The agreement anticipates a preliminary focus on AUV and eROV charging and communications systems.</w:t>
      </w:r>
    </w:p>
    <w:p>
      <w:pPr>
        <w:spacing w:after="0" w:line="161" w:lineRule="exact"/>
        <w:rPr>
          <w:rFonts w:ascii="Times New Roman" w:cs="Times New Roman" w:eastAsia="Times New Roman" w:hAnsi="Times New Roman"/>
          <w:sz w:val="18"/>
          <w:szCs w:val="18"/>
          <w:color w:val="auto"/>
        </w:rPr>
      </w:pPr>
    </w:p>
    <w:p>
      <w:pPr>
        <w:jc w:val="both"/>
        <w:ind w:left="780" w:hanging="326"/>
        <w:spacing w:after="0" w:line="26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we signed a letter of intent to enter into a non-exclusive long-term supply agreement with NEC Energy Solutions (“NEC ES”), a pioneer and global leader in utility scale energy storage. Under the terms of the supply agreement, NEC ES will be a supplier of lithium ion batteries for our subsea battery systems.</w:t>
      </w:r>
    </w:p>
    <w:p>
      <w:pPr>
        <w:spacing w:after="0" w:line="176" w:lineRule="exact"/>
        <w:rPr>
          <w:rFonts w:ascii="Times New Roman" w:cs="Times New Roman" w:eastAsia="Times New Roman" w:hAnsi="Times New Roman"/>
          <w:sz w:val="18"/>
          <w:szCs w:val="18"/>
          <w:color w:val="auto"/>
        </w:rPr>
      </w:pPr>
    </w:p>
    <w:p>
      <w:pPr>
        <w:jc w:val="both"/>
        <w:ind w:left="780" w:hanging="326"/>
        <w:spacing w:after="0" w:line="258"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2016, we entered into a Memorandum of Agreement (“MOA”) with Wildlife Conservation Society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of the coast of New Jersey which sought to establish a baseline acoustic survey. The deployment proceeded for approximately three months and met all project objectives.</w:t>
      </w:r>
    </w:p>
    <w:p>
      <w:pPr>
        <w:spacing w:after="0" w:line="183" w:lineRule="exact"/>
        <w:rPr>
          <w:rFonts w:ascii="Times New Roman" w:cs="Times New Roman" w:eastAsia="Times New Roman" w:hAnsi="Times New Roman"/>
          <w:sz w:val="18"/>
          <w:szCs w:val="18"/>
          <w:color w:val="auto"/>
        </w:rPr>
      </w:pPr>
    </w:p>
    <w:p>
      <w:pPr>
        <w:jc w:val="both"/>
        <w:ind w:left="780" w:hanging="326"/>
        <w:spacing w:after="0" w:line="25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we entered into a cooperative research and development agreement (“CRADA”) with the National Data Buoy Center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commercialize our PB3 for use in remote offshore power and real-time data communications applications, and in order to achieve this goal, we are pursuing the following business objectives:</w:t>
      </w:r>
    </w:p>
    <w:p>
      <w:pPr>
        <w:spacing w:after="0" w:line="160" w:lineRule="exact"/>
        <w:rPr>
          <w:sz w:val="20"/>
          <w:szCs w:val="20"/>
          <w:color w:val="auto"/>
        </w:rPr>
      </w:pPr>
    </w:p>
    <w:p>
      <w:pPr>
        <w:jc w:val="both"/>
        <w:ind w:left="660" w:hanging="328"/>
        <w:spacing w:after="0" w:line="259"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 and/or lease PB3. </w:t>
      </w:r>
      <w:r>
        <w:rPr>
          <w:rFonts w:ascii="Times New Roman" w:cs="Times New Roman" w:eastAsia="Times New Roman" w:hAnsi="Times New Roman"/>
          <w:sz w:val="18"/>
          <w:szCs w:val="18"/>
          <w:color w:val="auto"/>
        </w:rPr>
        <w:t>We believe our PB3 is well suited for many autonomous (non-grid connected) offshore applications. We have investigated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market demand for both PowerBuoy® sales and leases within our selected markets, and we intend to sell and lease PB3 to these markets. Additionally, we intend to provide services associated with product sales and leases such as maintenance, remote monitoring and diagnostics, application engineering, planning, training, logistics support required for the PB3 life-cycle. We continue to increase our commercial capabilities through new hires in marketing, sales, and application support, and through engagement of expert market consultants in various geographies.</w:t>
      </w:r>
    </w:p>
    <w:p>
      <w:pPr>
        <w:spacing w:after="0" w:line="17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Expand product offering by adding new complimentary products that are cost efficient and designed for shorter and faster deployments, which will create a system solutions approach for our customers. </w:t>
      </w:r>
      <w:r>
        <w:rPr>
          <w:rFonts w:ascii="Times New Roman" w:cs="Times New Roman" w:eastAsia="Times New Roman" w:hAnsi="Times New Roman"/>
          <w:sz w:val="18"/>
          <w:szCs w:val="18"/>
          <w:color w:val="auto"/>
        </w:rPr>
        <w:t>We are currently developing two new complementary products to our PB3, the hybrid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PowerBuoy® and subsea battery solutions. These products build on our existing expertise in offshore power systems and are targeted for a near term deployment. The hybrid PowerBuoy® is to be highly complementary to the PB3 by providing the Company the opportunity to address a broader spectrum of customer deployment needs, including low-wave environments, with the potential for greater Company integration within each customer project. The hybrid PowerBuoy® is primarily intended for shorter term deployment applications such as eROV and AUV inspections and short-term maintenance, topside surveillance and communications, and subsea equipment and controls. The subsea battery solutions are expected to offer the possibility of creating a sea floor energy storage solution for remote offshore operations. These subsea battery systems will contain lithium ion batteries, which provide high power density to supply power that can enable subsea equipment, sensors, communications, AUVs and eROV recharge. Ideal for many remote offshore customer applications, these subsea battery systems are anticipated to be high performance, cost-efficient, and quickly deployable.</w:t>
      </w:r>
    </w:p>
    <w:p>
      <w:pPr>
        <w:spacing w:after="0" w:line="192" w:lineRule="exact"/>
        <w:rPr>
          <w:rFonts w:ascii="Times New Roman" w:cs="Times New Roman" w:eastAsia="Times New Roman" w:hAnsi="Times New Roman"/>
          <w:sz w:val="18"/>
          <w:szCs w:val="18"/>
          <w:i w:val="1"/>
          <w:iCs w:val="1"/>
          <w:color w:val="auto"/>
        </w:rPr>
      </w:pPr>
    </w:p>
    <w:p>
      <w:pPr>
        <w:jc w:val="both"/>
        <w:ind w:left="660" w:right="20" w:hanging="328"/>
        <w:spacing w:after="0" w:line="267"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Concentrate sales and marketing efforts in specific geographic markets. </w:t>
      </w:r>
      <w:r>
        <w:rPr>
          <w:rFonts w:ascii="Times New Roman" w:cs="Times New Roman" w:eastAsia="Times New Roman" w:hAnsi="Times New Roman"/>
          <w:sz w:val="18"/>
          <w:szCs w:val="18"/>
          <w:color w:val="auto"/>
        </w:rPr>
        <w:t>We are currently focusing our marketing efforts on parts of North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South America and Asia. We believe that each of these areas has sizable end market opportunities, political and economic stability, and high levels of industrialization and economic development.</w:t>
      </w:r>
    </w:p>
    <w:p>
      <w:pPr>
        <w:spacing w:after="0" w:line="173"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Expand our relationships in key market areas through strategic partnerships and collaborations. </w:t>
      </w:r>
      <w:r>
        <w:rPr>
          <w:rFonts w:ascii="Times New Roman" w:cs="Times New Roman" w:eastAsia="Times New Roman" w:hAnsi="Times New Roman"/>
          <w:sz w:val="18"/>
          <w:szCs w:val="18"/>
          <w:color w:val="auto"/>
        </w:rPr>
        <w:t>We believe that strategic partners are an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w:t>
      </w:r>
    </w:p>
    <w:p>
      <w:pPr>
        <w:spacing w:after="0" w:line="180"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Commercial collaborations. </w:t>
      </w:r>
      <w:r>
        <w:rPr>
          <w:rFonts w:ascii="Times New Roman" w:cs="Times New Roman" w:eastAsia="Times New Roman" w:hAnsi="Times New Roman"/>
          <w:sz w:val="18"/>
          <w:szCs w:val="18"/>
          <w:color w:val="auto"/>
        </w:rPr>
        <w:t>We believe that an important element of our business strategy is to collaborate with other organizations to leverage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expertise, market presence and access, and core competences across key markets. We have formed such a relationship with several well-known groups, including Modus, Saab, NEC ES, Acteon, MES, PMO and Eni. We continue to seek other opportunities to collaborate with application experts from within our selected markets.</w:t>
      </w:r>
    </w:p>
    <w:p>
      <w:pPr>
        <w:spacing w:after="0" w:line="180" w:lineRule="exact"/>
        <w:rPr>
          <w:rFonts w:ascii="Times New Roman" w:cs="Times New Roman" w:eastAsia="Times New Roman" w:hAnsi="Times New Roman"/>
          <w:sz w:val="18"/>
          <w:szCs w:val="18"/>
          <w:i w:val="1"/>
          <w:iCs w:val="1"/>
          <w:color w:val="auto"/>
        </w:rPr>
      </w:pPr>
    </w:p>
    <w:p>
      <w:pPr>
        <w:jc w:val="both"/>
        <w:ind w:left="660" w:hanging="328"/>
        <w:spacing w:after="0" w:line="25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Outsourcing of fabrication, deployment and service support</w:t>
      </w:r>
      <w:r>
        <w:rPr>
          <w:rFonts w:ascii="Times New Roman" w:cs="Times New Roman" w:eastAsia="Times New Roman" w:hAnsi="Times New Roman"/>
          <w:sz w:val="18"/>
          <w:szCs w:val="18"/>
          <w:color w:val="auto"/>
        </w:rPr>
        <w:t>. We outsource all fabrication, anchoring, mooring, cabling supply, and in most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ensure a cost-effective product by leveraging a larger more established supply base. We also continue to seek strategic partnerships with regard to servicing of our PB3.</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PB3 cost reduction and PowerBuoy® product development. </w:t>
      </w:r>
      <w:r>
        <w:rPr>
          <w:rFonts w:ascii="Times New Roman" w:cs="Times New Roman" w:eastAsia="Times New Roman" w:hAnsi="Times New Roman"/>
          <w:sz w:val="18"/>
          <w:szCs w:val="18"/>
          <w:color w:val="auto"/>
        </w:rPr>
        <w:t>Our engineering efforts are focused on customer application development for PB3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reduction of our PB3 and improving the energy output, reliability, maintenance interval and expected operating life of our PowerBuoys®. We continue to optimize manufacturability of our designs with a focus on cost competitiveness, and we believe we will be able to address new and different applications by developing new products that increase energy output.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23, 2017, the Company sold 286,972 shares of common stock at a price of $28.40 per share in a best efforts public offering. The net proceeds to the Company from the offering were approximately $7.4 million, after deducting placement fees and offering expenses payable by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As of July 31, 2019, the Company has sold 162,162 shares of common stock with an aggregate market value of $949,259 at an average price of $5.85 per share pursuant to this common stock purchase agreement. The Company has sold all the shares available for sale under the current common stock purchase agreement.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2019, the Company entered into an At the Market Offering Agreement (“2019 ATM Facility”) with A.G.P./Alliance Global Partners (“AGP”), under which the Company may issue and sell to or through AGP, acting as agent and/or principal, shares of the Company’s common stock having an aggregate offering price of up to $25 million. As of July 31, 2019, under the 2019 ATM Facility, during the month of January 2019, the Company issued and sold 151,561 shares of its common stock with an aggregate market value of $958,229 at an average price of $6.32 per share and paid AGP a sales commission of approximately $33,469 related to those shares.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2019, the Company’s negotiated backlog was $0.7 million. As of April 30, 2019, negotiated backlog was $0.9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The Company has experienced substantial and recurring losses from operations, which losses have caused an accumulated deficit of $212.8 million at July 31, 2019. Based on the Company’s cash, cash equivalents and restricted cash balances as of July 31, 2019, the Company believes that it will be able to finance its capital requirements and operations into the quarter ending July 31 2020. Among other things, the Company is currently evaluating a variety of different financing alternatives and we expect to continue to fund our business with sales of our securities and through generating revenue with customers.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filed with our Annual Report on Form 10-K for the year ended April 30, 2019,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2019. There were no material changes in our critical accounting estimates or accounting policies during the three months ended July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three-month period ended July 31, 2019 and 2018 all of the Company’s contracts were classified as firm fixed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breakdown of our revenues by customer for the three months ended July 31, 2019 and 2018.</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284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10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Navy</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on parts of North America, Europe, South America and Asia. The following table shows the percentage of our revenues by geographical location of our customers for the three months ended July 31, 2019 and 2018.</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37"/>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16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5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not required to be adjusted to fair value on a recurring basis consist principally of cash, cash equivalents,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money market fund and interest expense paid on certain obligations to third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cash accounts that are denominated in British pounds sterling, Euros and Australian dollars. These foreign-denominated accounts had a balance of $0.7 million as of July 31, 2019 and $1.0 million as of July 31, 2018, compared to our total cash, cash equivalents and restricted cash balances of $13.5 million as of July 31, 2019 and $8.4 million as of July 31, 2018. These foreign currency balances are translated each month and to our functional currency, the US dollar, and any resulting gain or loss is recognized in our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2019 compared to the three months ended July 31, 2018</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July 31, 2019 and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59"/>
        </w:trPr>
        <w:tc>
          <w:tcPr>
            <w:tcW w:w="5500" w:type="dxa"/>
            <w:vAlign w:val="bottom"/>
          </w:tcPr>
          <w:p>
            <w:pPr>
              <w:spacing w:after="0"/>
              <w:rPr>
                <w:sz w:val="22"/>
                <w:szCs w:val="22"/>
                <w:color w:val="auto"/>
              </w:rPr>
            </w:pPr>
          </w:p>
        </w:tc>
        <w:tc>
          <w:tcPr>
            <w:tcW w:w="316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5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2019 period to</w:t>
            </w:r>
          </w:p>
        </w:tc>
      </w:tr>
      <w:tr>
        <w:trPr>
          <w:trHeight w:val="237"/>
        </w:trPr>
        <w:tc>
          <w:tcPr>
            <w:tcW w:w="55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2018</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2018 period</w:t>
            </w:r>
          </w:p>
        </w:tc>
      </w:tr>
      <w:tr>
        <w:trPr>
          <w:trHeight w:val="216"/>
        </w:trPr>
        <w:tc>
          <w:tcPr>
            <w:tcW w:w="55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4"/>
          </w:tcPr>
          <w:p>
            <w:pPr>
              <w:jc w:val="right"/>
              <w:ind w:right="725"/>
              <w:spacing w:after="0"/>
              <w:rPr>
                <w:sz w:val="20"/>
                <w:szCs w:val="20"/>
                <w:color w:val="auto"/>
              </w:rPr>
            </w:pPr>
            <w:r>
              <w:rPr>
                <w:rFonts w:ascii="Times New Roman" w:cs="Times New Roman" w:eastAsia="Times New Roman" w:hAnsi="Times New Roman"/>
                <w:sz w:val="18"/>
                <w:szCs w:val="18"/>
                <w:color w:val="auto"/>
              </w:rPr>
              <w:t>(in thousands)</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w:t>
            </w:r>
          </w:p>
        </w:tc>
        <w:tc>
          <w:tcPr>
            <w:tcW w:w="1120" w:type="dxa"/>
            <w:vAlign w:val="bottom"/>
            <w:gridSpan w:val="2"/>
            <w:shd w:val="clear" w:color="auto" w:fill="CCEEFF"/>
          </w:tcPr>
          <w:p>
            <w:pPr>
              <w:jc w:val="right"/>
              <w:ind w:right="98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r>
      <w:tr>
        <w:trPr>
          <w:trHeight w:val="236"/>
        </w:trPr>
        <w:tc>
          <w:tcPr>
            <w:tcW w:w="5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loss</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Borders>
              <w:top w:val="single" w:sz="8" w:color="CCEEFF"/>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 costs</w:t>
            </w:r>
          </w:p>
        </w:tc>
        <w:tc>
          <w:tcPr>
            <w:tcW w:w="1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1,697</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30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2,895</w:t>
            </w:r>
          </w:p>
        </w:tc>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03"/>
        </w:trPr>
        <w:tc>
          <w:tcPr>
            <w:tcW w:w="5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(3,060)</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(3,312)</w:t>
            </w:r>
          </w:p>
        </w:tc>
        <w:tc>
          <w:tcPr>
            <w:tcW w:w="320" w:type="dxa"/>
            <w:vAlign w:val="bottom"/>
            <w:tcBorders>
              <w:top w:val="single" w:sz="8" w:color="CCEEFF"/>
            </w:tcBorders>
            <w:gridSpan w:val="2"/>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1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r>
      <w:tr>
        <w:trPr>
          <w:trHeight w:val="25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7"/>
        </w:trPr>
        <w:tc>
          <w:tcPr>
            <w:tcW w:w="5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340" w:type="dxa"/>
            <w:vAlign w:val="bottom"/>
            <w:tcBorders>
              <w:top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ind w:right="9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3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were $0.2 million in the three months ended July 31, 2019 an increase of $0.2 million as compared to the three months ended July 31, 2018. The increase in revenue was the result of the contracts with Eni, PMO and U.S. Navy.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were $0.4 million in the three months ended July 31, 2019, an increase of $0.2 million compared to the three months ended July 31, 2018. The increase in cost of revenues is due to higher upfront spending and material costs on new customer revenue generating projects compared to the same period in fiscal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costs for the three months ended July 31, 2019 and 2018 were $1.2 million and $1.1 million, respectively. Despite increased costs associated with new products in the current year period compared to higher personnel costs in the comparable prior year period, spending was relatively flat as compared to the same period in fiscal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for the three months ended July 31, 2019 and 2018 were $1.7 million and $2.1 million, respectively. The decrease of $0.4 million was mostly due to lower personnel costs of $0.1 million and professional fees of $0.3 million as compared to the same period in fiscal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due to the change in fair value of warrant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during the three months ended July 31, 2019 was an unrealized gain of $6,000 versus an unrealized gain of $85,000 for the three months ended July 31, 2018. The change between periods is due primarily to a lower stock price during the three months ended July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net during the three months ended July 31, 2019 was $42,000, compared to $13,000 during the three months ended July 31, 2018. The increase of $29,000 is due to higher cash balances in the three months ended July 31, 2019 as compared to the three months ended July 31, 2018.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Foreign exchange gain/(loss)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loss during the three months ended July 31, 2019 was $13,000 compared to a loss of $26,000 during the three months ended July 31, 2018. The difference was attributable primarily to the relative change in value of the British pound sterling, Euro and Australian dollar compared to the US dollar during the two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the planned growth of our business. For the two years ended April 30, 2019, our aggregate revenues were $1.1 million, our aggregate net losses were $22.4 million and our aggregate net cash used in operating activities was $22.8 million.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used in operating activities during the three months ended July 31, 2019 were $3.6 million, a decrease of $0.2 million compared to $3.8 million during the three months ended July 31, 2018. The decrease was primarily due to lower net loss of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July 31, 2019 was $28,000, a decrease of $2,000 compared to net cash used by investing activities during the three months ended July 31, 2018. The decrease in net cash used in investing activities was due to lower spending on the purchase of computers, equipment and furniture.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by financing activities during the three months ended July 31, 2019 was $19,000 compared to net cash used by financing activities during the three months ended July 31, 2018 of $9,000. Net cash used by financing activities during the three months ended July 31, 2019 included costs associated with the exercise of pre-funded warrants of $18,000.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 decrease of $20,000 in the three months ended July 31, 2019 and a decrease of $31,000 in the three months ended July 31, 2018. The effect of exchange rates on cash and cash equivalents results primarily from gains or losses on consolidation of foreign subsidiaries and foreign denominated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We have experienced substantial and recurring losses from operations, which have contributed to an accumulated deficit of $212.8 million at July 31, 2019. As of July 31, 2019, we had approximately $13.5 million in cash, cash equivalents and restricted cash on hand. The Company generated revenues of $0.2 million and $31,000 during the three months ended July 31, 2019 and 2018, respectively. Based on the Company’s cash, cash equivalents and restricted cash balances as of July 31, 2019, the Company believes that it will be able to finance its capital requirements and operations into the quarter ended July 31, 2020. Among other things, the Company is currently evaluating a variety of different financing alternatives and we expect to continue to fund our business with sales of our securities and through generating revenue with customers. These conditions raise substantial doubt about our ability to continue as a going concern.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76" w:lineRule="exact"/>
        <w:rPr>
          <w:sz w:val="20"/>
          <w:szCs w:val="20"/>
          <w:color w:val="auto"/>
        </w:rPr>
      </w:pPr>
    </w:p>
    <w:p>
      <w:pPr>
        <w:ind w:left="1620" w:hanging="640"/>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PowerBuoys®, and achieve and sustain profitability;</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6" w:name="page37"/>
    <w:bookmarkEnd w:id="36"/>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a commercially viable PowerBuoy® product;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market and develop new products, such as a hybrid PowerBuoy® or subsea battery solutions;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PowerBuoys® and our wave energy technology;</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output, survivability and reliability of our PowerBuoys®;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strategic partners may not be successful and we may not be successful in establishing additional relationships;</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through our current equity facilities;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$14.4 million in fiscal 2020 including engineering and product development spending of more than $7.4 million. We may choose to reduce our operating expenses through personnel reductions, and reductions in our research and development and other operating costs during the remainder of fiscal year 2020,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effectiveness of the design and operation of our disclosure controls and procedures as of July 31, 2019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July 31, 2019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July 31, 2019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For information on matters in dispute, see Note 14 to the Consolidated Financial Statements in the Annual Report Form10-K, and Note 14 to the Condensed Financial Statements under Part I,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2019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22,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auditors have raised substantial doubts as to our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$212.8 million as of July 31, 2019. As of July 31, 2019, the Company had approximately $13.5 million in cash, cash equivalents and restricted cash on hand. The Company generated revenues of $0.2 million and $31,000 during the three months ended July 31, 2019 and 2018, respectively. Based on the Company’s cash, cash equivalents and restricted cash balances as of July 31, 2019, the Company believes that it will be able to finance its capital requirements and operations into the quarter ending July 31, 2020.</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experience operating losses and currently have only two revenue producing contracts, one with Premier Oil for the lease of a PB3 PowerBuoy® which will begin after deployment in one of PMO’s offshore fields in the North Sea. Another contract with Eni that provides for a minimum 24-month contract that includes an 18-month PB3 PowerBuoy® lease and associated project management. During fiscal 2019, our net burn rate (cash used in operations less cash generated by operations) including engineering and product development spending was approximately $1.0 million per month.</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$14.4 million in fiscal 2020 including engineering and product development spending of more than $7.4 million. However, we may choose to reduce our operating expenses through personnel reductions, and reductions in our research and development and other operating costs during fiscal year 2020,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$3.0 million during the three months ended July 31, 2019 and $12.2 million in fiscal 2019. As of July 31, 2019, we had an accumulated deficit of $212.8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continually improve existing products, design and sell new products and invest in research and development in order to compete effectively.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Examples of this include our subsea battery solution and our hybrid PowerBuoy®.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7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improvements are not completed on a timely basis;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are not introduced on a timely basis or do not achieve sufficient market penetration;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budget overruns or delays in R&amp;D efforts;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experience reliability or quality problems, or otherwise do not meet customer preferences or requirements.</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2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Purchased Under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Period</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Purchased</w:t>
            </w:r>
          </w:p>
        </w:tc>
        <w:tc>
          <w:tcPr>
            <w:tcW w:w="380" w:type="dxa"/>
            <w:vAlign w:val="bottom"/>
          </w:tcPr>
          <w:p>
            <w:pPr>
              <w:spacing w:after="0"/>
              <w:rPr>
                <w:sz w:val="20"/>
                <w:szCs w:val="20"/>
                <w:color w:val="auto"/>
              </w:rPr>
            </w:pPr>
          </w:p>
        </w:tc>
        <w:tc>
          <w:tcPr>
            <w:tcW w:w="16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Share</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 May 31</w:t>
            </w:r>
          </w:p>
        </w:tc>
        <w:tc>
          <w:tcPr>
            <w:tcW w:w="2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481</w:t>
            </w: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2.31</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 June 30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44">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46">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48">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50">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900" w:hanging="892"/>
        <w:spacing w:after="0" w:line="26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Quarterly Report on Form 10-Q for the quarter ended July 31, 2019, formatted in eXtensible Business Reporting Language (XBRL): (i) Consolidated Balance Sheets – July 31, 2019 (unaudited) and April 30, 2019,</w:t>
      </w:r>
    </w:p>
    <w:p>
      <w:pPr>
        <w:jc w:val="both"/>
        <w:ind w:left="900" w:right="20" w:hanging="1"/>
        <w:spacing w:after="0" w:line="254" w:lineRule="auto"/>
        <w:tabs>
          <w:tab w:leader="none" w:pos="12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(unaudited) – three months ended July 31, 2019 and 2018, (iii) Consolidated Statements of Comprehensive Loss (unaudited) – three months ended July 31, 2019 and 2018, (iv) Consolidated Statements of Cash Flows (unaudited) – three months ended July 31, 2019 and 2018, (v) Consolidated Statement of Stockholders’ Equity (unaudited) – three months ended July 31, 2019 (vi) Notes to Consolidated Financial Statements.**</w:t>
      </w:r>
    </w:p>
    <w:p>
      <w:pPr>
        <w:spacing w:after="0" w:line="186" w:lineRule="exact"/>
        <w:rPr>
          <w:sz w:val="20"/>
          <w:szCs w:val="20"/>
          <w:color w:val="auto"/>
        </w:rPr>
      </w:pPr>
    </w:p>
    <w:p>
      <w:pPr>
        <w:jc w:val="both"/>
        <w:ind w:left="900" w:hanging="1"/>
        <w:spacing w:after="0" w:line="266" w:lineRule="auto"/>
        <w:tabs>
          <w:tab w:leader="none" w:pos="10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both"/>
        <w:ind w:left="900" w:hanging="1"/>
        <w:spacing w:after="0" w:line="266" w:lineRule="auto"/>
        <w:tabs>
          <w:tab w:leader="none" w:pos="11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6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Ocean Power Technologies, Inc.</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34048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34048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2">
            <w:col w:w="5980" w:space="80"/>
            <w:col w:w="5360"/>
          </w:cols>
          <w:pgMar w:left="240" w:top="657" w:right="239" w:bottom="1440" w:gutter="0" w:footer="0" w:header="0"/>
          <w:type w:val="continuous"/>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2019</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2019</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2019,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640" w:firstLine="8"/>
        <w:spacing w:after="0" w:line="499"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16, 2019</w:t>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2019,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640" w:firstLine="8"/>
        <w:spacing w:after="0" w:line="499"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16, 2019</w:t>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01"/>
    </w:lvl>
    <w:lvl w:ilvl="1">
      <w:lvlJc w:val="left"/>
      <w:lvlText w:val="(%2)"/>
      <w:numFmt w:val="lowerRoman"/>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2019-12-28T06:19:17Z</dcterms:created>
  <dcterms:modified xsi:type="dcterms:W3CDTF">2019-12-28T06:19:17Z</dcterms:modified>
</cp:coreProperties>
</file>