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357505</wp:posOffset>
            </wp:positionH>
            <wp:positionV relativeFrom="page">
              <wp:posOffset>139065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2" w:lineRule="exact"/>
        <w:rPr>
          <w:sz w:val="24"/>
          <w:szCs w:val="24"/>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April 30, 2011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 w:lineRule="exact"/>
        <w:rPr>
          <w:sz w:val="24"/>
          <w:szCs w:val="24"/>
          <w:color w:val="auto"/>
        </w:rPr>
      </w:pPr>
    </w:p>
    <w:p>
      <w:pPr>
        <w:ind w:left="1760" w:hanging="803"/>
        <w:spacing w:after="0"/>
        <w:tabs>
          <w:tab w:leader="none" w:pos="176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60"/>
          </w:cols>
          <w:pgMar w:left="220" w:top="300" w:right="219" w:bottom="1440" w:gutter="0" w:footer="0" w:header="0"/>
        </w:sectPr>
      </w:pPr>
    </w:p>
    <w:p>
      <w:pPr>
        <w:spacing w:after="0" w:line="14" w:lineRule="exact"/>
        <w:rPr>
          <w:sz w:val="24"/>
          <w:szCs w:val="24"/>
          <w:color w:val="auto"/>
        </w:rPr>
      </w:pPr>
    </w:p>
    <w:p>
      <w:pPr>
        <w:ind w:left="176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tabs>
          <w:tab w:leader="none" w:pos="420" w:val="left"/>
        </w:tabs>
        <w:rPr>
          <w:sz w:val="20"/>
          <w:szCs w:val="20"/>
          <w:color w:val="auto"/>
        </w:rPr>
      </w:pPr>
      <w:r>
        <w:rPr>
          <w:rFonts w:ascii="Arial" w:cs="Arial" w:eastAsia="Arial" w:hAnsi="Arial"/>
          <w:sz w:val="7"/>
          <w:szCs w:val="7"/>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164" w:lineRule="exact"/>
        <w:rPr>
          <w:sz w:val="24"/>
          <w:szCs w:val="24"/>
          <w:color w:val="auto"/>
        </w:rPr>
      </w:pPr>
    </w:p>
    <w:p>
      <w:pPr>
        <w:sectPr>
          <w:pgSz w:w="11900" w:h="16838" w:orient="portrait"/>
          <w:cols w:equalWidth="0" w:num="2">
            <w:col w:w="3440" w:space="340"/>
            <w:col w:w="7680"/>
          </w:cols>
          <w:pgMar w:left="220" w:top="300"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Commission File Number 001-33417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83820</wp:posOffset>
            </wp:positionV>
            <wp:extent cx="1335405" cy="280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5405" cy="2806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2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22-2535818</w:t>
      </w:r>
    </w:p>
    <w:p>
      <w:pPr>
        <w:spacing w:after="0" w:line="31" w:lineRule="exact"/>
        <w:rPr>
          <w:sz w:val="24"/>
          <w:szCs w:val="24"/>
          <w:color w:val="auto"/>
        </w:rPr>
      </w:pPr>
    </w:p>
    <w:p>
      <w:pPr>
        <w:sectPr>
          <w:pgSz w:w="11900" w:h="16838" w:orient="portrait"/>
          <w:cols w:equalWidth="0" w:num="2">
            <w:col w:w="7440" w:space="720"/>
            <w:col w:w="3300"/>
          </w:cols>
          <w:pgMar w:left="220" w:top="300" w:right="219" w:bottom="1440" w:gutter="0" w:footer="0" w:header="0"/>
          <w:type w:val="continuous"/>
        </w:sectPr>
      </w:pPr>
    </w:p>
    <w:p>
      <w:pPr>
        <w:ind w:left="2380"/>
        <w:spacing w:after="0"/>
        <w:rPr>
          <w:sz w:val="20"/>
          <w:szCs w:val="20"/>
          <w:color w:val="auto"/>
        </w:rPr>
      </w:pPr>
      <w:r>
        <w:rPr>
          <w:rFonts w:ascii="Arial" w:cs="Arial" w:eastAsia="Arial" w:hAnsi="Arial"/>
          <w:sz w:val="10"/>
          <w:szCs w:val="10"/>
          <w:i w:val="1"/>
          <w:iCs w:val="1"/>
          <w:color w:val="auto"/>
        </w:rPr>
        <w:t>(State or other jurisdiction of</w:t>
      </w:r>
    </w:p>
    <w:p>
      <w:pPr>
        <w:ind w:left="234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600"/>
        <w:spacing w:after="0"/>
        <w:rPr>
          <w:sz w:val="20"/>
          <w:szCs w:val="20"/>
          <w:color w:val="auto"/>
        </w:rPr>
      </w:pPr>
      <w:r>
        <w:rPr>
          <w:rFonts w:ascii="Arial" w:cs="Arial" w:eastAsia="Arial" w:hAnsi="Arial"/>
          <w:sz w:val="10"/>
          <w:szCs w:val="10"/>
          <w:i w:val="1"/>
          <w:iCs w:val="1"/>
          <w:color w:val="auto"/>
        </w:rPr>
        <w:t>(I.R.S. Employer</w:t>
      </w:r>
    </w:p>
    <w:p>
      <w:pPr>
        <w:jc w:val="center"/>
        <w:ind w:right="2600"/>
        <w:spacing w:after="0"/>
        <w:rPr>
          <w:sz w:val="20"/>
          <w:szCs w:val="20"/>
          <w:color w:val="auto"/>
        </w:rPr>
      </w:pPr>
      <w:r>
        <w:rPr>
          <w:rFonts w:ascii="Arial" w:cs="Arial" w:eastAsia="Arial" w:hAnsi="Arial"/>
          <w:sz w:val="9"/>
          <w:szCs w:val="9"/>
          <w:i w:val="1"/>
          <w:iCs w:val="1"/>
          <w:color w:val="auto"/>
        </w:rPr>
        <w:t>Identification No.)</w:t>
      </w:r>
    </w:p>
    <w:p>
      <w:pPr>
        <w:spacing w:after="0" w:line="46" w:lineRule="exact"/>
        <w:rPr>
          <w:sz w:val="24"/>
          <w:szCs w:val="24"/>
          <w:color w:val="auto"/>
        </w:rPr>
      </w:pPr>
    </w:p>
    <w:p>
      <w:pPr>
        <w:sectPr>
          <w:pgSz w:w="11900" w:h="16838" w:orient="portrait"/>
          <w:cols w:equalWidth="0" w:num="2">
            <w:col w:w="7380" w:space="720"/>
            <w:col w:w="3360"/>
          </w:cols>
          <w:pgMar w:left="220" w:top="300" w:right="21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1590 REED ROAD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PENNINGTON, NJ 08534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0"/>
          <w:szCs w:val="10"/>
          <w:i w:val="1"/>
          <w:iCs w:val="1"/>
          <w:color w:val="auto"/>
        </w:rPr>
        <w:t>(Address of principal executive offices, including zip code)</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 (609) 730-0400</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460"/>
          </w:cols>
          <w:pgMar w:left="220" w:top="300" w:right="219" w:bottom="1440" w:gutter="0" w:footer="0" w:header="0"/>
          <w:type w:val="continuous"/>
        </w:sectPr>
      </w:pPr>
    </w:p>
    <w:p>
      <w:pPr>
        <w:spacing w:after="0" w:line="102" w:lineRule="exact"/>
        <w:rPr>
          <w:sz w:val="24"/>
          <w:szCs w:val="24"/>
          <w:color w:val="auto"/>
        </w:rPr>
      </w:pPr>
    </w:p>
    <w:p>
      <w:pPr>
        <w:ind w:left="302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Exchange on Which Registered</w:t>
      </w:r>
    </w:p>
    <w:p>
      <w:pPr>
        <w:spacing w:after="0" w:line="72" w:lineRule="exact"/>
        <w:rPr>
          <w:sz w:val="24"/>
          <w:szCs w:val="24"/>
          <w:color w:val="auto"/>
        </w:rPr>
      </w:pPr>
    </w:p>
    <w:p>
      <w:pPr>
        <w:sectPr>
          <w:pgSz w:w="11900" w:h="16838" w:orient="portrait"/>
          <w:cols w:equalWidth="0" w:num="2">
            <w:col w:w="7740" w:space="720"/>
            <w:col w:w="3000"/>
          </w:cols>
          <w:pgMar w:left="220" w:top="300" w:right="219" w:bottom="1440" w:gutter="0" w:footer="0" w:header="0"/>
          <w:type w:val="continuous"/>
        </w:sectPr>
      </w:pPr>
    </w:p>
    <w:p>
      <w:pPr>
        <w:ind w:left="2160"/>
        <w:spacing w:after="0"/>
        <w:rPr>
          <w:sz w:val="20"/>
          <w:szCs w:val="20"/>
          <w:color w:val="auto"/>
        </w:rPr>
      </w:pPr>
      <w:r>
        <w:rPr>
          <w:rFonts w:ascii="Arial" w:cs="Arial" w:eastAsia="Arial" w:hAnsi="Arial"/>
          <w:sz w:val="11"/>
          <w:szCs w:val="11"/>
          <w:color w:val="auto"/>
        </w:rPr>
        <w:t>Common Stock, par value $0.001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The Nasdaq Global Market</w:t>
      </w:r>
    </w:p>
    <w:p>
      <w:pPr>
        <w:spacing w:after="0" w:line="104" w:lineRule="exact"/>
        <w:rPr>
          <w:sz w:val="24"/>
          <w:szCs w:val="24"/>
          <w:color w:val="auto"/>
        </w:rPr>
      </w:pPr>
    </w:p>
    <w:p>
      <w:pPr>
        <w:sectPr>
          <w:pgSz w:w="11900" w:h="16838" w:orient="portrait"/>
          <w:cols w:equalWidth="0" w:num="2">
            <w:col w:w="7040" w:space="720"/>
            <w:col w:w="3700"/>
          </w:cols>
          <w:pgMar w:left="220" w:top="300"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ectPr>
          <w:pgSz w:w="11900" w:h="16838" w:orient="portrait"/>
          <w:cols w:equalWidth="0" w:num="1">
            <w:col w:w="11460"/>
          </w:cols>
          <w:pgMar w:left="220" w:top="300" w:right="219" w:bottom="1440" w:gutter="0" w:footer="0" w:header="0"/>
          <w:type w:val="continuous"/>
        </w:sectPr>
      </w:pPr>
    </w:p>
    <w:p>
      <w:pPr>
        <w:spacing w:after="0" w:line="89" w:lineRule="exact"/>
        <w:rPr>
          <w:sz w:val="24"/>
          <w:szCs w:val="24"/>
          <w:color w:val="auto"/>
        </w:rPr>
      </w:pPr>
    </w:p>
    <w:p>
      <w:pPr>
        <w:ind w:left="66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2">
            <w:col w:w="7160" w:space="160"/>
            <w:col w:w="4140"/>
          </w:cols>
          <w:pgMar w:left="220" w:top="300" w:right="219" w:bottom="1440" w:gutter="0" w:footer="0" w:header="0"/>
          <w:type w:val="continuous"/>
        </w:sectPr>
      </w:pPr>
    </w:p>
    <w:p>
      <w:pPr>
        <w:spacing w:after="0" w:line="25" w:lineRule="exact"/>
        <w:rPr>
          <w:sz w:val="24"/>
          <w:szCs w:val="24"/>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4"/>
          <w:szCs w:val="24"/>
          <w:color w:val="auto"/>
        </w:rPr>
      </w:pPr>
    </w:p>
    <w:p>
      <w:pPr>
        <w:sectPr>
          <w:pgSz w:w="11900" w:h="16838" w:orient="portrait"/>
          <w:cols w:equalWidth="0" w:num="2">
            <w:col w:w="7280" w:space="160"/>
            <w:col w:w="4020"/>
          </w:cols>
          <w:pgMar w:left="220" w:top="300" w:right="219" w:bottom="1440" w:gutter="0" w:footer="0" w:header="0"/>
          <w:type w:val="continuous"/>
        </w:sect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4"/>
          <w:szCs w:val="24"/>
          <w:color w:val="auto"/>
        </w:rPr>
      </w:pPr>
    </w:p>
    <w:p>
      <w:pPr>
        <w:ind w:left="340" w:right="620" w:firstLine="324"/>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59" w:lineRule="exact"/>
        <w:rPr>
          <w:sz w:val="24"/>
          <w:szCs w:val="24"/>
          <w:color w:val="auto"/>
        </w:rPr>
      </w:pPr>
    </w:p>
    <w:p>
      <w:pPr>
        <w:ind w:left="340" w:right="46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4"/>
          <w:szCs w:val="24"/>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4"/>
          <w:szCs w:val="24"/>
          <w:color w:val="auto"/>
        </w:rPr>
      </w:pPr>
    </w:p>
    <w:p>
      <w:pPr>
        <w:ind w:left="3860" w:right="340" w:hanging="5360"/>
        <w:spacing w:after="0" w:line="174" w:lineRule="exact"/>
        <w:tabs>
          <w:tab w:leader="none" w:pos="384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o Smaller reporting company o (Do not check if a smaller reporting company)</w:t>
      </w:r>
    </w:p>
    <w:p>
      <w:pPr>
        <w:spacing w:after="0" w:line="230" w:lineRule="exact"/>
        <w:rPr>
          <w:sz w:val="24"/>
          <w:szCs w:val="24"/>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4"/>
          <w:szCs w:val="24"/>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The aggregate market value of the common stock of the registrant held by non-affiliates as of October 31, 2010, the last business day of the registrant’s most recently completed second fiscal quarter, was $63.5 million based on the closing sale price of the registrant’s common stock on that date as reported on the Nasdaq Global Market.</w:t>
      </w:r>
    </w:p>
    <w:p>
      <w:pPr>
        <w:spacing w:after="0" w:line="59" w:lineRule="exact"/>
        <w:rPr>
          <w:sz w:val="24"/>
          <w:szCs w:val="24"/>
          <w:color w:val="auto"/>
        </w:rPr>
      </w:pPr>
    </w:p>
    <w:p>
      <w:pPr>
        <w:ind w:left="660"/>
        <w:spacing w:after="0"/>
        <w:rPr>
          <w:sz w:val="20"/>
          <w:szCs w:val="20"/>
          <w:color w:val="auto"/>
        </w:rPr>
      </w:pPr>
      <w:r>
        <w:rPr>
          <w:rFonts w:ascii="Arial" w:cs="Arial" w:eastAsia="Arial" w:hAnsi="Arial"/>
          <w:sz w:val="13"/>
          <w:szCs w:val="13"/>
          <w:color w:val="auto"/>
        </w:rPr>
        <w:t>The number of shares outstanding of the registrant’s common stock as of June 30, 2011 was 10,402,722.</w:t>
      </w:r>
    </w:p>
    <w:p>
      <w:pPr>
        <w:spacing w:after="0" w:line="92"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6000" w:type="dxa"/>
            <w:vAlign w:val="bottom"/>
          </w:tcPr>
          <w:p>
            <w:pPr>
              <w:ind w:left="268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ocument</w:t>
            </w:r>
          </w:p>
        </w:tc>
        <w:tc>
          <w:tcPr>
            <w:tcW w:w="4780" w:type="dxa"/>
            <w:vAlign w:val="bottom"/>
          </w:tcPr>
          <w:p>
            <w:pPr>
              <w:ind w:left="212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art of the Form 10-K into Which Incorporated</w:t>
            </w:r>
          </w:p>
        </w:tc>
        <w:tc>
          <w:tcPr>
            <w:tcW w:w="340" w:type="dxa"/>
            <w:vAlign w:val="bottom"/>
          </w:tcPr>
          <w:p>
            <w:pPr>
              <w:spacing w:after="0"/>
              <w:rPr>
                <w:sz w:val="11"/>
                <w:szCs w:val="11"/>
                <w:color w:val="auto"/>
              </w:rPr>
            </w:pPr>
          </w:p>
        </w:tc>
      </w:tr>
      <w:tr>
        <w:trPr>
          <w:trHeight w:val="205"/>
        </w:trPr>
        <w:tc>
          <w:tcPr>
            <w:tcW w:w="34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3"/>
                <w:szCs w:val="13"/>
                <w:color w:val="auto"/>
              </w:rPr>
              <w:t>Proxy Statement for the registrant’s 2011 Annual Meeting of Stockholders</w:t>
            </w:r>
          </w:p>
        </w:tc>
        <w:tc>
          <w:tcPr>
            <w:tcW w:w="4780" w:type="dxa"/>
            <w:vAlign w:val="bottom"/>
          </w:tcPr>
          <w:p>
            <w:pPr>
              <w:ind w:left="2080"/>
              <w:spacing w:after="0"/>
              <w:rPr>
                <w:sz w:val="20"/>
                <w:szCs w:val="20"/>
                <w:color w:val="auto"/>
              </w:rPr>
            </w:pPr>
            <w:r>
              <w:rPr>
                <w:rFonts w:ascii="Arial" w:cs="Arial" w:eastAsia="Arial" w:hAnsi="Arial"/>
                <w:sz w:val="13"/>
                <w:szCs w:val="13"/>
                <w:color w:val="auto"/>
              </w:rPr>
              <w:t>III</w:t>
            </w:r>
          </w:p>
        </w:tc>
        <w:tc>
          <w:tcPr>
            <w:tcW w:w="340" w:type="dxa"/>
            <w:vAlign w:val="bottom"/>
          </w:tcPr>
          <w:p>
            <w:pPr>
              <w:spacing w:after="0"/>
              <w:rPr>
                <w:sz w:val="17"/>
                <w:szCs w:val="17"/>
                <w:color w:val="auto"/>
              </w:rPr>
            </w:pPr>
          </w:p>
        </w:tc>
      </w:tr>
      <w:tr>
        <w:trPr>
          <w:trHeight w:val="80"/>
        </w:trPr>
        <w:tc>
          <w:tcPr>
            <w:tcW w:w="340" w:type="dxa"/>
            <w:vAlign w:val="bottom"/>
          </w:tcPr>
          <w:p>
            <w:pPr>
              <w:spacing w:after="0"/>
              <w:rPr>
                <w:sz w:val="6"/>
                <w:szCs w:val="6"/>
                <w:color w:val="auto"/>
              </w:rPr>
            </w:pPr>
          </w:p>
        </w:tc>
        <w:tc>
          <w:tcPr>
            <w:tcW w:w="600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600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type w:val="continuous"/>
        </w:sectPr>
      </w:pPr>
    </w:p>
    <w:bookmarkStart w:id="1" w:name="page2"/>
    <w:bookmarkEnd w:id="1"/>
    <w:tbl>
      <w:tblPr>
        <w:tblLayout w:type="fixed"/>
        <w:tblInd w:w="38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8520" w:type="dxa"/>
            <w:vAlign w:val="bottom"/>
          </w:tcPr>
          <w:p>
            <w:pPr>
              <w:jc w:val="center"/>
              <w:ind w:right="694"/>
              <w:spacing w:after="0"/>
              <w:rPr>
                <w:sz w:val="20"/>
                <w:szCs w:val="20"/>
                <w:color w:val="auto"/>
              </w:rPr>
            </w:pPr>
            <w:r>
              <w:rPr>
                <w:rFonts w:ascii="Arial" w:cs="Arial" w:eastAsia="Arial" w:hAnsi="Arial"/>
                <w:sz w:val="13"/>
                <w:szCs w:val="13"/>
                <w:b w:val="1"/>
                <w:bCs w:val="1"/>
                <w:color w:val="auto"/>
              </w:rPr>
              <w:t>OCEAN POWER TECHNOLOGIES, INC.</w:t>
            </w:r>
          </w:p>
        </w:tc>
        <w:tc>
          <w:tcPr>
            <w:tcW w:w="340" w:type="dxa"/>
            <w:vAlign w:val="bottom"/>
          </w:tcPr>
          <w:p>
            <w:pPr>
              <w:spacing w:after="0"/>
              <w:rPr>
                <w:sz w:val="14"/>
                <w:szCs w:val="14"/>
                <w:color w:val="auto"/>
              </w:rPr>
            </w:pPr>
          </w:p>
        </w:tc>
      </w:tr>
      <w:tr>
        <w:trPr>
          <w:trHeight w:val="246"/>
        </w:trPr>
        <w:tc>
          <w:tcPr>
            <w:tcW w:w="740" w:type="dxa"/>
            <w:vAlign w:val="bottom"/>
          </w:tcPr>
          <w:p>
            <w:pPr>
              <w:spacing w:after="0"/>
              <w:rPr>
                <w:sz w:val="21"/>
                <w:szCs w:val="21"/>
                <w:color w:val="auto"/>
              </w:rPr>
            </w:pPr>
          </w:p>
        </w:tc>
        <w:tc>
          <w:tcPr>
            <w:tcW w:w="8520" w:type="dxa"/>
            <w:vAlign w:val="bottom"/>
          </w:tcPr>
          <w:p>
            <w:pPr>
              <w:jc w:val="center"/>
              <w:ind w:right="694"/>
              <w:spacing w:after="0"/>
              <w:rPr>
                <w:sz w:val="20"/>
                <w:szCs w:val="20"/>
                <w:color w:val="auto"/>
              </w:rPr>
            </w:pPr>
            <w:r>
              <w:rPr>
                <w:rFonts w:ascii="Arial" w:cs="Arial" w:eastAsia="Arial" w:hAnsi="Arial"/>
                <w:sz w:val="13"/>
                <w:szCs w:val="13"/>
                <w:b w:val="1"/>
                <w:bCs w:val="1"/>
                <w:color w:val="auto"/>
              </w:rPr>
              <w:t>INDEX TO REPORT ON FORM 10-K</w:t>
            </w:r>
          </w:p>
        </w:tc>
        <w:tc>
          <w:tcPr>
            <w:tcW w:w="340" w:type="dxa"/>
            <w:vAlign w:val="bottom"/>
          </w:tcPr>
          <w:p>
            <w:pPr>
              <w:spacing w:after="0"/>
              <w:rPr>
                <w:sz w:val="21"/>
                <w:szCs w:val="21"/>
                <w:color w:val="auto"/>
              </w:rPr>
            </w:pPr>
          </w:p>
        </w:tc>
      </w:tr>
      <w:tr>
        <w:trPr>
          <w:trHeight w:val="286"/>
        </w:trPr>
        <w:tc>
          <w:tcPr>
            <w:tcW w:w="7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78"/>
        </w:trPr>
        <w:tc>
          <w:tcPr>
            <w:tcW w:w="740" w:type="dxa"/>
            <w:vAlign w:val="bottom"/>
          </w:tcPr>
          <w:p>
            <w:pPr>
              <w:spacing w:after="0"/>
              <w:rPr>
                <w:sz w:val="15"/>
                <w:szCs w:val="15"/>
                <w:color w:val="auto"/>
              </w:rPr>
            </w:pPr>
          </w:p>
        </w:tc>
        <w:tc>
          <w:tcPr>
            <w:tcW w:w="8520" w:type="dxa"/>
            <w:vAlign w:val="bottom"/>
          </w:tcPr>
          <w:p>
            <w:pPr>
              <w:jc w:val="center"/>
              <w:ind w:right="714"/>
              <w:spacing w:after="0"/>
              <w:rPr>
                <w:sz w:val="20"/>
                <w:szCs w:val="20"/>
                <w:color w:val="auto"/>
              </w:rPr>
            </w:pPr>
            <w:r>
              <w:rPr>
                <w:rFonts w:ascii="Arial" w:cs="Arial" w:eastAsia="Arial" w:hAnsi="Arial"/>
                <w:sz w:val="13"/>
                <w:szCs w:val="13"/>
                <w:b w:val="1"/>
                <w:bCs w:val="1"/>
                <w:color w:val="auto"/>
                <w:w w:val="98"/>
              </w:rPr>
              <w:t>PART I</w:t>
            </w:r>
          </w:p>
        </w:tc>
        <w:tc>
          <w:tcPr>
            <w:tcW w:w="340" w:type="dxa"/>
            <w:vAlign w:val="bottom"/>
          </w:tcPr>
          <w:p>
            <w:pPr>
              <w:spacing w:after="0"/>
              <w:rPr>
                <w:sz w:val="15"/>
                <w:szCs w:val="15"/>
                <w:color w:val="auto"/>
              </w:rPr>
            </w:pP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w:t>
            </w:r>
          </w:p>
        </w:tc>
        <w:tc>
          <w:tcPr>
            <w:tcW w:w="8520" w:type="dxa"/>
            <w:vAlign w:val="bottom"/>
          </w:tcPr>
          <w:p>
            <w:pPr>
              <w:ind w:left="300"/>
              <w:spacing w:after="0"/>
              <w:rPr>
                <w:sz w:val="20"/>
                <w:szCs w:val="20"/>
                <w:color w:val="auto"/>
              </w:rPr>
            </w:pPr>
            <w:r>
              <w:rPr>
                <w:rFonts w:ascii="Arial" w:cs="Arial" w:eastAsia="Arial" w:hAnsi="Arial"/>
                <w:sz w:val="13"/>
                <w:szCs w:val="13"/>
                <w:color w:val="auto"/>
              </w:rPr>
              <w:t>Business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1A:</w:t>
            </w:r>
          </w:p>
        </w:tc>
        <w:tc>
          <w:tcPr>
            <w:tcW w:w="8520" w:type="dxa"/>
            <w:vAlign w:val="bottom"/>
          </w:tcPr>
          <w:p>
            <w:pPr>
              <w:ind w:left="300"/>
              <w:spacing w:after="0"/>
              <w:rPr>
                <w:sz w:val="20"/>
                <w:szCs w:val="20"/>
                <w:color w:val="auto"/>
              </w:rPr>
            </w:pPr>
            <w:r>
              <w:rPr>
                <w:rFonts w:ascii="Arial" w:cs="Arial" w:eastAsia="Arial" w:hAnsi="Arial"/>
                <w:sz w:val="13"/>
                <w:szCs w:val="13"/>
                <w:color w:val="auto"/>
              </w:rPr>
              <w:t>Risk Factors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24</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1B:</w:t>
            </w:r>
          </w:p>
        </w:tc>
        <w:tc>
          <w:tcPr>
            <w:tcW w:w="8520" w:type="dxa"/>
            <w:vAlign w:val="bottom"/>
          </w:tcPr>
          <w:p>
            <w:pPr>
              <w:ind w:left="300"/>
              <w:spacing w:after="0"/>
              <w:rPr>
                <w:sz w:val="20"/>
                <w:szCs w:val="20"/>
                <w:color w:val="auto"/>
              </w:rPr>
            </w:pPr>
            <w:r>
              <w:rPr>
                <w:rFonts w:ascii="Arial" w:cs="Arial" w:eastAsia="Arial" w:hAnsi="Arial"/>
                <w:sz w:val="13"/>
                <w:szCs w:val="13"/>
                <w:color w:val="auto"/>
              </w:rPr>
              <w:t>Unresolved Staff Comments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38</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2:</w:t>
            </w:r>
          </w:p>
        </w:tc>
        <w:tc>
          <w:tcPr>
            <w:tcW w:w="8520" w:type="dxa"/>
            <w:vAlign w:val="bottom"/>
          </w:tcPr>
          <w:p>
            <w:pPr>
              <w:ind w:left="300"/>
              <w:spacing w:after="0"/>
              <w:rPr>
                <w:sz w:val="20"/>
                <w:szCs w:val="20"/>
                <w:color w:val="auto"/>
              </w:rPr>
            </w:pPr>
            <w:r>
              <w:rPr>
                <w:rFonts w:ascii="Arial" w:cs="Arial" w:eastAsia="Arial" w:hAnsi="Arial"/>
                <w:sz w:val="13"/>
                <w:szCs w:val="13"/>
                <w:color w:val="auto"/>
              </w:rPr>
              <w:t>Properties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38</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3:</w:t>
            </w:r>
          </w:p>
        </w:tc>
        <w:tc>
          <w:tcPr>
            <w:tcW w:w="8520" w:type="dxa"/>
            <w:vAlign w:val="bottom"/>
          </w:tcPr>
          <w:p>
            <w:pPr>
              <w:ind w:left="300"/>
              <w:spacing w:after="0"/>
              <w:rPr>
                <w:sz w:val="20"/>
                <w:szCs w:val="20"/>
                <w:color w:val="auto"/>
              </w:rPr>
            </w:pPr>
            <w:r>
              <w:rPr>
                <w:rFonts w:ascii="Arial" w:cs="Arial" w:eastAsia="Arial" w:hAnsi="Arial"/>
                <w:sz w:val="13"/>
                <w:szCs w:val="13"/>
                <w:color w:val="auto"/>
              </w:rPr>
              <w:t>Legal Proceedings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39</w:t>
            </w:r>
          </w:p>
        </w:tc>
      </w:tr>
      <w:tr>
        <w:trPr>
          <w:trHeight w:val="165"/>
        </w:trPr>
        <w:tc>
          <w:tcPr>
            <w:tcW w:w="740" w:type="dxa"/>
            <w:vAlign w:val="bottom"/>
          </w:tcPr>
          <w:p>
            <w:pPr>
              <w:spacing w:after="0"/>
              <w:rPr>
                <w:sz w:val="20"/>
                <w:szCs w:val="20"/>
                <w:color w:val="auto"/>
              </w:rPr>
            </w:pPr>
            <w:r>
              <w:rPr>
                <w:rFonts w:ascii="Arial" w:cs="Arial" w:eastAsia="Arial" w:hAnsi="Arial"/>
                <w:sz w:val="13"/>
                <w:szCs w:val="13"/>
                <w:color w:val="auto"/>
              </w:rPr>
              <w:t>Item 4:</w:t>
            </w:r>
          </w:p>
        </w:tc>
        <w:tc>
          <w:tcPr>
            <w:tcW w:w="8520" w:type="dxa"/>
            <w:vAlign w:val="bottom"/>
          </w:tcPr>
          <w:p>
            <w:pPr>
              <w:ind w:left="300"/>
              <w:spacing w:after="0"/>
              <w:rPr>
                <w:sz w:val="20"/>
                <w:szCs w:val="20"/>
                <w:color w:val="auto"/>
              </w:rPr>
            </w:pPr>
            <w:r>
              <w:rPr>
                <w:rFonts w:ascii="Arial" w:cs="Arial" w:eastAsia="Arial" w:hAnsi="Arial"/>
                <w:sz w:val="13"/>
                <w:szCs w:val="13"/>
                <w:color w:val="auto"/>
              </w:rPr>
              <w:t>(Removed and Reserved)</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39</w:t>
            </w:r>
          </w:p>
        </w:tc>
      </w:tr>
      <w:tr>
        <w:trPr>
          <w:trHeight w:val="268"/>
        </w:trPr>
        <w:tc>
          <w:tcPr>
            <w:tcW w:w="740" w:type="dxa"/>
            <w:vAlign w:val="bottom"/>
          </w:tcPr>
          <w:p>
            <w:pPr>
              <w:spacing w:after="0"/>
              <w:rPr>
                <w:sz w:val="23"/>
                <w:szCs w:val="23"/>
                <w:color w:val="auto"/>
              </w:rPr>
            </w:pPr>
          </w:p>
        </w:tc>
        <w:tc>
          <w:tcPr>
            <w:tcW w:w="8520" w:type="dxa"/>
            <w:vAlign w:val="bottom"/>
          </w:tcPr>
          <w:p>
            <w:pPr>
              <w:jc w:val="center"/>
              <w:ind w:right="694"/>
              <w:spacing w:after="0"/>
              <w:rPr>
                <w:sz w:val="20"/>
                <w:szCs w:val="20"/>
                <w:color w:val="auto"/>
              </w:rPr>
            </w:pPr>
            <w:r>
              <w:rPr>
                <w:rFonts w:ascii="Arial" w:cs="Arial" w:eastAsia="Arial" w:hAnsi="Arial"/>
                <w:sz w:val="13"/>
                <w:szCs w:val="13"/>
                <w:b w:val="1"/>
                <w:bCs w:val="1"/>
                <w:color w:val="auto"/>
              </w:rPr>
              <w:t>PART II</w:t>
            </w:r>
          </w:p>
        </w:tc>
        <w:tc>
          <w:tcPr>
            <w:tcW w:w="340" w:type="dxa"/>
            <w:vAlign w:val="bottom"/>
          </w:tcPr>
          <w:p>
            <w:pPr>
              <w:spacing w:after="0"/>
              <w:rPr>
                <w:sz w:val="23"/>
                <w:szCs w:val="23"/>
                <w:color w:val="auto"/>
              </w:rPr>
            </w:pP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5:</w:t>
            </w:r>
          </w:p>
        </w:tc>
        <w:tc>
          <w:tcPr>
            <w:tcW w:w="8520" w:type="dxa"/>
            <w:vAlign w:val="bottom"/>
          </w:tcPr>
          <w:p>
            <w:pPr>
              <w:ind w:left="300"/>
              <w:spacing w:after="0"/>
              <w:rPr>
                <w:sz w:val="20"/>
                <w:szCs w:val="20"/>
                <w:color w:val="auto"/>
              </w:rPr>
            </w:pPr>
            <w:r>
              <w:rPr>
                <w:rFonts w:ascii="Arial" w:cs="Arial" w:eastAsia="Arial" w:hAnsi="Arial"/>
                <w:sz w:val="13"/>
                <w:szCs w:val="13"/>
                <w:color w:val="auto"/>
              </w:rPr>
              <w:t>Market for Registrant’s Common Equity, Related Stockholder Matters and Issuer Purchases of Equity Securities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39</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6:</w:t>
            </w:r>
          </w:p>
        </w:tc>
        <w:tc>
          <w:tcPr>
            <w:tcW w:w="8520" w:type="dxa"/>
            <w:vAlign w:val="bottom"/>
          </w:tcPr>
          <w:p>
            <w:pPr>
              <w:ind w:left="300"/>
              <w:spacing w:after="0"/>
              <w:rPr>
                <w:sz w:val="20"/>
                <w:szCs w:val="20"/>
                <w:color w:val="auto"/>
              </w:rPr>
            </w:pPr>
            <w:r>
              <w:rPr>
                <w:rFonts w:ascii="Arial" w:cs="Arial" w:eastAsia="Arial" w:hAnsi="Arial"/>
                <w:sz w:val="13"/>
                <w:szCs w:val="13"/>
                <w:color w:val="auto"/>
              </w:rPr>
              <w:t>Selected Financial Data</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41</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7:</w:t>
            </w:r>
          </w:p>
        </w:tc>
        <w:tc>
          <w:tcPr>
            <w:tcW w:w="8520" w:type="dxa"/>
            <w:vAlign w:val="bottom"/>
          </w:tcPr>
          <w:p>
            <w:pPr>
              <w:ind w:left="30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42</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7A:</w:t>
            </w:r>
          </w:p>
        </w:tc>
        <w:tc>
          <w:tcPr>
            <w:tcW w:w="8520" w:type="dxa"/>
            <w:vAlign w:val="bottom"/>
          </w:tcPr>
          <w:p>
            <w:pPr>
              <w:ind w:left="300"/>
              <w:spacing w:after="0"/>
              <w:rPr>
                <w:sz w:val="20"/>
                <w:szCs w:val="20"/>
                <w:color w:val="auto"/>
              </w:rPr>
            </w:pPr>
            <w:r>
              <w:rPr>
                <w:rFonts w:ascii="Arial" w:cs="Arial" w:eastAsia="Arial" w:hAnsi="Arial"/>
                <w:sz w:val="13"/>
                <w:szCs w:val="13"/>
                <w:color w:val="auto"/>
              </w:rPr>
              <w:t>Quantitative and Qualitative Disclosures About Market Risk</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55</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8:</w:t>
            </w:r>
          </w:p>
        </w:tc>
        <w:tc>
          <w:tcPr>
            <w:tcW w:w="8520" w:type="dxa"/>
            <w:vAlign w:val="bottom"/>
          </w:tcPr>
          <w:p>
            <w:pPr>
              <w:ind w:left="300"/>
              <w:spacing w:after="0"/>
              <w:rPr>
                <w:sz w:val="20"/>
                <w:szCs w:val="20"/>
                <w:color w:val="auto"/>
              </w:rPr>
            </w:pPr>
            <w:r>
              <w:rPr>
                <w:rFonts w:ascii="Arial" w:cs="Arial" w:eastAsia="Arial" w:hAnsi="Arial"/>
                <w:sz w:val="13"/>
                <w:szCs w:val="13"/>
                <w:color w:val="auto"/>
              </w:rPr>
              <w:t>Financial Statements and Supplementary Data</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56</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9:</w:t>
            </w:r>
          </w:p>
        </w:tc>
        <w:tc>
          <w:tcPr>
            <w:tcW w:w="8520" w:type="dxa"/>
            <w:vAlign w:val="bottom"/>
          </w:tcPr>
          <w:p>
            <w:pPr>
              <w:ind w:left="30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56</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9A:</w:t>
            </w:r>
          </w:p>
        </w:tc>
        <w:tc>
          <w:tcPr>
            <w:tcW w:w="8520" w:type="dxa"/>
            <w:vAlign w:val="bottom"/>
          </w:tcPr>
          <w:p>
            <w:pPr>
              <w:ind w:left="300"/>
              <w:spacing w:after="0"/>
              <w:rPr>
                <w:sz w:val="20"/>
                <w:szCs w:val="20"/>
                <w:color w:val="auto"/>
              </w:rPr>
            </w:pPr>
            <w:r>
              <w:rPr>
                <w:rFonts w:ascii="Arial" w:cs="Arial" w:eastAsia="Arial" w:hAnsi="Arial"/>
                <w:sz w:val="13"/>
                <w:szCs w:val="13"/>
                <w:color w:val="auto"/>
              </w:rPr>
              <w:t>Controls and Procedures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56</w:t>
            </w:r>
          </w:p>
        </w:tc>
      </w:tr>
      <w:tr>
        <w:trPr>
          <w:trHeight w:val="165"/>
        </w:trPr>
        <w:tc>
          <w:tcPr>
            <w:tcW w:w="740" w:type="dxa"/>
            <w:vAlign w:val="bottom"/>
          </w:tcPr>
          <w:p>
            <w:pPr>
              <w:spacing w:after="0"/>
              <w:rPr>
                <w:sz w:val="20"/>
                <w:szCs w:val="20"/>
                <w:color w:val="auto"/>
              </w:rPr>
            </w:pPr>
            <w:r>
              <w:rPr>
                <w:rFonts w:ascii="Arial" w:cs="Arial" w:eastAsia="Arial" w:hAnsi="Arial"/>
                <w:sz w:val="13"/>
                <w:szCs w:val="13"/>
                <w:color w:val="auto"/>
              </w:rPr>
              <w:t>Item 9B:</w:t>
            </w:r>
          </w:p>
        </w:tc>
        <w:tc>
          <w:tcPr>
            <w:tcW w:w="8520" w:type="dxa"/>
            <w:vAlign w:val="bottom"/>
          </w:tcPr>
          <w:p>
            <w:pPr>
              <w:ind w:left="300"/>
              <w:spacing w:after="0"/>
              <w:rPr>
                <w:sz w:val="20"/>
                <w:szCs w:val="20"/>
                <w:color w:val="auto"/>
              </w:rPr>
            </w:pPr>
            <w:r>
              <w:rPr>
                <w:rFonts w:ascii="Arial" w:cs="Arial" w:eastAsia="Arial" w:hAnsi="Arial"/>
                <w:sz w:val="13"/>
                <w:szCs w:val="13"/>
                <w:color w:val="auto"/>
              </w:rPr>
              <w:t>Other Information</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56</w:t>
            </w:r>
          </w:p>
        </w:tc>
      </w:tr>
      <w:tr>
        <w:trPr>
          <w:trHeight w:val="268"/>
        </w:trPr>
        <w:tc>
          <w:tcPr>
            <w:tcW w:w="740" w:type="dxa"/>
            <w:vAlign w:val="bottom"/>
          </w:tcPr>
          <w:p>
            <w:pPr>
              <w:spacing w:after="0"/>
              <w:rPr>
                <w:sz w:val="23"/>
                <w:szCs w:val="23"/>
                <w:color w:val="auto"/>
              </w:rPr>
            </w:pPr>
          </w:p>
        </w:tc>
        <w:tc>
          <w:tcPr>
            <w:tcW w:w="8520" w:type="dxa"/>
            <w:vAlign w:val="bottom"/>
          </w:tcPr>
          <w:p>
            <w:pPr>
              <w:jc w:val="center"/>
              <w:ind w:right="694"/>
              <w:spacing w:after="0"/>
              <w:rPr>
                <w:sz w:val="20"/>
                <w:szCs w:val="20"/>
                <w:color w:val="auto"/>
              </w:rPr>
            </w:pPr>
            <w:r>
              <w:rPr>
                <w:rFonts w:ascii="Arial" w:cs="Arial" w:eastAsia="Arial" w:hAnsi="Arial"/>
                <w:sz w:val="13"/>
                <w:szCs w:val="13"/>
                <w:b w:val="1"/>
                <w:bCs w:val="1"/>
                <w:color w:val="auto"/>
              </w:rPr>
              <w:t>PART III</w:t>
            </w:r>
          </w:p>
        </w:tc>
        <w:tc>
          <w:tcPr>
            <w:tcW w:w="340" w:type="dxa"/>
            <w:vAlign w:val="bottom"/>
          </w:tcPr>
          <w:p>
            <w:pPr>
              <w:spacing w:after="0"/>
              <w:rPr>
                <w:sz w:val="23"/>
                <w:szCs w:val="23"/>
                <w:color w:val="auto"/>
              </w:rPr>
            </w:pP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10:</w:t>
            </w:r>
          </w:p>
        </w:tc>
        <w:tc>
          <w:tcPr>
            <w:tcW w:w="8520" w:type="dxa"/>
            <w:vAlign w:val="bottom"/>
          </w:tcPr>
          <w:p>
            <w:pPr>
              <w:ind w:left="300"/>
              <w:spacing w:after="0"/>
              <w:rPr>
                <w:sz w:val="20"/>
                <w:szCs w:val="20"/>
                <w:color w:val="auto"/>
              </w:rPr>
            </w:pPr>
            <w:r>
              <w:rPr>
                <w:rFonts w:ascii="Arial" w:cs="Arial" w:eastAsia="Arial" w:hAnsi="Arial"/>
                <w:sz w:val="13"/>
                <w:szCs w:val="13"/>
                <w:color w:val="auto"/>
              </w:rPr>
              <w:t>Directors, Executive Officers and Corporate Governance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56</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11:</w:t>
            </w:r>
          </w:p>
        </w:tc>
        <w:tc>
          <w:tcPr>
            <w:tcW w:w="8520" w:type="dxa"/>
            <w:vAlign w:val="bottom"/>
          </w:tcPr>
          <w:p>
            <w:pPr>
              <w:ind w:left="300"/>
              <w:spacing w:after="0"/>
              <w:rPr>
                <w:sz w:val="20"/>
                <w:szCs w:val="20"/>
                <w:color w:val="auto"/>
              </w:rPr>
            </w:pPr>
            <w:r>
              <w:rPr>
                <w:rFonts w:ascii="Arial" w:cs="Arial" w:eastAsia="Arial" w:hAnsi="Arial"/>
                <w:sz w:val="13"/>
                <w:szCs w:val="13"/>
                <w:color w:val="auto"/>
              </w:rPr>
              <w:t>Executive Compensation</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56</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12:</w:t>
            </w:r>
          </w:p>
        </w:tc>
        <w:tc>
          <w:tcPr>
            <w:tcW w:w="8520" w:type="dxa"/>
            <w:vAlign w:val="bottom"/>
          </w:tcPr>
          <w:p>
            <w:pPr>
              <w:ind w:left="30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57</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Item 13:</w:t>
            </w:r>
          </w:p>
        </w:tc>
        <w:tc>
          <w:tcPr>
            <w:tcW w:w="8520" w:type="dxa"/>
            <w:vAlign w:val="bottom"/>
          </w:tcPr>
          <w:p>
            <w:pPr>
              <w:ind w:left="30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57</w:t>
            </w:r>
          </w:p>
        </w:tc>
      </w:tr>
      <w:tr>
        <w:trPr>
          <w:trHeight w:val="165"/>
        </w:trPr>
        <w:tc>
          <w:tcPr>
            <w:tcW w:w="740" w:type="dxa"/>
            <w:vAlign w:val="bottom"/>
          </w:tcPr>
          <w:p>
            <w:pPr>
              <w:spacing w:after="0"/>
              <w:rPr>
                <w:sz w:val="20"/>
                <w:szCs w:val="20"/>
                <w:color w:val="auto"/>
              </w:rPr>
            </w:pPr>
            <w:r>
              <w:rPr>
                <w:rFonts w:ascii="Arial" w:cs="Arial" w:eastAsia="Arial" w:hAnsi="Arial"/>
                <w:sz w:val="13"/>
                <w:szCs w:val="13"/>
                <w:color w:val="auto"/>
              </w:rPr>
              <w:t>Item 14:</w:t>
            </w:r>
          </w:p>
        </w:tc>
        <w:tc>
          <w:tcPr>
            <w:tcW w:w="8520" w:type="dxa"/>
            <w:vAlign w:val="bottom"/>
          </w:tcPr>
          <w:p>
            <w:pPr>
              <w:ind w:left="300"/>
              <w:spacing w:after="0"/>
              <w:rPr>
                <w:sz w:val="20"/>
                <w:szCs w:val="20"/>
                <w:color w:val="auto"/>
              </w:rPr>
            </w:pPr>
            <w:r>
              <w:rPr>
                <w:rFonts w:ascii="Arial" w:cs="Arial" w:eastAsia="Arial" w:hAnsi="Arial"/>
                <w:sz w:val="13"/>
                <w:szCs w:val="13"/>
                <w:color w:val="auto"/>
              </w:rPr>
              <w:t>Principal Accountant Fees and Services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57</w:t>
            </w:r>
          </w:p>
        </w:tc>
      </w:tr>
      <w:tr>
        <w:trPr>
          <w:trHeight w:val="268"/>
        </w:trPr>
        <w:tc>
          <w:tcPr>
            <w:tcW w:w="740" w:type="dxa"/>
            <w:vAlign w:val="bottom"/>
          </w:tcPr>
          <w:p>
            <w:pPr>
              <w:spacing w:after="0"/>
              <w:rPr>
                <w:sz w:val="23"/>
                <w:szCs w:val="23"/>
                <w:color w:val="auto"/>
              </w:rPr>
            </w:pPr>
          </w:p>
        </w:tc>
        <w:tc>
          <w:tcPr>
            <w:tcW w:w="8520" w:type="dxa"/>
            <w:vAlign w:val="bottom"/>
          </w:tcPr>
          <w:p>
            <w:pPr>
              <w:jc w:val="center"/>
              <w:ind w:right="694"/>
              <w:spacing w:after="0"/>
              <w:rPr>
                <w:sz w:val="20"/>
                <w:szCs w:val="20"/>
                <w:color w:val="auto"/>
              </w:rPr>
            </w:pPr>
            <w:r>
              <w:rPr>
                <w:rFonts w:ascii="Arial" w:cs="Arial" w:eastAsia="Arial" w:hAnsi="Arial"/>
                <w:sz w:val="13"/>
                <w:szCs w:val="13"/>
                <w:b w:val="1"/>
                <w:bCs w:val="1"/>
                <w:color w:val="auto"/>
              </w:rPr>
              <w:t>PART IV</w:t>
            </w:r>
          </w:p>
        </w:tc>
        <w:tc>
          <w:tcPr>
            <w:tcW w:w="340" w:type="dxa"/>
            <w:vAlign w:val="bottom"/>
          </w:tcPr>
          <w:p>
            <w:pPr>
              <w:spacing w:after="0"/>
              <w:rPr>
                <w:sz w:val="23"/>
                <w:szCs w:val="23"/>
                <w:color w:val="auto"/>
              </w:rPr>
            </w:pPr>
          </w:p>
        </w:tc>
      </w:tr>
      <w:tr>
        <w:trPr>
          <w:trHeight w:val="165"/>
        </w:trPr>
        <w:tc>
          <w:tcPr>
            <w:tcW w:w="740" w:type="dxa"/>
            <w:vAlign w:val="bottom"/>
          </w:tcPr>
          <w:p>
            <w:pPr>
              <w:spacing w:after="0"/>
              <w:rPr>
                <w:sz w:val="20"/>
                <w:szCs w:val="20"/>
                <w:color w:val="auto"/>
              </w:rPr>
            </w:pPr>
            <w:r>
              <w:rPr>
                <w:rFonts w:ascii="Arial" w:cs="Arial" w:eastAsia="Arial" w:hAnsi="Arial"/>
                <w:sz w:val="13"/>
                <w:szCs w:val="13"/>
                <w:color w:val="auto"/>
              </w:rPr>
              <w:t>Item 15:</w:t>
            </w:r>
          </w:p>
        </w:tc>
        <w:tc>
          <w:tcPr>
            <w:tcW w:w="8520" w:type="dxa"/>
            <w:vAlign w:val="bottom"/>
          </w:tcPr>
          <w:p>
            <w:pPr>
              <w:ind w:left="300"/>
              <w:spacing w:after="0"/>
              <w:rPr>
                <w:sz w:val="20"/>
                <w:szCs w:val="20"/>
                <w:color w:val="auto"/>
              </w:rPr>
            </w:pPr>
            <w:r>
              <w:rPr>
                <w:rFonts w:ascii="Arial" w:cs="Arial" w:eastAsia="Arial" w:hAnsi="Arial"/>
                <w:sz w:val="13"/>
                <w:szCs w:val="13"/>
                <w:color w:val="auto"/>
              </w:rPr>
              <w:t>Exhibits and Financial Statement Schedules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57</w:t>
            </w:r>
          </w:p>
        </w:tc>
      </w:tr>
    </w:tbl>
    <w:p>
      <w:pPr>
        <w:spacing w:after="0" w:line="79" w:lineRule="exact"/>
        <w:rPr>
          <w:sz w:val="20"/>
          <w:szCs w:val="20"/>
          <w:color w:val="auto"/>
        </w:rPr>
      </w:pPr>
    </w:p>
    <w:p>
      <w:pPr>
        <w:ind w:right="180" w:firstLine="399"/>
        <w:spacing w:after="0" w:line="323" w:lineRule="auto"/>
        <w:rPr>
          <w:sz w:val="20"/>
          <w:szCs w:val="20"/>
          <w:color w:val="auto"/>
        </w:rPr>
      </w:pPr>
      <w:r>
        <w:rPr>
          <w:rFonts w:ascii="Arial" w:cs="Arial" w:eastAsia="Arial" w:hAnsi="Arial"/>
          <w:sz w:val="12"/>
          <w:szCs w:val="12"/>
          <w:color w:val="auto"/>
        </w:rPr>
        <w:t>PowerBuoy</w:t>
      </w:r>
      <w:r>
        <w:rPr>
          <w:rFonts w:ascii="Arial" w:cs="Arial" w:eastAsia="Arial" w:hAnsi="Arial"/>
          <w:sz w:val="10"/>
          <w:szCs w:val="10"/>
          <w:color w:val="auto"/>
        </w:rPr>
        <w:t>®</w:t>
      </w:r>
      <w:r>
        <w:rPr>
          <w:rFonts w:ascii="Arial" w:cs="Arial" w:eastAsia="Arial" w:hAnsi="Arial"/>
          <w:sz w:val="12"/>
          <w:szCs w:val="12"/>
          <w:color w:val="auto"/>
        </w:rPr>
        <w:t xml:space="preserve"> is a registered trademark of Ocean Power Technologies, Inc. The Ocean Power Technologies logo, CellBuoy</w:t>
      </w:r>
      <w:r>
        <w:rPr>
          <w:rFonts w:ascii="Arial" w:cs="Arial" w:eastAsia="Arial" w:hAnsi="Arial"/>
          <w:sz w:val="10"/>
          <w:szCs w:val="10"/>
          <w:color w:val="auto"/>
        </w:rPr>
        <w:t>tm</w:t>
      </w:r>
      <w:r>
        <w:rPr>
          <w:rFonts w:ascii="Arial" w:cs="Arial" w:eastAsia="Arial" w:hAnsi="Arial"/>
          <w:sz w:val="12"/>
          <w:szCs w:val="12"/>
          <w:color w:val="auto"/>
        </w:rPr>
        <w:t>, Talk on Water</w:t>
      </w:r>
      <w:r>
        <w:rPr>
          <w:rFonts w:ascii="Arial" w:cs="Arial" w:eastAsia="Arial" w:hAnsi="Arial"/>
          <w:sz w:val="10"/>
          <w:szCs w:val="10"/>
          <w:color w:val="auto"/>
        </w:rPr>
        <w:t>tm</w:t>
      </w:r>
      <w:r>
        <w:rPr>
          <w:rFonts w:ascii="Arial" w:cs="Arial" w:eastAsia="Arial" w:hAnsi="Arial"/>
          <w:sz w:val="12"/>
          <w:szCs w:val="12"/>
          <w:color w:val="auto"/>
        </w:rPr>
        <w:t xml:space="preserve"> and Making Waves in Power </w:t>
      </w:r>
      <w:r>
        <w:rPr>
          <w:rFonts w:ascii="Arial" w:cs="Arial" w:eastAsia="Arial" w:hAnsi="Arial"/>
          <w:sz w:val="10"/>
          <w:szCs w:val="10"/>
          <w:color w:val="auto"/>
        </w:rPr>
        <w:t>SM</w:t>
      </w:r>
      <w:r>
        <w:rPr>
          <w:rFonts w:ascii="Arial" w:cs="Arial" w:eastAsia="Arial" w:hAnsi="Arial"/>
          <w:sz w:val="12"/>
          <w:szCs w:val="12"/>
          <w:color w:val="auto"/>
        </w:rPr>
        <w:t xml:space="preserve"> are trademarks or service marks of Ocean Power Technologies, Inc. All other trademarks appearing in this annual report are the property of their respective holders.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55"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71"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16" w:right="10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develop and are commercializing proprietary systems that generate electricity by harnessing the renewable energy of ocean waves. The energy in ocean waves is predictable, and electricity from wave energy can be produced on a consistent basis at numerous sites located near major population centers worldwide. Wave energy is an emerging segment of the renewable energy market. Based on our proprietary technology, considerable ocean experience, existing products and expanding commercial relationships, we believe we are a leading wave energy company. Our latest PB150 PowerBuoy has been certified by the Lloyd’s Register Group, Intertek has certified our grid connection system, and an independent environmental assessment of the PB40 PowerBuoy in Hawaii has resulted in the highest rating.</w:t>
      </w:r>
    </w:p>
    <w:p>
      <w:pPr>
        <w:spacing w:after="0" w:line="6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currently offer two products as part of our line of PowerBuoy</w:t>
      </w:r>
      <w:r>
        <w:rPr>
          <w:rFonts w:ascii="Arial" w:cs="Arial" w:eastAsia="Arial" w:hAnsi="Arial"/>
          <w:sz w:val="11"/>
          <w:szCs w:val="11"/>
          <w:color w:val="auto"/>
        </w:rPr>
        <w:t>®</w:t>
      </w:r>
      <w:r>
        <w:rPr>
          <w:rFonts w:ascii="Arial" w:cs="Arial" w:eastAsia="Arial" w:hAnsi="Arial"/>
          <w:sz w:val="13"/>
          <w:szCs w:val="13"/>
          <w:color w:val="auto"/>
        </w:rPr>
        <w:t xml:space="preserve"> systems: a utility PowerBuoy system and an autonomous PowerBuoy system. Our PowerBuoy system is based on modular, ocean-going buoys, which we have been ocean testing for nearly fifteen years. The rising and falling of the waves moves the buoy-like structure creating mechanical energy that our proprietary technologies convert into electricity. We have tested and developed wave power generation and control technology using proven equipment and processes in novel applications and have deployed and maintained our systems in the ocean. The PowerBuoy technology has the unique, patented capability to electronically “tune” itself automatically as wave characteristics change. This enables the PowerBuoy to optimize its efficiency and resulting power output in dynamic ocean wave conditions. Our two PowerBuoy products are designed for the following applications:</w:t>
      </w:r>
    </w:p>
    <w:p>
      <w:pPr>
        <w:spacing w:after="0" w:line="70" w:lineRule="exact"/>
        <w:rPr>
          <w:sz w:val="20"/>
          <w:szCs w:val="20"/>
          <w:color w:val="auto"/>
        </w:rPr>
      </w:pPr>
    </w:p>
    <w:p>
      <w:pPr>
        <w:ind w:left="600" w:right="40" w:hanging="190"/>
        <w:spacing w:after="0" w:line="255" w:lineRule="auto"/>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u w:val="single" w:color="auto"/>
          <w:color w:val="auto"/>
        </w:rPr>
        <w:t>utility PowerBuoy</w:t>
      </w:r>
      <w:r>
        <w:rPr>
          <w:rFonts w:ascii="Arial" w:cs="Arial" w:eastAsia="Arial" w:hAnsi="Arial"/>
          <w:sz w:val="13"/>
          <w:szCs w:val="13"/>
          <w:color w:val="auto"/>
        </w:rPr>
        <w:t xml:space="preserve"> system is capable of supplying electricity to a local or regional electric power grid. Our wave power stations will be comprised of a single PowerBuoy system or an integrated array of PowerBuoy systems, plus the remaining components required to deliver electricity to a power grid. We intend to sell our utility PowerBuoy system to utilities and other electrical power producers seeking to add electricity generated by wave energy to their existing electricity supply. In July 2007, our PowerBuoy interface with the electrical utility power grid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utility scale PB150 structure and mooring system achieved independent certification from Lloyd’s Register. This certification confirms that the PB150 design complies with certain international standards promulgated for floating offshore installations. The Lloyd’s Register process included detailed design analysis and appraisals, addressing the PB150’s structure, hydrodynamics, mooring and anchoring.</w:t>
      </w:r>
    </w:p>
    <w:p>
      <w:pPr>
        <w:spacing w:after="0" w:line="62" w:lineRule="exact"/>
        <w:rPr>
          <w:rFonts w:ascii="Arial" w:cs="Arial" w:eastAsia="Arial" w:hAnsi="Arial"/>
          <w:sz w:val="13"/>
          <w:szCs w:val="13"/>
          <w:color w:val="auto"/>
        </w:rPr>
      </w:pPr>
    </w:p>
    <w:p>
      <w:pPr>
        <w:ind w:left="600" w:right="200" w:hanging="190"/>
        <w:spacing w:after="0" w:line="264" w:lineRule="auto"/>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u w:val="single" w:color="auto"/>
          <w:color w:val="auto"/>
        </w:rPr>
        <w:t>autonomous PowerBuoy</w:t>
      </w:r>
      <w:r>
        <w:rPr>
          <w:rFonts w:ascii="Arial" w:cs="Arial" w:eastAsia="Arial" w:hAnsi="Arial"/>
          <w:sz w:val="13"/>
          <w:szCs w:val="13"/>
          <w:color w:val="auto"/>
        </w:rPr>
        <w:t xml:space="preserve"> system is designed to generate power for use independent of the power grid in remote locations. We believe there are a variety of potential applications for this system, including homeland security, off-shore oil and gas platforms, aquaculture and ocean -based communication and data gathering such as for tsunami warnings.</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Our product development and engineering efforts currently are focused on increasing the reliability and peak-rated output of our utility PowerBuoy system to 150kW, and, to a lesser extent increasing the peak rated output of the system to 500kW. In addition, we are researching and developing new products, product applications and complementary technologies. We believe that by increasing the maximum rated output of our utility PowerBuoy system, we will be able to decrease the cost per kW of our PowerBuoy system and the cost per kilowatt hour of the energy generated.</w:t>
      </w:r>
    </w:p>
    <w:p>
      <w:pPr>
        <w:spacing w:after="0" w:line="70"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We expect to market our undersea substation pod (“USP”) and undersea power connection infrastructure services to other companies in the marine energy sector. We completed the successful in-ocean trials of our USP in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 w:name="page5"/>
    <w:bookmarkEnd w:id="4"/>
    <w:p>
      <w:pPr>
        <w:jc w:val="both"/>
        <w:ind w:right="380"/>
        <w:spacing w:after="0" w:line="264" w:lineRule="auto"/>
        <w:rPr>
          <w:sz w:val="20"/>
          <w:szCs w:val="20"/>
          <w:color w:val="auto"/>
        </w:rPr>
      </w:pPr>
      <w:r>
        <w:rPr>
          <w:rFonts w:ascii="Arial" w:cs="Arial" w:eastAsia="Arial" w:hAnsi="Arial"/>
          <w:sz w:val="13"/>
          <w:szCs w:val="13"/>
          <w:color w:val="auto"/>
        </w:rPr>
        <w:t>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offshore energy systems developed by other companies. The required switching and protection circuits for the individual PowerBuoys are also included in the USP.</w:t>
      </w:r>
    </w:p>
    <w:p>
      <w:pPr>
        <w:spacing w:after="0" w:line="67"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addition, we are focusing on expanding our key commercial opportunities for both the utility and the autonomous PowerBuoy systems. We currently have commercial relationships with the following:</w:t>
      </w:r>
    </w:p>
    <w:p>
      <w:pPr>
        <w:spacing w:after="0" w:line="59" w:lineRule="exact"/>
        <w:rPr>
          <w:sz w:val="20"/>
          <w:szCs w:val="20"/>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United States Navy:</w:t>
      </w:r>
    </w:p>
    <w:p>
      <w:pPr>
        <w:spacing w:after="0" w:line="96" w:lineRule="exact"/>
        <w:rPr>
          <w:rFonts w:ascii="Arial" w:cs="Arial" w:eastAsia="Arial" w:hAnsi="Arial"/>
          <w:sz w:val="13"/>
          <w:szCs w:val="13"/>
          <w:color w:val="auto"/>
        </w:rPr>
      </w:pPr>
    </w:p>
    <w:p>
      <w:pPr>
        <w:ind w:left="820" w:hanging="214"/>
        <w:spacing w:after="0"/>
        <w:tabs>
          <w:tab w:leader="none" w:pos="82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 develop and build wave power systems at the US Marine Corps base in Hawaii.</w:t>
      </w:r>
    </w:p>
    <w:p>
      <w:pPr>
        <w:spacing w:after="0" w:line="86" w:lineRule="exact"/>
        <w:rPr>
          <w:rFonts w:ascii="Arial" w:cs="Arial" w:eastAsia="Arial" w:hAnsi="Arial"/>
          <w:sz w:val="13"/>
          <w:szCs w:val="13"/>
          <w:color w:val="auto"/>
        </w:rPr>
      </w:pPr>
    </w:p>
    <w:p>
      <w:pPr>
        <w:ind w:left="820" w:hanging="214"/>
        <w:spacing w:after="0"/>
        <w:tabs>
          <w:tab w:leader="none" w:pos="82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 provide our PowerBuoy wave conversion system to the Navy’s Littoral Expeditionary Autonomous PowerBuoy (LEAP) Program.</w:t>
      </w:r>
    </w:p>
    <w:p>
      <w:pPr>
        <w:spacing w:after="0" w:line="86" w:lineRule="exact"/>
        <w:rPr>
          <w:rFonts w:ascii="Arial" w:cs="Arial" w:eastAsia="Arial" w:hAnsi="Arial"/>
          <w:sz w:val="13"/>
          <w:szCs w:val="13"/>
          <w:color w:val="auto"/>
        </w:rPr>
      </w:pPr>
    </w:p>
    <w:p>
      <w:pPr>
        <w:ind w:left="820" w:right="140" w:hanging="214"/>
        <w:spacing w:after="0" w:line="276" w:lineRule="auto"/>
        <w:tabs>
          <w:tab w:leader="none" w:pos="82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 provide PowerBuoy technology to a unique program for ocean data gathering. Under this program, we have built an autonomous PowerBuoy as the power source for the Navy’s Deep Water Active Detection System.</w:t>
      </w:r>
    </w:p>
    <w:p>
      <w:pPr>
        <w:spacing w:after="0" w:line="59" w:lineRule="exact"/>
        <w:rPr>
          <w:rFonts w:ascii="Arial" w:cs="Arial" w:eastAsia="Arial" w:hAnsi="Arial"/>
          <w:sz w:val="13"/>
          <w:szCs w:val="13"/>
          <w:color w:val="auto"/>
        </w:rPr>
      </w:pPr>
    </w:p>
    <w:p>
      <w:pPr>
        <w:ind w:left="600" w:right="20" w:hanging="190"/>
        <w:spacing w:after="0" w:line="276"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Pacific Northwest Generating Cooperative (PNGC Power) and the US Department of Energy, both of which are providing funding toward the construction, ocean installation, and ocean trials of a 150kW PowerBuoy near Reedsport, Oregon.</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Scottish Government, to develop a 150kW PowerBuoy ,which was deployed off the coast of Invergordon, Scotland in April 2011.</w:t>
      </w:r>
    </w:p>
    <w:p>
      <w:pPr>
        <w:spacing w:after="0" w:line="86" w:lineRule="exact"/>
        <w:rPr>
          <w:rFonts w:ascii="Arial" w:cs="Arial" w:eastAsia="Arial" w:hAnsi="Arial"/>
          <w:sz w:val="13"/>
          <w:szCs w:val="13"/>
          <w:color w:val="auto"/>
        </w:rPr>
      </w:pPr>
    </w:p>
    <w:p>
      <w:pPr>
        <w:jc w:val="both"/>
        <w:ind w:left="600" w:right="80" w:hanging="190"/>
        <w:spacing w:after="0" w:line="264"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Iberdrola S.A., or Iberdrola, which is a large electric utility company located in Spain and one of the largest renewable energy producers in the world, Total S.A. (Total), which is one of the world’s largest oil and gas companies, and two Spanish governmental agencies, for the first phase of the construction of a wave power station off the coast of Santoña, Spain.</w:t>
      </w:r>
    </w:p>
    <w:p>
      <w:pPr>
        <w:spacing w:after="0" w:line="57"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US Department of Energy (DOE) and the UK Government’s Technology Strategy Board (TSB) to help fund the scale-up of the power output per PowerBuoy from the current level of 150kW to 500kW.</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Mitsui Engineering and Shipbuilding, with which we are working to develop a wave power project in Japan.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Leighton Contractors, a major Australian construction and infrastructure company, for the development of a wave power station in Victoria, Australia.</w:t>
      </w:r>
    </w:p>
    <w:p>
      <w:pPr>
        <w:spacing w:after="0" w:line="96"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 xml:space="preserve">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 (609) 730-0400. Our website address is </w:t>
      </w:r>
      <w:r>
        <w:rPr>
          <w:rFonts w:ascii="Arial" w:cs="Arial" w:eastAsia="Arial" w:hAnsi="Arial"/>
          <w:sz w:val="13"/>
          <w:szCs w:val="13"/>
          <w:i w:val="1"/>
          <w:iCs w:val="1"/>
          <w:color w:val="auto"/>
        </w:rPr>
        <w:t xml:space="preserve">www.oceanpowertechnologies.com. </w:t>
      </w:r>
      <w:r>
        <w:rPr>
          <w:rFonts w:ascii="Arial" w:cs="Arial" w:eastAsia="Arial" w:hAnsi="Arial"/>
          <w:sz w:val="13"/>
          <w:szCs w:val="13"/>
          <w:color w:val="auto"/>
        </w:rPr>
        <w:t>We make available free of charge on our website our annual reports on Form 10-K, quarterly reports on Form 10-Q, current reports on Form 8-K and all</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amendments to those reports as soon as reasonably practicable after such material is filed electronically with the Securities and Exchange Commission, or SEC. The information on our website is not a part of this Annual Report. Our common stock was listed on the AIM market of the London Stock Exchange plc in October 2003. We voluntarily delisted our common shares from the AIM market effective January 14, 2011. Our common stock has been listed on the NASDAQ Global Market since April 24, 2007, the date on which we commenced our initial public offering in the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Market</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Global demand for electric power is expected to increase from 18.8 trillion kilowatt hours in 2007 to 35.2 trillion kilowatt hours by 2035, according to the Energy Information Administration’s Annual Energy Outlook 2010 (AEO 2010). To meet this demand, the International Energy Agency, or the IEA, estimates that investments in new generating capacity will be $6.8 trillion in the period from 2007 to 2030, of which new renewable energy generation equipment is expected to account for approximately half of the total projected investment in electricity generation.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 w:name="page6"/>
    <w:bookmarkEnd w:id="5"/>
    <w:p>
      <w:pPr>
        <w:ind w:firstLine="399"/>
        <w:spacing w:after="0" w:line="264" w:lineRule="auto"/>
        <w:rPr>
          <w:sz w:val="20"/>
          <w:szCs w:val="20"/>
          <w:color w:val="auto"/>
        </w:rPr>
      </w:pPr>
      <w:r>
        <w:rPr>
          <w:rFonts w:ascii="Arial" w:cs="Arial" w:eastAsia="Arial" w:hAnsi="Arial"/>
          <w:sz w:val="13"/>
          <w:szCs w:val="13"/>
          <w:color w:val="auto"/>
        </w:rPr>
        <w:t>According to the AEO 2010, fossil fuels such as coal, oil and natural gas generated over 67% of the world’s electricity in 2007. However, a variety of factors are contributing to the increasing development of renewable energy systems that capture energy from replenishable natural resources, including ocean waves, tides, flowing water, wind and sunlight, and convert it into electricity.</w:t>
      </w:r>
    </w:p>
    <w:p>
      <w:pPr>
        <w:spacing w:after="0" w:line="67" w:lineRule="exact"/>
        <w:rPr>
          <w:sz w:val="20"/>
          <w:szCs w:val="20"/>
          <w:color w:val="auto"/>
        </w:rPr>
      </w:pPr>
    </w:p>
    <w:p>
      <w:pPr>
        <w:ind w:left="600" w:right="80" w:hanging="190"/>
        <w:spacing w:after="0" w:line="276"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Rising cost of fossil fuels. </w:t>
      </w:r>
      <w:r>
        <w:rPr>
          <w:rFonts w:ascii="Arial" w:cs="Arial" w:eastAsia="Arial" w:hAnsi="Arial"/>
          <w:sz w:val="13"/>
          <w:szCs w:val="13"/>
          <w:color w:val="auto"/>
        </w:rPr>
        <w:t>Although subject to short-term fluctuations, the cost of fossil fuel used to generate electricity has been generally rising and is likely to continue to rise</w:t>
      </w:r>
      <w:r>
        <w:rPr>
          <w:rFonts w:ascii="Arial" w:cs="Arial" w:eastAsia="Arial" w:hAnsi="Arial"/>
          <w:sz w:val="13"/>
          <w:szCs w:val="13"/>
          <w:i w:val="1"/>
          <w:iCs w:val="1"/>
          <w:color w:val="auto"/>
        </w:rPr>
        <w:t xml:space="preserve"> </w:t>
      </w:r>
      <w:r>
        <w:rPr>
          <w:rFonts w:ascii="Arial" w:cs="Arial" w:eastAsia="Arial" w:hAnsi="Arial"/>
          <w:sz w:val="13"/>
          <w:szCs w:val="13"/>
          <w:color w:val="auto"/>
        </w:rPr>
        <w:t>in the future.</w:t>
      </w:r>
    </w:p>
    <w:p>
      <w:pPr>
        <w:spacing w:after="0" w:line="49" w:lineRule="exact"/>
        <w:rPr>
          <w:rFonts w:ascii="Arial" w:cs="Arial" w:eastAsia="Arial" w:hAnsi="Arial"/>
          <w:sz w:val="13"/>
          <w:szCs w:val="13"/>
          <w:color w:val="auto"/>
        </w:rPr>
      </w:pPr>
    </w:p>
    <w:p>
      <w:pPr>
        <w:ind w:left="600" w:hanging="190"/>
        <w:spacing w:after="0" w:line="264"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Dependence on energy from foreign sources. </w:t>
      </w:r>
      <w:r>
        <w:rPr>
          <w:rFonts w:ascii="Arial" w:cs="Arial" w:eastAsia="Arial" w:hAnsi="Arial"/>
          <w:sz w:val="13"/>
          <w:szCs w:val="13"/>
          <w:color w:val="auto"/>
        </w:rPr>
        <w:t>Many countries, including the United States, Japan and much of Europe, depend on foreign resources for a majority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domestic energy needs. Concerns over political and economic instability in some of the leading fossil fuel producing regions of the world are encouraging consuming countries to diversify their sources of energy.</w:t>
      </w:r>
    </w:p>
    <w:p>
      <w:pPr>
        <w:spacing w:after="0" w:line="57" w:lineRule="exact"/>
        <w:rPr>
          <w:rFonts w:ascii="Arial" w:cs="Arial" w:eastAsia="Arial" w:hAnsi="Arial"/>
          <w:sz w:val="13"/>
          <w:szCs w:val="13"/>
          <w:color w:val="auto"/>
        </w:rPr>
      </w:pPr>
    </w:p>
    <w:p>
      <w:pPr>
        <w:ind w:left="600" w:right="260" w:hanging="190"/>
        <w:spacing w:after="0" w:line="371" w:lineRule="auto"/>
        <w:tabs>
          <w:tab w:leader="none" w:pos="60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Environmental concerns. </w:t>
      </w:r>
      <w:r>
        <w:rPr>
          <w:rFonts w:ascii="Arial" w:cs="Arial" w:eastAsia="Arial" w:hAnsi="Arial"/>
          <w:sz w:val="11"/>
          <w:szCs w:val="11"/>
          <w:color w:val="auto"/>
        </w:rPr>
        <w:t>Environmental concerns regarding the contamination, pollution and by-products from fossil fuels have led many countries and several US states to</w:t>
      </w:r>
      <w:r>
        <w:rPr>
          <w:rFonts w:ascii="Arial" w:cs="Arial" w:eastAsia="Arial" w:hAnsi="Arial"/>
          <w:sz w:val="11"/>
          <w:szCs w:val="11"/>
          <w:i w:val="1"/>
          <w:iCs w:val="1"/>
          <w:color w:val="auto"/>
        </w:rPr>
        <w:t xml:space="preserve"> </w:t>
      </w:r>
      <w:r>
        <w:rPr>
          <w:rFonts w:ascii="Arial" w:cs="Arial" w:eastAsia="Arial" w:hAnsi="Arial"/>
          <w:sz w:val="11"/>
          <w:szCs w:val="11"/>
          <w:color w:val="auto"/>
        </w:rPr>
        <w:t>agree to reduce emissions of carbon dioxide and other gases associated with the use of fossil fuels and to adopt policies promoting the development of cleaner technologies.</w:t>
      </w:r>
    </w:p>
    <w:p>
      <w:pPr>
        <w:spacing w:after="0" w:line="2" w:lineRule="exact"/>
        <w:rPr>
          <w:rFonts w:ascii="Arial" w:cs="Arial" w:eastAsia="Arial" w:hAnsi="Arial"/>
          <w:sz w:val="11"/>
          <w:szCs w:val="11"/>
          <w:color w:val="auto"/>
        </w:rPr>
      </w:pPr>
    </w:p>
    <w:p>
      <w:pPr>
        <w:ind w:left="600" w:right="20" w:hanging="190"/>
        <w:spacing w:after="0" w:line="276"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Government incentives. </w:t>
      </w:r>
      <w:r>
        <w:rPr>
          <w:rFonts w:ascii="Arial" w:cs="Arial" w:eastAsia="Arial" w:hAnsi="Arial"/>
          <w:sz w:val="13"/>
          <w:szCs w:val="13"/>
          <w:color w:val="auto"/>
        </w:rPr>
        <w:t>Many countries have adopted policies to provide incentives for the development and use of renewable energy sources, such as subsidies to encourage the</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commercialization of renewable energy power generation.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a result of these and other factors, the AEO 2010 projects that grid-connected renewable generating capacity will continue to grow over the next 25 years.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Wave Energy</w:t>
      </w:r>
    </w:p>
    <w:p>
      <w:pPr>
        <w:spacing w:after="0" w:line="96"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The energy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tops of the waves becomes longer. The size of the waves, and the amount of energy contained in the waves, depends on the wind speed, the time the wind blows over the waves and the distance covered. The rising and falling of the waves move our PowerBuoy system creating mechanical energy that our proprietary technologies convert into usable electricity.</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are a variety of benefits to using wave energy for electricity generation.</w:t>
      </w:r>
    </w:p>
    <w:p>
      <w:pPr>
        <w:spacing w:after="0" w:line="96" w:lineRule="exact"/>
        <w:rPr>
          <w:sz w:val="20"/>
          <w:szCs w:val="20"/>
          <w:color w:val="auto"/>
        </w:rPr>
      </w:pPr>
    </w:p>
    <w:p>
      <w:pPr>
        <w:ind w:left="600" w:right="20" w:hanging="190"/>
        <w:spacing w:after="0" w:line="264"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Scalability within a small site area. </w:t>
      </w:r>
      <w:r>
        <w:rPr>
          <w:rFonts w:ascii="Arial" w:cs="Arial" w:eastAsia="Arial" w:hAnsi="Arial"/>
          <w:sz w:val="13"/>
          <w:szCs w:val="13"/>
          <w:color w:val="auto"/>
        </w:rPr>
        <w:t>Due to the tremendous energy in ocean waves, wave power stations with high capacity — 50 megawatts (MW) and above — can be installed</w:t>
      </w:r>
      <w:r>
        <w:rPr>
          <w:rFonts w:ascii="Arial" w:cs="Arial" w:eastAsia="Arial" w:hAnsi="Arial"/>
          <w:sz w:val="13"/>
          <w:szCs w:val="13"/>
          <w:i w:val="1"/>
          <w:iCs w:val="1"/>
          <w:color w:val="auto"/>
        </w:rPr>
        <w:t xml:space="preserve"> </w:t>
      </w:r>
      <w:r>
        <w:rPr>
          <w:rFonts w:ascii="Arial" w:cs="Arial" w:eastAsia="Arial" w:hAnsi="Arial"/>
          <w:sz w:val="13"/>
          <w:szCs w:val="13"/>
          <w:color w:val="auto"/>
        </w:rPr>
        <w:t>in a relatively small area. We estimate that, upon completion of the development of our 500kW PowerBuoy system, we would be able to construct a wave power station that would occupy less of the ocean surface than an offshore wind power station of equivalent capacity.</w:t>
      </w:r>
    </w:p>
    <w:p>
      <w:pPr>
        <w:spacing w:after="0" w:line="57" w:lineRule="exact"/>
        <w:rPr>
          <w:rFonts w:ascii="Arial" w:cs="Arial" w:eastAsia="Arial" w:hAnsi="Arial"/>
          <w:sz w:val="13"/>
          <w:szCs w:val="13"/>
          <w:color w:val="auto"/>
        </w:rPr>
      </w:pPr>
    </w:p>
    <w:p>
      <w:pPr>
        <w:ind w:left="600" w:right="200" w:hanging="190"/>
        <w:spacing w:after="0" w:line="264"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Predictability. </w:t>
      </w:r>
      <w:r>
        <w:rPr>
          <w:rFonts w:ascii="Arial" w:cs="Arial" w:eastAsia="Arial" w:hAnsi="Arial"/>
          <w:sz w:val="13"/>
          <w:szCs w:val="13"/>
          <w:color w:val="auto"/>
        </w:rPr>
        <w:t>The supply of electricity from wave energy can be forecasted several days in advance. The amount of energy a wave hundreds of miles away will have when it</w:t>
      </w:r>
      <w:r>
        <w:rPr>
          <w:rFonts w:ascii="Arial" w:cs="Arial" w:eastAsia="Arial" w:hAnsi="Arial"/>
          <w:sz w:val="13"/>
          <w:szCs w:val="13"/>
          <w:i w:val="1"/>
          <w:iCs w:val="1"/>
          <w:color w:val="auto"/>
        </w:rPr>
        <w:t xml:space="preserve"> </w:t>
      </w:r>
      <w:r>
        <w:rPr>
          <w:rFonts w:ascii="Arial" w:cs="Arial" w:eastAsia="Arial" w:hAnsi="Arial"/>
          <w:sz w:val="13"/>
          <w:szCs w:val="13"/>
          <w:color w:val="auto"/>
        </w:rPr>
        <w:t>arrives at a wave power station days later can be calculated based on satellite images and meteorological data with a high degree of accuracy. Power producers can use this information to develop sourcing plans to meet their short-term electricity needs.</w:t>
      </w:r>
    </w:p>
    <w:p>
      <w:pPr>
        <w:spacing w:after="0" w:line="57" w:lineRule="exact"/>
        <w:rPr>
          <w:rFonts w:ascii="Arial" w:cs="Arial" w:eastAsia="Arial" w:hAnsi="Arial"/>
          <w:sz w:val="13"/>
          <w:szCs w:val="13"/>
          <w:color w:val="auto"/>
        </w:rPr>
      </w:pPr>
    </w:p>
    <w:p>
      <w:pPr>
        <w:ind w:left="600" w:right="40" w:hanging="190"/>
        <w:spacing w:after="0" w:line="276"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Constant source of energy. </w:t>
      </w:r>
      <w:r>
        <w:rPr>
          <w:rFonts w:ascii="Arial" w:cs="Arial" w:eastAsia="Arial" w:hAnsi="Arial"/>
          <w:sz w:val="13"/>
          <w:szCs w:val="13"/>
          <w:color w:val="auto"/>
        </w:rPr>
        <w:t>The annual flow of waves at specific sites can be relatively constant. Based on our studies and analysis of our target sites, we believe our wave power</w:t>
      </w:r>
      <w:r>
        <w:rPr>
          <w:rFonts w:ascii="Arial" w:cs="Arial" w:eastAsia="Arial" w:hAnsi="Arial"/>
          <w:sz w:val="13"/>
          <w:szCs w:val="13"/>
          <w:i w:val="1"/>
          <w:iCs w:val="1"/>
          <w:color w:val="auto"/>
        </w:rPr>
        <w:t xml:space="preserve"> </w:t>
      </w:r>
      <w:r>
        <w:rPr>
          <w:rFonts w:ascii="Arial" w:cs="Arial" w:eastAsia="Arial" w:hAnsi="Arial"/>
          <w:sz w:val="13"/>
          <w:szCs w:val="13"/>
          <w:color w:val="auto"/>
        </w:rPr>
        <w:t>stations will be able to produce usable electricity for approximately 90% of all hours during a year.</w:t>
      </w:r>
    </w:p>
    <w:p>
      <w:pPr>
        <w:spacing w:after="0" w:line="49" w:lineRule="exact"/>
        <w:rPr>
          <w:rFonts w:ascii="Arial" w:cs="Arial" w:eastAsia="Arial" w:hAnsi="Arial"/>
          <w:sz w:val="13"/>
          <w:szCs w:val="13"/>
          <w:color w:val="auto"/>
        </w:rPr>
      </w:pPr>
    </w:p>
    <w:p>
      <w:pPr>
        <w:ind w:left="600" w:right="140" w:hanging="190"/>
        <w:spacing w:after="0" w:line="276"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Close to population centers. </w:t>
      </w:r>
      <w:r>
        <w:rPr>
          <w:rFonts w:ascii="Arial" w:cs="Arial" w:eastAsia="Arial" w:hAnsi="Arial"/>
          <w:sz w:val="13"/>
          <w:szCs w:val="13"/>
          <w:color w:val="auto"/>
        </w:rPr>
        <w:t>The proximity of large population areas to large bodies of water means that power transmission infrastructure is often already in place and may be</w:t>
      </w:r>
      <w:r>
        <w:rPr>
          <w:rFonts w:ascii="Arial" w:cs="Arial" w:eastAsia="Arial" w:hAnsi="Arial"/>
          <w:sz w:val="13"/>
          <w:szCs w:val="13"/>
          <w:i w:val="1"/>
          <w:iCs w:val="1"/>
          <w:color w:val="auto"/>
        </w:rPr>
        <w:t xml:space="preserve"> </w:t>
      </w:r>
      <w:r>
        <w:rPr>
          <w:rFonts w:ascii="Arial" w:cs="Arial" w:eastAsia="Arial" w:hAnsi="Arial"/>
          <w:sz w:val="13"/>
          <w:szCs w:val="13"/>
          <w:color w:val="auto"/>
        </w:rPr>
        <w:t>utilized for wave energy generation projects.</w:t>
      </w:r>
    </w:p>
    <w:p>
      <w:pPr>
        <w:spacing w:after="0" w:line="59" w:lineRule="exact"/>
        <w:rPr>
          <w:sz w:val="20"/>
          <w:szCs w:val="20"/>
          <w:color w:val="auto"/>
        </w:rPr>
      </w:pPr>
    </w:p>
    <w:p>
      <w:pPr>
        <w:ind w:right="60" w:firstLine="399"/>
        <w:spacing w:after="0" w:line="320" w:lineRule="auto"/>
        <w:rPr>
          <w:sz w:val="20"/>
          <w:szCs w:val="20"/>
          <w:color w:val="auto"/>
        </w:rPr>
      </w:pPr>
      <w:r>
        <w:rPr>
          <w:rFonts w:ascii="Arial" w:cs="Arial" w:eastAsia="Arial" w:hAnsi="Arial"/>
          <w:sz w:val="12"/>
          <w:szCs w:val="12"/>
          <w:color w:val="auto"/>
        </w:rPr>
        <w:t>There are currently several approaches, in different stages of development, for capturing wave energy and converting it into electricity. Methods for generating electricity from wave energy can be divided into two general categories: onshore systems and offshore systems. Our PowerBuoy system is an offshore system. Offshore systems</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6" w:name="page7"/>
    <w:bookmarkEnd w:id="6"/>
    <w:p>
      <w:pPr>
        <w:ind w:right="40"/>
        <w:spacing w:after="0" w:line="281" w:lineRule="auto"/>
        <w:rPr>
          <w:sz w:val="20"/>
          <w:szCs w:val="20"/>
          <w:color w:val="auto"/>
        </w:rPr>
      </w:pPr>
      <w:r>
        <w:rPr>
          <w:rFonts w:ascii="Arial" w:cs="Arial" w:eastAsia="Arial" w:hAnsi="Arial"/>
          <w:sz w:val="12"/>
          <w:szCs w:val="12"/>
          <w:color w:val="auto"/>
        </w:rPr>
        <w:t>are typically located one to five miles offshore and in water depths of between 100 and 200 feet. The system can be above, on or below the ocean surface. Many offshore systems utilize a floatation device to harness wave energy. The heaving or pitching of the floatation device due to the force of the waves creates mechanical energy, which is converted into electricity by various technologies. Onshore and nearshore systems are often located on a shore cliff or a breakwater, or a short distance at sea from the shore line, and typically must concentrate the wave energy first before using it to drive an electrical generator. Although maintenance costs of onshore systems may be less than those associated with offshore systems, there are a variety of disadvantages to these systems. As waves approach the shore, the energy in the waves decreases; onshore and nearshore wave power stations, therefore, do not take full advantage of the amount of energy that waves in deeper water produce. In addition, there are a limited number of suitable sites for onshore and nearshore systems and there are environmental and possible aesthetic issues with these wave power stations due to their size and location at or near the seashore.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Products</w:t>
      </w:r>
    </w:p>
    <w:p>
      <w:pPr>
        <w:spacing w:after="0" w:line="100" w:lineRule="exact"/>
        <w:rPr>
          <w:sz w:val="20"/>
          <w:szCs w:val="20"/>
          <w:color w:val="auto"/>
        </w:rPr>
      </w:pPr>
    </w:p>
    <w:p>
      <w:pPr>
        <w:ind w:right="320" w:firstLine="399"/>
        <w:spacing w:after="0" w:line="320" w:lineRule="auto"/>
        <w:rPr>
          <w:sz w:val="20"/>
          <w:szCs w:val="20"/>
          <w:color w:val="auto"/>
        </w:rPr>
      </w:pPr>
      <w:r>
        <w:rPr>
          <w:rFonts w:ascii="Arial" w:cs="Arial" w:eastAsia="Arial" w:hAnsi="Arial"/>
          <w:sz w:val="12"/>
          <w:szCs w:val="12"/>
          <w:color w:val="auto"/>
        </w:rPr>
        <w:t>We offer two types of PowerBuoy systems: our utility PowerBuoy system, which is designed to supply electricity to a local or regional electric power grid, and our autonomous PowerBuoy system, which is designed to generate power for use independent of the power grid in remote locations. Both products use the same PowerBuoy technology.</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Pictured below is our 150kW-rated PowerBuoy system installed during fiscal year 2011 and in operation off Invergordon,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66675</wp:posOffset>
            </wp:positionV>
            <wp:extent cx="2565400" cy="1198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5400" cy="119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Our PowerBuoy system consists of a floating buoy-like device that is loosely moored to the seabed so that it can freely move up and down in response to the rising and falling of the waves, as well as a power take-off device, an electrical generator, a power electronics system and our control system, all of which are sealed in the unit.</w:t>
      </w:r>
    </w:p>
    <w:p>
      <w:pPr>
        <w:spacing w:after="0" w:line="59"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power take-off device converts the mechanical stroking created by the movement of the unit caused by ocean waves into rotational mechanical energy, which, in turn, drives the electrical generator. The power electronics system then conditions the output from the generator into grid-ready electricity. The operation of the PowerBuoy system is controlled by our customized control system.</w:t>
      </w:r>
    </w:p>
    <w:p>
      <w:pPr>
        <w:spacing w:after="0" w:line="67" w:lineRule="exact"/>
        <w:rPr>
          <w:sz w:val="20"/>
          <w:szCs w:val="20"/>
          <w:color w:val="auto"/>
        </w:rPr>
      </w:pPr>
    </w:p>
    <w:p>
      <w:pPr>
        <w:jc w:val="both"/>
        <w:ind w:right="60" w:firstLine="399"/>
        <w:spacing w:after="0" w:line="289" w:lineRule="auto"/>
        <w:rPr>
          <w:sz w:val="20"/>
          <w:szCs w:val="20"/>
          <w:color w:val="auto"/>
        </w:rPr>
      </w:pPr>
      <w:r>
        <w:rPr>
          <w:rFonts w:ascii="Arial" w:cs="Arial" w:eastAsia="Arial" w:hAnsi="Arial"/>
          <w:sz w:val="12"/>
          <w:szCs w:val="12"/>
          <w:color w:val="auto"/>
        </w:rPr>
        <w:t>The control system uses sophisticated sensors and an onboard computer to continuously monitor the PowerBuoy subsystems as well as the height, frequency and shape of the waves interacting with the PowerBuoy system. The control system collects data from the sensors and uses proprietary algorithms to electronically adjust the performance of the PowerBuoy system in real-time and on a wave-by-wave basis. By making these electrical adjustments automatically, the PowerBuoy system is able to maximize the amount of usable electricity generated from each wave. We believe that this ability to optimize the performance of the PowerBuoy system in real-time is a significant advantage of our product.</w:t>
      </w:r>
    </w:p>
    <w:p>
      <w:pPr>
        <w:spacing w:after="0" w:line="53"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the event of storm waves larger than 23 feet, the control system for the PowerBuoy automatically locks down the PowerBuoy system and electricity generation is suspended. When the wave heights return to a normal operating range of 23 feet or less, the control system automatically unlocks the PowerBuoy system and electricity</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auto"/>
        </w:rPr>
        <w:t>generation and transmission recommence. This safety feature prevents the PowerBuoy system from being damaged by the increased amount of energy in storm waves.</w:t>
      </w:r>
    </w:p>
    <w:p>
      <w:pPr>
        <w:spacing w:after="0" w:line="96"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Our 150kW PowerBuoy system has a maximum diameter of 36 feet near the surface, and is 135 feet long, with approximately 30 feet of the PowerBuoy system protruding above the surface of the ocean. At anticipated deployment distances, generally the system has minimal visability from the shore.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Utility PowerBuoy System</w:t>
      </w:r>
    </w:p>
    <w:p>
      <w:pPr>
        <w:spacing w:after="0" w:line="9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The utility PowerBuoy system is designed to transmit electricity to shore by an underwater power cable, which would then be connected to a power grid. Our current utility PowerBuoy systems presently being marketed to customers have rated capacities of 40kW and 150kW. The utility PowerBuoy system is designed to be positioned in water with a depth of 100 to 200 feet, which can usually be found one to five miles offshore. This depth allows the system to capture meaningful amounts of energy from the waves, since decreasing water depth depletes the energy in the waves.</w:t>
      </w:r>
    </w:p>
    <w:p>
      <w:pPr>
        <w:spacing w:after="0" w:line="70" w:lineRule="exact"/>
        <w:rPr>
          <w:sz w:val="20"/>
          <w:szCs w:val="20"/>
          <w:color w:val="auto"/>
        </w:rPr>
      </w:pPr>
    </w:p>
    <w:p>
      <w:pPr>
        <w:ind w:right="440" w:firstLine="399"/>
        <w:spacing w:after="0" w:line="320" w:lineRule="auto"/>
        <w:rPr>
          <w:sz w:val="20"/>
          <w:szCs w:val="20"/>
          <w:color w:val="auto"/>
        </w:rPr>
      </w:pPr>
      <w:r>
        <w:rPr>
          <w:rFonts w:ascii="Arial" w:cs="Arial" w:eastAsia="Arial" w:hAnsi="Arial"/>
          <w:sz w:val="12"/>
          <w:szCs w:val="12"/>
          <w:color w:val="auto"/>
        </w:rPr>
        <w:t>The mooring system for keeping a utility PowerBuoy system in position connects it by lines to three floats that, in turn, are connected by lines to three anchors. This is a well-established mooring system, referred to as three-point mooring, which we have improved upon with various techniques that reduce cost and deployment time.</w:t>
      </w:r>
    </w:p>
    <w:p>
      <w:pPr>
        <w:spacing w:after="0" w:line="35"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refer to the entire utility power generation system at one location as a wave power station, which can either be comprised of a single PowerBuoy system or an integrated array of PowerBuoy systems connected by our USP to an underwater cable to transmit the electricity to shore. Our system is designed to be scalable, as multiple PowerBuoy units can be integrated to create a wave power station with a larger output capacity. An array of PowerBuoy systems would likely be configured in three staggered rows parallel to the incoming wave front to form a long rectangle. This staggered arrangement would maximize the level of wave energy that the wave power station can capture.</w:t>
      </w:r>
    </w:p>
    <w:p>
      <w:pPr>
        <w:spacing w:after="0" w:line="53"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We are also exploring the use of our utility PowerBuoy system for applications that include generating electricity for desalination of water, hydrogen production, water treatment and natural resource processing. In these instances, the power generated by the utility PowerBuoy system would bypass the grid and be delivered directly to the point of electricity consumption for these special applications.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Status of Utility PowerBuoy System</w:t>
      </w:r>
    </w:p>
    <w:p>
      <w:pPr>
        <w:spacing w:after="0" w:line="9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Ocean trials of our first 150kW PowerBuoy commenced in April 2011. These ocean trials are being conducted at a site approximately 33 nautical miles from Invergordon, off Scotland’s northeast coast. Since deployment for preliminary tests, our 150kW rated PowerBuoy has produced power in excess of our expectations of performance. A second PB150 is now under construction and is expected to be ready for deployment off the coast of Reedsport, Oregon in late 2011, with deployment timing principally dependent on weather conditions. Our utility scale PB150 structure and mooring system achieved independent certification from Lloyd’s Register.</w:t>
      </w:r>
    </w:p>
    <w:p>
      <w:pPr>
        <w:spacing w:after="0" w:line="7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completed the successful in-ocean trials of our USP in October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8" w:name="page9"/>
    <w:bookmarkEnd w:id="8"/>
    <w:p>
      <w:pPr>
        <w:ind w:left="400"/>
        <w:spacing w:after="0"/>
        <w:rPr>
          <w:sz w:val="20"/>
          <w:szCs w:val="20"/>
          <w:color w:val="auto"/>
        </w:rPr>
      </w:pPr>
      <w:r>
        <w:rPr>
          <w:rFonts w:ascii="Arial" w:cs="Arial" w:eastAsia="Arial" w:hAnsi="Arial"/>
          <w:sz w:val="13"/>
          <w:szCs w:val="13"/>
          <w:color w:val="auto"/>
        </w:rPr>
        <w:t>The following is a picture of the USP being lowered into the water for ocean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66675</wp:posOffset>
            </wp:positionV>
            <wp:extent cx="1991360" cy="1067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1360" cy="106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In September 2010, working in conjunction with the US Navy, our 40kW-rated PowerBuoy located at Marine Corps Base Hawaii became the first-ever grid connected wave energy device in the United States.</w:t>
      </w:r>
    </w:p>
    <w:p>
      <w:pPr>
        <w:spacing w:after="0" w:line="59"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have also initiated product development efforts in connection with our 500kW PowerBuoy. Concept development of the PB500’s major subsystems is in progress, and wave tank testing of models has been completed.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Autonomous PowerBuoy System</w:t>
      </w:r>
    </w:p>
    <w:p>
      <w:pPr>
        <w:spacing w:after="0" w:line="96"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color w:val="auto"/>
        </w:rPr>
        <w:t>The autonomous PowerBuoy system is based on similar technology to the utility PowerBuoy system, but is designed for electricity generation of relatively low amounts of power for use independent of the power grid, in remote deep-ocean locations. The autonomous PowerBuoy range of products has rated output from 300 Watts to 40kW, depending on the application. In addition, the PB150 may be utilized in an autonomous mode. Our autonomous PowerBuoy system is designed to operate anywhere in the ocean and in any depth of water.</w:t>
      </w:r>
    </w:p>
    <w:p>
      <w:pPr>
        <w:spacing w:after="0" w:line="5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We believe there are a variety of potential applications for this system, including homeland security, off-shore oil and gas platforms, aquaculture and ocean -based communication and data gathering such as for tsunami warnings.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Status of Autonomous PowerBuoy System</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We received a contract from the US Navy to provide our PowerBuoy to the Navy’s Littoral Expeditionary Autonomous PowerBuoy (LEAP) program. The LEAP program has been established to enhance the US Navy’s anti-terrorism and force protection capability by providing persistent power at sea for port maritime surveillance in near coast, harbor, and offshore areas. In September 2010, the US Navy appropriated $2.6 million in additional funding to us for the second stage of this program. During the first stage of the LEAP program, we successfully completed delivery of the design and on-land testing of a new power take-off system for the autonomous LEAP PowerBuoy. In the second stage of the program, which is now in progress, we will build and ocean-test a LEAP PowerBuoy structure, incorporating that new power take-off system, off the coast of New Jersey. Deployment of this PowerBuoy is expected to take place in the second half of calendar year 2011.</w:t>
      </w:r>
    </w:p>
    <w:p>
      <w:pPr>
        <w:spacing w:after="0" w:line="72"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also have received several contracts from the US Navy to provide our PowerBuoy technology to a unique program for ocean data gathering. Under this program, the Navy has conducted an ocean test of our autonomous PowerBuoy as the power source for the Navy’s Deep Water Active Detection System, and we have substantially completed work under a contract for ocean testing by the Navy of an advanced version of the autonomous PowerBuoy for the Navy’s operational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Competitive Advantages</w:t>
      </w:r>
    </w:p>
    <w:p>
      <w:pPr>
        <w:spacing w:after="0" w:line="100"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We believe that our technology for generating electricity from wave energy and our commercial relationships give us several potential competitive advantages in the renewable energy market.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9" w:name="page10"/>
    <w:bookmarkEnd w:id="9"/>
    <w:p>
      <w:pPr>
        <w:spacing w:after="0"/>
        <w:rPr>
          <w:sz w:val="20"/>
          <w:szCs w:val="20"/>
          <w:color w:val="auto"/>
        </w:rPr>
      </w:pPr>
      <w:r>
        <w:rPr>
          <w:rFonts w:ascii="Arial" w:cs="Arial" w:eastAsia="Arial" w:hAnsi="Arial"/>
          <w:sz w:val="13"/>
          <w:szCs w:val="13"/>
          <w:i w:val="1"/>
          <w:iCs w:val="1"/>
          <w:color w:val="auto"/>
        </w:rPr>
        <w:t>Our PowerBuoy system uses an ocean-tested technology to generate electricity.</w:t>
      </w:r>
    </w:p>
    <w:p>
      <w:pPr>
        <w:spacing w:after="0" w:line="96" w:lineRule="exact"/>
        <w:rPr>
          <w:sz w:val="20"/>
          <w:szCs w:val="20"/>
          <w:color w:val="auto"/>
        </w:rPr>
      </w:pPr>
    </w:p>
    <w:p>
      <w:pPr>
        <w:ind w:left="200" w:right="120" w:hanging="190"/>
        <w:spacing w:after="0" w:line="258" w:lineRule="auto"/>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have been conducting ocean tests for nearly 15 years in order to demonstrate the viability of our technology. We initiated our first ocean installation in 1997 and have had several deployments of our systems for testing and operation since then. Our grid-connected Hawaii system has been operating since December 2009. Subsequent to its installation in Hawaii, our 40kW-rated PowerBuoy has produced power consistent with our predictive models for the incoming wave conditions. Since its deployment off the coast of Scotland in April 2011 for preliminary tests, our 150kW-rated PowerBuoy has produced power in excess of our expectations of performance. Our PowerBuoy systems have endured hurricanes, winter storms and tsunami-driven waves while installed in the ocean.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PowerBuoy system’s grid connection has been certified and one of our PowerBuoys has been connected to a grid.</w:t>
      </w:r>
    </w:p>
    <w:p>
      <w:pPr>
        <w:spacing w:after="0" w:line="96" w:lineRule="exact"/>
        <w:rPr>
          <w:sz w:val="20"/>
          <w:szCs w:val="20"/>
          <w:color w:val="auto"/>
        </w:rPr>
      </w:pPr>
    </w:p>
    <w:p>
      <w:pPr>
        <w:ind w:left="200" w:right="60" w:hanging="190"/>
        <w:spacing w:after="0" w:line="264" w:lineRule="auto"/>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July 2007, we announced that our PowerBuoy grid connection system had been certified as compliant with designated national and international standards. This qualifies our technology for integration into utility grid systems. In September 2010, our PowerBuoy located at the US Marine Corps Base in Hawaii became the first-ever grid-connected wave energy device in the 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PowerBuoy system design is efficient in harnessing wave energy.</w:t>
      </w:r>
    </w:p>
    <w:p>
      <w:pPr>
        <w:spacing w:after="0" w:line="96" w:lineRule="exact"/>
        <w:rPr>
          <w:sz w:val="20"/>
          <w:szCs w:val="20"/>
          <w:color w:val="auto"/>
        </w:rPr>
      </w:pPr>
    </w:p>
    <w:p>
      <w:pPr>
        <w:ind w:left="200" w:hanging="190"/>
        <w:spacing w:after="0" w:line="320" w:lineRule="auto"/>
        <w:tabs>
          <w:tab w:leader="none" w:pos="20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PowerBuoy system is designed to efficiently convert wave energy into electricity by using onboard sensors to detect actual wave conditions and then to automatically adjust, or “tune”, the performance of the generator using our proprietary electrical and electronics-based control systems in response to that information.</w:t>
      </w:r>
    </w:p>
    <w:p>
      <w:pPr>
        <w:spacing w:after="0" w:line="25" w:lineRule="exact"/>
        <w:rPr>
          <w:rFonts w:ascii="Arial" w:cs="Arial" w:eastAsia="Arial" w:hAnsi="Arial"/>
          <w:sz w:val="12"/>
          <w:szCs w:val="12"/>
          <w:color w:val="auto"/>
        </w:rPr>
      </w:pPr>
    </w:p>
    <w:p>
      <w:pPr>
        <w:ind w:left="200" w:right="40" w:hanging="190"/>
        <w:spacing w:after="0" w:line="322" w:lineRule="auto"/>
        <w:tabs>
          <w:tab w:leader="none" w:pos="200" w:val="left"/>
        </w:tabs>
        <w:numPr>
          <w:ilvl w:val="0"/>
          <w:numId w:val="9"/>
        </w:numPr>
        <w:rPr>
          <w:rFonts w:ascii="Arial" w:cs="Arial" w:eastAsia="Arial" w:hAnsi="Arial"/>
          <w:sz w:val="11"/>
          <w:szCs w:val="11"/>
          <w:color w:val="auto"/>
        </w:rPr>
      </w:pPr>
      <w:r>
        <w:rPr>
          <w:rFonts w:ascii="Arial" w:cs="Arial" w:eastAsia="Arial" w:hAnsi="Arial"/>
          <w:sz w:val="11"/>
          <w:szCs w:val="11"/>
          <w:color w:val="auto"/>
        </w:rPr>
        <w:t>One measure of the efficiency of an electric power generation system is capacity factor. The capacity factor is the percent of kilowatt hours produced by a specific system in a given period as compared to the maximum kilowatt hours that could be produced by the system in that period. A high capacity factor indicates a high degree of utilization of the capacity of the system and provides a means to compare the effectiveness of different energy sources. Based on our research and analysis, and in-ocean experience to date, we believe the design capacity factor for a PowerBuoy wave power station located at many of our targeted sites would be favorably positioned in the range of 30% to 45%.</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Numerous potential sites for our wave power stations are located near major population centers worldwide.</w:t>
      </w:r>
    </w:p>
    <w:p>
      <w:pPr>
        <w:spacing w:after="0" w:line="96" w:lineRule="exact"/>
        <w:rPr>
          <w:sz w:val="20"/>
          <w:szCs w:val="20"/>
          <w:color w:val="auto"/>
        </w:rPr>
      </w:pPr>
    </w:p>
    <w:p>
      <w:pPr>
        <w:ind w:left="200" w:hanging="190"/>
        <w:spacing w:after="0" w:line="260" w:lineRule="auto"/>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systems are designed to work in sites with average annual wave energy of at least 20kW per meter of wave front, which can be found in many coastal locations around the world. In particular, we are currently targeting the west coast of North America, the west coast of Europe, the coasts of Australia and the east coast of Japan. These potential sites not only have appropriate natural resources for harnessing wave energy, but they are also located near large population centers with access to existing power transmission infrastructure and significant and increasing electricity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have significant commercial relationships.</w:t>
      </w:r>
    </w:p>
    <w:p>
      <w:pPr>
        <w:spacing w:after="0" w:line="96" w:lineRule="exact"/>
        <w:rPr>
          <w:sz w:val="20"/>
          <w:szCs w:val="20"/>
          <w:color w:val="auto"/>
        </w:rPr>
      </w:pPr>
    </w:p>
    <w:p>
      <w:pPr>
        <w:ind w:left="200" w:right="60" w:hanging="190"/>
        <w:spacing w:after="0" w:line="258" w:lineRule="auto"/>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current projects with PNGC Power, the US Department of Energy, the US Navy, Mitsui Engineering and Shipbuilding, the Scottish Government, and the UK Government’s Technology Strategy Board (TSB), provide us with an initial opportunity to sell our wave power stations for utility applications. By collaborating with leaders in renewable energy development, we believe we are able to accelerate both our in-house knowledge of the utility power generation market and our reputation as a credible renewable energy equipment supplier. If these projects are successful, we intend to leverage our experiences with our projects to add wave power stations, new customers and complementary revenue streams from operations and maintenance contracts.</w:t>
      </w:r>
    </w:p>
    <w:p>
      <w:pPr>
        <w:spacing w:after="0" w:line="61" w:lineRule="exact"/>
        <w:rPr>
          <w:rFonts w:ascii="Arial" w:cs="Arial" w:eastAsia="Arial" w:hAnsi="Arial"/>
          <w:sz w:val="13"/>
          <w:szCs w:val="13"/>
          <w:color w:val="auto"/>
        </w:rPr>
      </w:pPr>
    </w:p>
    <w:p>
      <w:pPr>
        <w:ind w:left="200" w:right="300" w:hanging="190"/>
        <w:spacing w:after="0" w:line="320"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With the funding from the US Navy, we have been able to refine our PowerBuoy system while simultaneously preparing for commercial deployment to address a particular customer need. We believe that the successful deployment of our PowerBuoy system for the US Navy will significantly enhance market visibility.</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00"/>
          </w:cols>
          <w:pgMar w:left="1300" w:top="720" w:right="1099" w:bottom="1440" w:gutter="0" w:footer="0" w:header="0"/>
        </w:sectPr>
      </w:pPr>
    </w:p>
    <w:bookmarkStart w:id="10" w:name="page11"/>
    <w:bookmarkEnd w:id="10"/>
    <w:p>
      <w:pPr>
        <w:ind w:left="400"/>
        <w:spacing w:after="0"/>
        <w:rPr>
          <w:sz w:val="20"/>
          <w:szCs w:val="20"/>
          <w:color w:val="auto"/>
        </w:rPr>
      </w:pPr>
      <w:r>
        <w:rPr>
          <w:rFonts w:ascii="Arial" w:cs="Arial" w:eastAsia="Arial" w:hAnsi="Arial"/>
          <w:sz w:val="13"/>
          <w:szCs w:val="13"/>
          <w:i w:val="1"/>
          <w:iCs w:val="1"/>
          <w:color w:val="auto"/>
        </w:rPr>
        <w:t>Our PowerBuoy system has the potential to offer a cost competitive renewable energy power generation solution.</w:t>
      </w:r>
    </w:p>
    <w:p>
      <w:pPr>
        <w:spacing w:after="0" w:line="96" w:lineRule="exact"/>
        <w:rPr>
          <w:sz w:val="20"/>
          <w:szCs w:val="20"/>
          <w:color w:val="auto"/>
        </w:rPr>
      </w:pPr>
    </w:p>
    <w:p>
      <w:pPr>
        <w:ind w:left="600" w:right="20" w:hanging="190"/>
        <w:spacing w:after="0" w:line="289" w:lineRule="auto"/>
        <w:tabs>
          <w:tab w:leader="none" w:pos="6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product development and engineering efforts are focused on increasing the maximum rated output and reliability of the design of our utility PowerBuoy system. Currently we are marketing PowerBuoys rated at 40kW and 150kW. Assuming we are able to reach significant manufacturing volume levels of our 500kW PowerBuoy systems per year, we believe, based upon our research and analysis, that the economies of scale we would have with our fabricators would allow us to offer a renewable electricity solution that competes with other existing renewable energy systems and, in certain cases, with existing fossil fuel systems in key markets.</w:t>
      </w:r>
    </w:p>
    <w:p>
      <w:pPr>
        <w:spacing w:after="0" w:line="43" w:lineRule="exact"/>
        <w:rPr>
          <w:rFonts w:ascii="Arial" w:cs="Arial" w:eastAsia="Arial" w:hAnsi="Arial"/>
          <w:sz w:val="12"/>
          <w:szCs w:val="12"/>
          <w:color w:val="auto"/>
        </w:rPr>
      </w:pPr>
    </w:p>
    <w:p>
      <w:pPr>
        <w:ind w:left="600" w:right="140" w:hanging="190"/>
        <w:spacing w:after="0" w:line="264"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Prior to achieving full production levels of the 500kW PowerBuoy system, if we achieve economies of scale for our 150kW PowerBuoy systems, we expect to be able to offer a renewable electricity solution that competes with the price of electricity in certain local markets where the current retail price of electricity is relatively high or where sufficient subsidies are available.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Our systems are environmentally benign and aesthetically non-intrusive.</w:t>
      </w:r>
    </w:p>
    <w:p>
      <w:pPr>
        <w:spacing w:after="0" w:line="96" w:lineRule="exact"/>
        <w:rPr>
          <w:sz w:val="20"/>
          <w:szCs w:val="20"/>
          <w:color w:val="auto"/>
        </w:rPr>
      </w:pPr>
    </w:p>
    <w:p>
      <w:pPr>
        <w:ind w:left="600" w:hanging="190"/>
        <w:spacing w:after="0" w:line="285"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believe that our PowerBuoy system does not present significant risks to marine life and does not emit significant levels of pollutants. In connection with our project at the US Marine Corps Base in Hawaii, our customer, the US Navy, obtained an independent environmental assessment of our PowerBuoy system prior to installation, as required by the National Environmental Policy Act. This assessment resulted in a Finding of No Significant Impact, the highest such level of approval. Although our project for the US Navy only contemplates an array of up to six PowerBuoy systems in Hawaii, we believe that PowerBuoy systems deployed in other geographic locations, including larger PowerBuoy systems under development and multiple-buoy wave power stations, would have minimal environmental impact due to the physical similarities with the tested system.</w:t>
      </w:r>
    </w:p>
    <w:p>
      <w:pPr>
        <w:spacing w:after="0" w:line="45" w:lineRule="exact"/>
        <w:rPr>
          <w:rFonts w:ascii="Arial" w:cs="Arial" w:eastAsia="Arial" w:hAnsi="Arial"/>
          <w:sz w:val="12"/>
          <w:szCs w:val="12"/>
          <w:color w:val="auto"/>
        </w:rPr>
      </w:pPr>
    </w:p>
    <w:p>
      <w:pPr>
        <w:ind w:left="600" w:right="40" w:hanging="190"/>
        <w:spacing w:after="0" w:line="296"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Since our PowerBuoy systems are typically located one to five miles offshore, PowerBuoy wave power stations are usually not visible from the shore. Visual impact is often cited as one of the reasons that many communities have opposed plans to develop power stations, in particular wind power stations. Our PowerBuoy system has the distinct advantage of having only a minimal visual profile. Only a small portion of the unit is visible at close range, with the bulk of the unit hidden below the water.</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Customers/Projects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table below shows the percentage of our revenue we derived from significant customers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36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w w:val="97"/>
              </w:rPr>
              <w:t>Years Ended April 30,</w:t>
            </w:r>
          </w:p>
        </w:tc>
        <w:tc>
          <w:tcPr>
            <w:tcW w:w="320" w:type="dxa"/>
            <w:vAlign w:val="bottom"/>
            <w:tcBorders>
              <w:bottom w:val="single" w:sz="8" w:color="auto"/>
            </w:tcBorders>
          </w:tcPr>
          <w:p>
            <w:pPr>
              <w:spacing w:after="0"/>
              <w:rPr>
                <w:sz w:val="10"/>
                <w:szCs w:val="10"/>
                <w:color w:val="auto"/>
              </w:rPr>
            </w:pPr>
          </w:p>
        </w:tc>
      </w:tr>
      <w:tr>
        <w:trPr>
          <w:trHeight w:val="98"/>
        </w:trPr>
        <w:tc>
          <w:tcPr>
            <w:tcW w:w="8300" w:type="dxa"/>
            <w:vAlign w:val="bottom"/>
          </w:tcPr>
          <w:p>
            <w:pPr>
              <w:spacing w:after="0"/>
              <w:rPr>
                <w:sz w:val="8"/>
                <w:szCs w:val="8"/>
                <w:color w:val="auto"/>
              </w:rPr>
            </w:pPr>
          </w:p>
        </w:tc>
        <w:tc>
          <w:tcPr>
            <w:tcW w:w="380" w:type="dxa"/>
            <w:vAlign w:val="bottom"/>
          </w:tcPr>
          <w:p>
            <w:pPr>
              <w:jc w:val="right"/>
              <w:ind w:right="19"/>
              <w:spacing w:after="0" w:line="98" w:lineRule="exact"/>
              <w:rPr>
                <w:sz w:val="20"/>
                <w:szCs w:val="20"/>
                <w:color w:val="auto"/>
              </w:rPr>
            </w:pPr>
            <w:r>
              <w:rPr>
                <w:rFonts w:ascii="Arial" w:cs="Arial" w:eastAsia="Arial" w:hAnsi="Arial"/>
                <w:sz w:val="10"/>
                <w:szCs w:val="10"/>
                <w:b w:val="1"/>
                <w:bCs w:val="1"/>
                <w:color w:val="auto"/>
              </w:rPr>
              <w:t>2011</w:t>
            </w:r>
          </w:p>
        </w:tc>
        <w:tc>
          <w:tcPr>
            <w:tcW w:w="660" w:type="dxa"/>
            <w:vAlign w:val="bottom"/>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2009</w:t>
            </w:r>
          </w:p>
        </w:tc>
      </w:tr>
      <w:tr>
        <w:trPr>
          <w:trHeight w:val="29"/>
        </w:trPr>
        <w:tc>
          <w:tcPr>
            <w:tcW w:w="8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US Navy</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US Department of Energy</w:t>
            </w:r>
          </w:p>
        </w:tc>
        <w:tc>
          <w:tcPr>
            <w:tcW w:w="380" w:type="dxa"/>
            <w:vAlign w:val="bottom"/>
          </w:tcPr>
          <w:p>
            <w:pPr>
              <w:jc w:val="right"/>
              <w:spacing w:after="0"/>
              <w:rPr>
                <w:sz w:val="20"/>
                <w:szCs w:val="20"/>
                <w:color w:val="auto"/>
              </w:rPr>
            </w:pPr>
            <w:r>
              <w:rPr>
                <w:rFonts w:ascii="Arial" w:cs="Arial" w:eastAsia="Arial" w:hAnsi="Arial"/>
                <w:sz w:val="13"/>
                <w:szCs w:val="13"/>
                <w:color w:val="auto"/>
              </w:rPr>
              <w:t>28%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Iberdrola Cantabria</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5"/>
        </w:trPr>
        <w:tc>
          <w:tcPr>
            <w:tcW w:w="8300" w:type="dxa"/>
            <w:vAlign w:val="bottom"/>
          </w:tcPr>
          <w:p>
            <w:pPr>
              <w:spacing w:after="0"/>
              <w:rPr>
                <w:sz w:val="20"/>
                <w:szCs w:val="20"/>
                <w:color w:val="auto"/>
              </w:rPr>
            </w:pPr>
            <w:r>
              <w:rPr>
                <w:rFonts w:ascii="Arial" w:cs="Arial" w:eastAsia="Arial" w:hAnsi="Arial"/>
                <w:sz w:val="13"/>
                <w:szCs w:val="13"/>
                <w:color w:val="auto"/>
              </w:rPr>
              <w:t>UK Government’s Technical Strategy Board</w:t>
            </w: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4"/>
                <w:szCs w:val="14"/>
                <w:color w:val="auto"/>
              </w:rPr>
            </w:pPr>
          </w:p>
        </w:tc>
        <w:tc>
          <w:tcPr>
            <w:tcW w:w="68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fiscal 2011, we reduced revenue by approximately $0.2 million due to a change in estimated revenue to be recognized in connection with the Spain construction agreement.</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expect an increasing proportion of our future revenues to be contributed by commercial customers.</w:t>
      </w:r>
    </w:p>
    <w:p>
      <w:pPr>
        <w:spacing w:after="0" w:line="96" w:lineRule="exact"/>
        <w:rPr>
          <w:sz w:val="20"/>
          <w:szCs w:val="20"/>
          <w:color w:val="auto"/>
        </w:rPr>
      </w:pPr>
    </w:p>
    <w:p>
      <w:pPr>
        <w:ind w:right="20" w:firstLine="399"/>
        <w:spacing w:after="0" w:line="334" w:lineRule="auto"/>
        <w:rPr>
          <w:sz w:val="20"/>
          <w:szCs w:val="20"/>
          <w:color w:val="auto"/>
        </w:rPr>
      </w:pPr>
      <w:r>
        <w:rPr>
          <w:rFonts w:ascii="Arial" w:cs="Arial" w:eastAsia="Arial" w:hAnsi="Arial"/>
          <w:sz w:val="11"/>
          <w:szCs w:val="11"/>
          <w:color w:val="auto"/>
        </w:rPr>
        <w:t>Our potential customer base for our utility PowerBuoy systems consists of public utilities, independent power producers and other governmental entities and agencies. Our potential customer base for our autonomous PowerBuoy systems consists of different public and private entities that use electricity in and near the ocean. Our efforts to identify new customers are concentrated on four geographic markets: the west coast of North America, the west coast of Europe, the coasts of Australia and the east coast of Japan. Our efforts to identify new customers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are currently led and coordinated by our Executive Chairman. We also use consultants and other personnel to assist us in locating potential customers.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US Navy</w:t>
      </w:r>
    </w:p>
    <w:p>
      <w:pPr>
        <w:spacing w:after="0" w:line="96" w:lineRule="exact"/>
        <w:rPr>
          <w:sz w:val="20"/>
          <w:szCs w:val="20"/>
          <w:color w:val="auto"/>
        </w:rPr>
      </w:pPr>
    </w:p>
    <w:p>
      <w:pPr>
        <w:jc w:val="both"/>
        <w:ind w:right="40" w:firstLine="399"/>
        <w:spacing w:after="0" w:line="258" w:lineRule="auto"/>
        <w:rPr>
          <w:sz w:val="20"/>
          <w:szCs w:val="20"/>
          <w:color w:val="auto"/>
        </w:rPr>
      </w:pPr>
      <w:r>
        <w:rPr>
          <w:rFonts w:ascii="Arial" w:cs="Arial" w:eastAsia="Arial" w:hAnsi="Arial"/>
          <w:sz w:val="13"/>
          <w:szCs w:val="13"/>
          <w:color w:val="auto"/>
        </w:rPr>
        <w:t>Since September 2001, we have entered into a series of contracts with the United States Office of Naval Research for the development and construction of wave power systems at the Marine Corps base in Oahu, Hawaii. Under the contract for the current phase of the project, which was entered into in September 2005 and will expire in September 2011, we are reimbursed for costs and paid a fixed fee, and over this period had been awarded contracts for total potential revenue of $6.1 million. The current PowerBuoy now in operation at the Marine Corps base was deployed in December 2009 and connected to the grid in September 2010. This PowerBuoy has produced power consistent with our predictive models. We expect to continue operation of this grid-connected PowerBuoy for the foreseeable future.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Pictured below are views of our 40kW-rated PowerBuoy system being lowered into the ocean in Oahu, and after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1591310" cy="1198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1310" cy="1198245"/>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73025</wp:posOffset>
            </wp:positionV>
            <wp:extent cx="1454150" cy="1323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4150" cy="1323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In June 2007, we received a $1.7 million contract from the US Navy to provide our PowerBuoy technology to a unique program for data gathering in the ocean. Under this 18-month program, the US Navy conducted an ocean test in October 2008 of our autonomous PowerBuoy as the power source for the Navy’s Deep Water Active Detection System. In October 2008, we received a $3.0 million contract from the US Navy to expand the program and ocean-test an advanced version of our autonomous PowerBuoy. We have substantially completed performance under this contract.</w:t>
      </w:r>
    </w:p>
    <w:p>
      <w:pPr>
        <w:spacing w:after="0" w:line="70"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In September 2009, we received $2.4 million from the US Navy for the first stage of a contract to provide our PowerBuoy to the Navy’s LEAP program. In September 2010, the US Navy awarded $2.6 million in additional funding to us for the second stage of this program. The LEAP program is being developed to enhance the US Navy’s anti-terrorism and force protection capability by providing persistent power at sea for port maritime surveillance in the near coast, harbor, piers and offshore areas. This contract expires in September 2011, and we expect it to be extended.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Reedsport, Oregon Project</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We are evaluating the feasibility of a location off the coast of Reedsport, Oregon for the proposed construction and operation of a wave power station with a total potential maximum rated output of up to 50MW, of which the first 1.5 MW would be a demonstration wave power station. In February 2007, we signed a cooperative agreement with PNGC Power, an Oregon-based electric power cooperative, as a utility partner for the development of the wave power station. In July 2007, we filed a Pre-Application Document and Notice of Intent with the US Federal Energy Regulatory Commission (FERC) for the Reedsport project, which provides notice of our intent to seek a license for the Reedsport power station and information regarding the project. In February 2010, we filed with FERC a full application to build, deploy and connect to the grid a 10-PowerBuoy array (1.5 MW). In March 2011, FERC granted us a second preliminary permit to continue to evaluate the feasibility of the Reedsport project. We believe these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2" w:name="page13"/>
    <w:bookmarkEnd w:id="12"/>
    <w:p>
      <w:pPr>
        <w:ind w:right="140"/>
        <w:spacing w:after="0" w:line="320" w:lineRule="auto"/>
        <w:rPr>
          <w:sz w:val="20"/>
          <w:szCs w:val="20"/>
          <w:color w:val="auto"/>
        </w:rPr>
      </w:pPr>
      <w:r>
        <w:rPr>
          <w:rFonts w:ascii="Arial" w:cs="Arial" w:eastAsia="Arial" w:hAnsi="Arial"/>
          <w:sz w:val="12"/>
          <w:szCs w:val="12"/>
          <w:color w:val="auto"/>
        </w:rPr>
        <w:t>filings were the first Pre-Application Document, Notice of Intent, and full License Application filed by a wave power company, and is an important step in the full licensing process for the Reedsport project. We will need additional authorization from FERC to sell electric power generated from the Reedsport wave power station into the wholesale or retail markets.</w:t>
      </w:r>
    </w:p>
    <w:p>
      <w:pPr>
        <w:spacing w:after="0" w:line="35"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August 2007, we announced the award of a $0.5 million contract from PNGC Power, providing funding toward the fabrication and installation of a 150kW PowerBuoy system for the Reedsport project. In October 2008, we received a $2.0 million award from the DOE in support of the project. This DOE grant is being used to help fund the fabrication and factory testing of the first PowerBuoy to be installed at the Reedsport site. This was the first award for the building of ocean wave energy systems by the DOE. In September 2010, we announced the award of another grant from the DOE of $2.4 million. This award will be used for final assembly, deployment and ocean trials of the first PowerBuoy. We believe these grants are indicative of the growing recognition and support of wave energy in the US federal and state governments.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This PowerBuoy is expected to be ready for deployment by the end of 2011, with deployment timing principally dependent on weather conditions.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photographs show manufacturing activity associated with our PB150 PowerBuoy being built in Oregon: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1335405" cy="1123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5405" cy="112331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73025</wp:posOffset>
            </wp:positionV>
            <wp:extent cx="1697990" cy="1129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7990" cy="112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We continue to make progress on the overall permitting and licensing process while working extensively with interested stakeholder groups at local, county, state and federal agency levels. In August 2010, we announced a Settlement Agreement with 11 federal and state agencies and three non-governmental stakeholders. This first-ever wave energy settlement agreement was reached after extensive technical, policy, and legal discussions regarding appropriate prevention, mitigation and enhancement measures, and study requirements. It covers a broad array of resource areas including aquatic resources, water quality, recreation, public safety, crabbing and fishing, terrestrial resources and cultural resources. The Settlement Agreement includes an innovative Adaptive Management Plan that will be used to identify and implement environmental studies that may be required, and to provide a blueprint for the application of this new information as the wave power station develops.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Next Generation PB500 PowerBuoy</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April 2010, we received a $1.5 million award from the DOE for the development of our next generation 500kW PowerBuoy wave power system, the PB500. In the fiscal year ended April 30, 2011, we received awards of an additional $4.7 million for development of the PB500, $2.4 million from the DOE and $2.3 million from the UK Government’s Technology Strategy Board. We intend to use proceeds from these grants to help fund the scale-up of the power output per PowerBuoy from the current level of 150kW to 500kW. In addition, the technology development effort will focus on increasing the power extraction efficiency and reliability. Concept design of the PB500 major subsystems is in progress, and wave tank testing of the models has been completed.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Scotland Project</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2007, we received a $1.8 million contract from the Scottish Executive toward the construction and testing of a 150kW grid-connected PowerBuoy system. We are now conducting ocean trials of the buoy at a site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3" w:name="page14"/>
    <w:bookmarkEnd w:id="13"/>
    <w:p>
      <w:pPr>
        <w:ind w:right="20"/>
        <w:spacing w:after="0" w:line="264" w:lineRule="auto"/>
        <w:rPr>
          <w:sz w:val="20"/>
          <w:szCs w:val="20"/>
          <w:color w:val="auto"/>
        </w:rPr>
      </w:pPr>
      <w:r>
        <w:rPr>
          <w:rFonts w:ascii="Arial" w:cs="Arial" w:eastAsia="Arial" w:hAnsi="Arial"/>
          <w:sz w:val="13"/>
          <w:szCs w:val="13"/>
          <w:color w:val="auto"/>
        </w:rPr>
        <w:t>approximately 33 nautical miles from Invergordon, off Scotland’s northeast coast. Since its deployment off the coast of Scotland in April 2011 for preliminary tests, our 150kW rated PowerBuoy has produced power in excess of our expectations of performance. We are seeking a customer for the commercial utilization of the buoy after the ocean trial phase is completed, including its deployment at various potential sites.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pictures show manufacturing and deployment activity in Scotland associated with our PB150 PowerBuoy: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6335395" cy="257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35395" cy="257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Spain</w:t>
      </w:r>
    </w:p>
    <w:p>
      <w:pPr>
        <w:spacing w:after="0" w:line="96"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In July 2006, after exploratory studies were conducted, Iberdrola Energias Marinas de Cantabria, S.A., or Iberdrola Cantabria, was formed for the purpose of constructing and operating a wave power station off the coast of Santoña, Spain. Iberdrola Energias Renovables II, S.A. (Iberdrola Energias), an affiliate of Iberdrola, is the largest shareholder of Iberdrola Cantabria. Minority shareholders include us, Sociedad para el Desarrollo Regional de Cantabria, S.A., or SODERCAN, which is the industrial development agency of the Spanish region of Cantabria, Total Eolica, an affiliate of Total S.A., and Instituto para la Diversificacion y Ahorro de la Energia, S.A., (IDAE), a Spanish government agency dedicated to energy conservation and diversification efforts. Funding is shared among the shareholders based on agreed-upon percentages that reflect the parties’ anticipated ownership interest in the wave power station. We own 10% of Iberdrola Cantabria.</w:t>
      </w:r>
    </w:p>
    <w:p>
      <w:pPr>
        <w:spacing w:after="0" w:line="72"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In July 2006, we entered into an agreement for the first phase of the construction of a wave power station with our customer, Iberdrola Cantabria. In January 2007, the parties entered into a corresponding operations and maintenance agreement. Under the Spain construction agreement, we agreed to manufacture and deploy one 40kW PowerBuoy system and the ocean-based substation and infrastructure required to connect nine additional 150kW PowerBuoy systems by December 31, 2009. The terms of the construction of the nine additional PowerBuoy units and the installation of the underwater transmission cable and underwater substation pod were not covered by the Spain construction agreement and were to be separately agreed upon.</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14" w:name="page15"/>
    <w:bookmarkEnd w:id="14"/>
    <w:p>
      <w:pPr>
        <w:ind w:right="20" w:firstLine="399"/>
        <w:spacing w:after="0" w:line="281" w:lineRule="auto"/>
        <w:rPr>
          <w:sz w:val="20"/>
          <w:szCs w:val="20"/>
          <w:color w:val="auto"/>
        </w:rPr>
      </w:pPr>
      <w:r>
        <w:rPr>
          <w:rFonts w:ascii="Arial" w:cs="Arial" w:eastAsia="Arial" w:hAnsi="Arial"/>
          <w:sz w:val="12"/>
          <w:szCs w:val="12"/>
          <w:color w:val="auto"/>
        </w:rPr>
        <w:t>The initial PB40 PowerBuoy system for this project was deployed in September 2008. After a short testing period, the buoy was removed from the water for work on improvements to the power take-off and control systems. If no modification to the Spain construction agreement is agreed to by the parties, the customer may, subject to certain conditions in the agreement, terminate the agreement without the obligation to make further milestone payments and, potentially, collect reimbursement for direct damages, limited as specified in the Spain construction agreement, for the failure of the PowerBuoy to meet certain performance thresholds. While we do not expect the termination of the Spain construction agreement or potential liability for damages to materially adversely affect our financial condition, the new Santoña project does represent a portion of our anticipated revenue stream. If we are unable to successfully meet the terms of the existing Spain construction agreement, if Iberdrola Cantabria were to terminate the agreement, or if we are not able to successfully negotiate a subsequent contract or contracts with Iberdrola Cantabria, we may lose that revenue stream.</w:t>
      </w:r>
    </w:p>
    <w:p>
      <w:pPr>
        <w:spacing w:after="0" w:line="5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November 2010, we agreed to negotiate with Iberdrola Cantabria with the goal of cancelling the remaining obligations between the parties under the Spain construction and operations and maintenance agreements, transferring ownership of the equipment manufactured or purchased by us under the construction agreement to Iberdrola Cantabria, and having Iberdrola Cantabria pay certain amounts due to us. We further agreed to work toward a new project with Iberdrola Cantabria. Under this new project, we would provide project management of the installation and connection of the sub-sea cable and underwater substation pod at Santoña. In addition, we would provide a proposal to perform maintenance on the assets transferred to Iberdrola Cantabria. Negotiations are underway for such efforts.</w:t>
      </w:r>
    </w:p>
    <w:p>
      <w:pPr>
        <w:spacing w:after="0" w:line="71" w:lineRule="exact"/>
        <w:rPr>
          <w:sz w:val="20"/>
          <w:szCs w:val="20"/>
          <w:color w:val="auto"/>
        </w:rPr>
      </w:pPr>
    </w:p>
    <w:p>
      <w:pPr>
        <w:ind w:right="260" w:firstLine="399"/>
        <w:spacing w:after="0" w:line="260" w:lineRule="auto"/>
        <w:rPr>
          <w:sz w:val="20"/>
          <w:szCs w:val="20"/>
          <w:color w:val="auto"/>
        </w:rPr>
      </w:pPr>
      <w:r>
        <w:rPr>
          <w:rFonts w:ascii="Arial" w:cs="Arial" w:eastAsia="Arial" w:hAnsi="Arial"/>
          <w:sz w:val="13"/>
          <w:szCs w:val="13"/>
          <w:color w:val="auto"/>
        </w:rPr>
        <w:t>In March 2010, we announced the award of €2.2 million under the European Commission’s Seventh Framework Programme (FP7) by the European Commission’s Directorate responsible for new and renewable sources of energy, energy efficiency and innovation. This grant is part of a total award of €4.5 million to a consortium of companies, including us, to deliver a PowerBuoy wave energy device under a project entitled WavePort, with an innovative wave prediction capability and a “wave-by-wave” tuning system. It is anticipated that the PowerBuoy will be deployed at the Santoña site in Spain.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Projects</w:t>
      </w:r>
    </w:p>
    <w:p>
      <w:pPr>
        <w:spacing w:after="0" w:line="96" w:lineRule="exact"/>
        <w:rPr>
          <w:sz w:val="20"/>
          <w:szCs w:val="20"/>
          <w:color w:val="auto"/>
        </w:rPr>
      </w:pPr>
    </w:p>
    <w:p>
      <w:pPr>
        <w:ind w:right="280" w:firstLine="399"/>
        <w:spacing w:after="0" w:line="289" w:lineRule="auto"/>
        <w:rPr>
          <w:sz w:val="20"/>
          <w:szCs w:val="20"/>
          <w:color w:val="auto"/>
        </w:rPr>
      </w:pPr>
      <w:r>
        <w:rPr>
          <w:rFonts w:ascii="Arial" w:cs="Arial" w:eastAsia="Arial" w:hAnsi="Arial"/>
          <w:sz w:val="12"/>
          <w:szCs w:val="12"/>
          <w:color w:val="auto"/>
        </w:rPr>
        <w:t>In February 2006, we received approval from the UK Government’s Technology Strategy Board (TSB) to install a demonstration wave power station off the coast of Cornwall, England as part of TSB’s “Wave Hub” project, a planned offshore facility for demonstrating and testing wave energy generation devices. TSB has obtained the necessary permits for this Wave Hub project, and the project received over £40 million of funding for construction of the Wave Hub infrastructure, which was completed during 2010. We are in the planning and development stage for our part of the project, and we are seeking funding for the deployment of our PowerBuoy systems at this site.</w:t>
      </w:r>
    </w:p>
    <w:p>
      <w:pPr>
        <w:spacing w:after="0" w:line="53" w:lineRule="exact"/>
        <w:rPr>
          <w:sz w:val="20"/>
          <w:szCs w:val="20"/>
          <w:color w:val="auto"/>
        </w:rPr>
      </w:pPr>
    </w:p>
    <w:p>
      <w:pPr>
        <w:ind w:right="200" w:firstLine="399"/>
        <w:spacing w:after="0" w:line="260" w:lineRule="auto"/>
        <w:rPr>
          <w:sz w:val="20"/>
          <w:szCs w:val="20"/>
          <w:color w:val="auto"/>
        </w:rPr>
      </w:pPr>
      <w:r>
        <w:rPr>
          <w:rFonts w:ascii="Arial" w:cs="Arial" w:eastAsia="Arial" w:hAnsi="Arial"/>
          <w:sz w:val="13"/>
          <w:szCs w:val="13"/>
          <w:color w:val="auto"/>
        </w:rPr>
        <w:t>In October 2008, we signed an exclusive agreement with a consortium of three Japanese companies to develop a demonstration wave power station in Japan. The Japanese consortium comprises Idemitsu Kosan Co., Mitsui Engineering &amp; Shipbuilding Co. (MES), and Japan Wind Development Co. We are presently working with MES to identify prospective sites for the wave power station. In 2011, we signed a $220,000 contract with MES to develop a new mooring system for our PowerBuoy. We also worked with MES to conduct certain development engineering in connection with the project, and to perform tests at MES’s wave tank facilities.</w:t>
      </w:r>
    </w:p>
    <w:p>
      <w:pPr>
        <w:spacing w:after="0" w:line="70"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In December 2008, we announced a Joint Development Agreement with Leighton Contractors Pty. Ltd. (Leighton) for the development of wave power projects off the east and south coasts of Australia. Over the past 50 years, Leighton has played an active role in building Australia’s ports and marine facilities, transportation infrastructure, and energy projects including projects within the wind and offshore oil and gas sectors. In 2009, Leighton formed Victorian Wave Partners Pty. Ltd. (VWP), a special purpose company for the development of a 19MW power wave power project off the coast of Victoria, Australia. In November 2009, we announced that VWP was awarded an A$66.46 million grant from the Federal Government of Australia for the 19MW wave power project. The grant is conditional on the Funding Deed which sets out the terms of the grant, including funding milestones. Victorian Wave Partners is currently seeking the significant additional funding required to enable the completion of the 19MW wave power station.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5" w:name="page16"/>
    <w:bookmarkEnd w:id="15"/>
    <w:p>
      <w:pPr>
        <w:ind w:firstLine="399"/>
        <w:spacing w:after="0" w:line="281" w:lineRule="auto"/>
        <w:rPr>
          <w:sz w:val="20"/>
          <w:szCs w:val="20"/>
          <w:color w:val="auto"/>
        </w:rPr>
      </w:pPr>
      <w:r>
        <w:rPr>
          <w:rFonts w:ascii="Arial" w:cs="Arial" w:eastAsia="Arial" w:hAnsi="Arial"/>
          <w:sz w:val="12"/>
          <w:szCs w:val="12"/>
          <w:color w:val="auto"/>
        </w:rPr>
        <w:t>Over the period October 2005 to December 2009, we operated, at intervals, a demonstration PowerBuoy system off the coast of New Jersey, which allowed continuous monitoring of the system and evaluation of its performance in actual wave conditions. Periodically, the buoy was removed from the ocean for maintenance, testing and upgrades, and was redeployed. The buoy was deployed continuously for 12 months between October 2005 and October 2006, and survived hurricane-generated storm waves during this period and in a later period of ocean deployment. We have conducted extensive diagnostic tests on the system, providing us with information about the effects of ocean deployments that will help us implement improvements in future PowerBuoy systems. This system was not designed to supply electricity to the power grid, but rather to provide us with operational data and marketing opportunities. We were partially funded, which funds we recognized as revenue, for the construction of this PowerBuoy system by the New Jersey Board of Public Utilities. We do not anticipate any additional funding or recognizing any additional revenue in connection with this project.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right="200" w:firstLine="399"/>
        <w:spacing w:after="0" w:line="258" w:lineRule="auto"/>
        <w:rPr>
          <w:sz w:val="20"/>
          <w:szCs w:val="20"/>
          <w:color w:val="auto"/>
        </w:rPr>
      </w:pPr>
      <w:r>
        <w:rPr>
          <w:rFonts w:ascii="Arial" w:cs="Arial" w:eastAsia="Arial" w:hAnsi="Arial"/>
          <w:sz w:val="13"/>
          <w:szCs w:val="13"/>
          <w:color w:val="auto"/>
        </w:rPr>
        <w:t>At April 30, 2011, our total negotiated backlog was $8.9 million compared with $5.7 million at April 30, 2010. We anticipate that a majority of our backlog will be recognized as revenue over the next 12 months.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for which funding has not been appropriated. If any of our contracts were to be terminated, our backlog would be reduced by the expected value of the remaining terms of such contracts. Funded backlog was $6.9 million and $5.2 million at April 30, 2011 and 2010, respectively.</w:t>
      </w:r>
    </w:p>
    <w:p>
      <w:pPr>
        <w:spacing w:after="0" w:line="71"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The amount of contract backlog is not necessarily indicative of future revenue because modifications to or terminations of present contracts and production delays can provide additional revenue or reduce anticipated revenue. A substantial majority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Strategy</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Our goal is to strengthen our leadership in developing wave energy technologies and commercializing wave power stations and related services. In order to achieve this goal, we are pursuing the following business strategies:</w:t>
      </w:r>
    </w:p>
    <w:p>
      <w:pPr>
        <w:spacing w:after="0" w:line="59" w:lineRule="exact"/>
        <w:rPr>
          <w:sz w:val="20"/>
          <w:szCs w:val="20"/>
          <w:color w:val="auto"/>
        </w:rPr>
      </w:pPr>
    </w:p>
    <w:p>
      <w:pPr>
        <w:ind w:left="600" w:right="340" w:hanging="190"/>
        <w:spacing w:after="0" w:line="264"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Sell turn-key power stations and operating and maintenance contracts. </w:t>
      </w:r>
      <w:r>
        <w:rPr>
          <w:rFonts w:ascii="Arial" w:cs="Arial" w:eastAsia="Arial" w:hAnsi="Arial"/>
          <w:sz w:val="13"/>
          <w:szCs w:val="13"/>
          <w:color w:val="auto"/>
        </w:rPr>
        <w:t>Our fundamental business plan is to sell turn-key power stations, rather than to take on the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of building and owning power stations and selling the energy generated. In addition, in order to create recurring revenue streams, we seek to sell operating and maintenance (O&amp;M) contracts over the life-cycle of the plants.</w:t>
      </w:r>
    </w:p>
    <w:p>
      <w:pPr>
        <w:spacing w:after="0" w:line="57" w:lineRule="exact"/>
        <w:rPr>
          <w:rFonts w:ascii="Arial" w:cs="Arial" w:eastAsia="Arial" w:hAnsi="Arial"/>
          <w:sz w:val="13"/>
          <w:szCs w:val="13"/>
          <w:color w:val="auto"/>
        </w:rPr>
      </w:pPr>
    </w:p>
    <w:p>
      <w:pPr>
        <w:ind w:left="600" w:right="100" w:hanging="190"/>
        <w:spacing w:after="0" w:line="264"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Outsource most of the plant construction and deployment. </w:t>
      </w:r>
      <w:r>
        <w:rPr>
          <w:rFonts w:ascii="Arial" w:cs="Arial" w:eastAsia="Arial" w:hAnsi="Arial"/>
          <w:sz w:val="13"/>
          <w:szCs w:val="13"/>
          <w:color w:val="auto"/>
        </w:rPr>
        <w:t>We outsource all metal fabrication, anchoring, mooring, cabling supply and deployment in order to minimize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requirements as we scale up production volumes. The high value-added “smart part” of the system is assembled and tested at our facilities and shipped to project sites for integration into the PowerBuoys.</w:t>
      </w:r>
    </w:p>
    <w:p>
      <w:pPr>
        <w:spacing w:after="0" w:line="57" w:lineRule="exact"/>
        <w:rPr>
          <w:rFonts w:ascii="Arial" w:cs="Arial" w:eastAsia="Arial" w:hAnsi="Arial"/>
          <w:sz w:val="13"/>
          <w:szCs w:val="13"/>
          <w:color w:val="auto"/>
        </w:rPr>
      </w:pPr>
    </w:p>
    <w:p>
      <w:pPr>
        <w:ind w:left="600" w:right="280" w:hanging="190"/>
        <w:spacing w:after="0" w:line="260"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Concentrate sales and marketing efforts on four geographic markets. </w:t>
      </w:r>
      <w:r>
        <w:rPr>
          <w:rFonts w:ascii="Arial" w:cs="Arial" w:eastAsia="Arial" w:hAnsi="Arial"/>
          <w:sz w:val="13"/>
          <w:szCs w:val="13"/>
          <w:color w:val="auto"/>
        </w:rPr>
        <w:t>We are currently focusing our sales and marketing efforts on the west coast of North America, the west</w:t>
      </w:r>
      <w:r>
        <w:rPr>
          <w:rFonts w:ascii="Arial" w:cs="Arial" w:eastAsia="Arial" w:hAnsi="Arial"/>
          <w:sz w:val="13"/>
          <w:szCs w:val="13"/>
          <w:i w:val="1"/>
          <w:iCs w:val="1"/>
          <w:color w:val="auto"/>
        </w:rPr>
        <w:t xml:space="preserve"> </w:t>
      </w:r>
      <w:r>
        <w:rPr>
          <w:rFonts w:ascii="Arial" w:cs="Arial" w:eastAsia="Arial" w:hAnsi="Arial"/>
          <w:sz w:val="13"/>
          <w:szCs w:val="13"/>
          <w:color w:val="auto"/>
        </w:rPr>
        <w:t>coast of Europe, the coasts of Australia and the east coast of Japan. We believe that each of these areas represents a strong potential market for our PowerBuoy wave power stations because they combine appropriate wave conditions, political and economic stability, large population centers, high levels of industrialization and significant and increasing electricity requirements.</w:t>
      </w:r>
    </w:p>
    <w:p>
      <w:pPr>
        <w:spacing w:after="0" w:line="59" w:lineRule="exact"/>
        <w:rPr>
          <w:rFonts w:ascii="Arial" w:cs="Arial" w:eastAsia="Arial" w:hAnsi="Arial"/>
          <w:sz w:val="13"/>
          <w:szCs w:val="13"/>
          <w:color w:val="auto"/>
        </w:rPr>
      </w:pPr>
    </w:p>
    <w:p>
      <w:pPr>
        <w:ind w:left="600" w:right="180" w:hanging="190"/>
        <w:spacing w:after="0" w:line="334" w:lineRule="auto"/>
        <w:tabs>
          <w:tab w:leader="none" w:pos="600" w:val="left"/>
        </w:tabs>
        <w:numPr>
          <w:ilvl w:val="0"/>
          <w:numId w:val="14"/>
        </w:numPr>
        <w:rPr>
          <w:rFonts w:ascii="Arial" w:cs="Arial" w:eastAsia="Arial" w:hAnsi="Arial"/>
          <w:sz w:val="11"/>
          <w:szCs w:val="11"/>
          <w:color w:val="auto"/>
        </w:rPr>
      </w:pPr>
      <w:r>
        <w:rPr>
          <w:rFonts w:ascii="Arial" w:cs="Arial" w:eastAsia="Arial" w:hAnsi="Arial"/>
          <w:sz w:val="11"/>
          <w:szCs w:val="11"/>
          <w:i w:val="1"/>
          <w:iCs w:val="1"/>
          <w:color w:val="auto"/>
        </w:rPr>
        <w:t xml:space="preserve">Continue to increase PowerBuoy system output. </w:t>
      </w:r>
      <w:r>
        <w:rPr>
          <w:rFonts w:ascii="Arial" w:cs="Arial" w:eastAsia="Arial" w:hAnsi="Arial"/>
          <w:sz w:val="11"/>
          <w:szCs w:val="11"/>
          <w:color w:val="auto"/>
        </w:rPr>
        <w:t>Our product development and engineering efforts are focused on increasing the rated output of the design of our PowerBuoy</w:t>
      </w:r>
      <w:r>
        <w:rPr>
          <w:rFonts w:ascii="Arial" w:cs="Arial" w:eastAsia="Arial" w:hAnsi="Arial"/>
          <w:sz w:val="11"/>
          <w:szCs w:val="11"/>
          <w:i w:val="1"/>
          <w:iCs w:val="1"/>
          <w:color w:val="auto"/>
        </w:rPr>
        <w:t xml:space="preserve"> </w:t>
      </w:r>
      <w:r>
        <w:rPr>
          <w:rFonts w:ascii="Arial" w:cs="Arial" w:eastAsia="Arial" w:hAnsi="Arial"/>
          <w:sz w:val="11"/>
          <w:szCs w:val="11"/>
          <w:color w:val="auto"/>
        </w:rPr>
        <w:t>systems from 40kW to 150kW, and thereafter to 500kW. If we increase the size of a PowerBuoy system or increase its energy conversion efficiency, we will be able to increase the amount of wave energy the system can capture and, in turn, increase the output of the system. We believe that by increasing system output of the individual PowerBuoy,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6" w:name="page17"/>
    <w:bookmarkEnd w:id="16"/>
    <w:p>
      <w:pPr>
        <w:ind w:left="820" w:right="280"/>
        <w:spacing w:after="0" w:line="276" w:lineRule="auto"/>
        <w:rPr>
          <w:sz w:val="20"/>
          <w:szCs w:val="20"/>
          <w:color w:val="auto"/>
        </w:rPr>
      </w:pPr>
      <w:r>
        <w:rPr>
          <w:rFonts w:ascii="Arial" w:cs="Arial" w:eastAsia="Arial" w:hAnsi="Arial"/>
          <w:sz w:val="13"/>
          <w:szCs w:val="13"/>
          <w:color w:val="auto"/>
        </w:rPr>
        <w:t>and also by increasing volume production of the PowerBuoys, we will be able to decrease the cost per kW of our PowerBuoy system and the cost per kilowatt hour of the energy generated.</w:t>
      </w:r>
    </w:p>
    <w:p>
      <w:pPr>
        <w:spacing w:after="0" w:line="59" w:lineRule="exact"/>
        <w:rPr>
          <w:sz w:val="20"/>
          <w:szCs w:val="20"/>
          <w:color w:val="auto"/>
        </w:rPr>
      </w:pPr>
    </w:p>
    <w:p>
      <w:pPr>
        <w:ind w:left="600" w:right="340" w:hanging="190"/>
        <w:spacing w:after="0" w:line="258"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Leverage customer relationships to enhance the commercial acceptance of our utility PowerBuoy system. </w:t>
      </w:r>
      <w:r>
        <w:rPr>
          <w:rFonts w:ascii="Arial" w:cs="Arial" w:eastAsia="Arial" w:hAnsi="Arial"/>
          <w:sz w:val="13"/>
          <w:szCs w:val="13"/>
          <w:color w:val="auto"/>
        </w:rPr>
        <w:t>We believe that our project at the US Marine Corps base in Oahu,</w:t>
      </w:r>
      <w:r>
        <w:rPr>
          <w:rFonts w:ascii="Arial" w:cs="Arial" w:eastAsia="Arial" w:hAnsi="Arial"/>
          <w:sz w:val="13"/>
          <w:szCs w:val="13"/>
          <w:i w:val="1"/>
          <w:iCs w:val="1"/>
          <w:color w:val="auto"/>
        </w:rPr>
        <w:t xml:space="preserve"> </w:t>
      </w:r>
      <w:r>
        <w:rPr>
          <w:rFonts w:ascii="Arial" w:cs="Arial" w:eastAsia="Arial" w:hAnsi="Arial"/>
          <w:sz w:val="13"/>
          <w:szCs w:val="13"/>
          <w:color w:val="auto"/>
        </w:rPr>
        <w:t>Hawaii will serve as a prototype wave power station for the installation of wave power stations at other US Navy bases. Our relationship with PNGC Power regarding our Reedsport, Oregon project is the first such utility relationship on the west coast of the United States. We intend to build on these existing commercial relationships both by expanding the number and size of projects we have with our current customers and by entering into new alliances and commercial relationships with other utilities and independent power producers.</w:t>
      </w:r>
    </w:p>
    <w:p>
      <w:pPr>
        <w:spacing w:after="0" w:line="61" w:lineRule="exact"/>
        <w:rPr>
          <w:rFonts w:ascii="Arial" w:cs="Arial" w:eastAsia="Arial" w:hAnsi="Arial"/>
          <w:sz w:val="13"/>
          <w:szCs w:val="13"/>
          <w:color w:val="auto"/>
        </w:rPr>
      </w:pPr>
    </w:p>
    <w:p>
      <w:pPr>
        <w:ind w:left="600" w:hanging="190"/>
        <w:spacing w:after="0" w:line="282" w:lineRule="auto"/>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Expand revenue streams from our autonomous PowerBuoy system. </w:t>
      </w:r>
      <w:r>
        <w:rPr>
          <w:rFonts w:ascii="Arial" w:cs="Arial" w:eastAsia="Arial" w:hAnsi="Arial"/>
          <w:sz w:val="12"/>
          <w:szCs w:val="12"/>
          <w:color w:val="auto"/>
        </w:rPr>
        <w:t>The autonomous PowerBuoy system addresses specific power generation needs of customers requiring off-grid electricity generation in remote locations in the open ocean. Since our PowerBuoy systems are well suited for many of these uses, we do not expect that they will require subsidies or other price incentives for commercial acceptance. We believe there are a variety of potential applications for this system, including homeland security, off-shore oil and gas platforms, aquaculture and ocean -based communication and data gathering such as for tsunami warnings. We have entered into contracts with the US Navy for the testing of our autonomous PowerBuoy in connection with a unique program for ocean data gathering, as well as for the LEAP program for homeland security. We believe that successful testing of our autonomous PowerBuoy System under these contracts may result in additional revenues from the US Navy and other prospective customers.</w:t>
      </w:r>
    </w:p>
    <w:p>
      <w:pPr>
        <w:spacing w:after="0" w:line="49" w:lineRule="exact"/>
        <w:rPr>
          <w:rFonts w:ascii="Arial" w:cs="Arial" w:eastAsia="Arial" w:hAnsi="Arial"/>
          <w:sz w:val="12"/>
          <w:szCs w:val="12"/>
          <w:color w:val="auto"/>
        </w:rPr>
      </w:pPr>
    </w:p>
    <w:p>
      <w:pPr>
        <w:ind w:left="600" w:right="80" w:hanging="190"/>
        <w:spacing w:after="0" w:line="260"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Maximize customer funding of technology development. </w:t>
      </w:r>
      <w:r>
        <w:rPr>
          <w:rFonts w:ascii="Arial" w:cs="Arial" w:eastAsia="Arial" w:hAnsi="Arial"/>
          <w:sz w:val="13"/>
          <w:szCs w:val="13"/>
          <w:color w:val="auto"/>
        </w:rPr>
        <w:t>We actively seek to obtain external funding for the development of our technology, including cost-sharing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under some of our customer contracts. In April 2010, we were awarded $1.5 million from the US Department of Energy for the development of our PB500 product. In fiscal year 2011, we were awarded an additional $2.4 million from the US Department of Energy and $2.3 million from the UK Government’s Technology Strategy Board for PB500 development.</w:t>
      </w:r>
    </w:p>
    <w:p>
      <w:pPr>
        <w:spacing w:after="0" w:line="59" w:lineRule="exact"/>
        <w:rPr>
          <w:rFonts w:ascii="Arial" w:cs="Arial" w:eastAsia="Arial" w:hAnsi="Arial"/>
          <w:sz w:val="13"/>
          <w:szCs w:val="13"/>
          <w:color w:val="auto"/>
        </w:rPr>
      </w:pPr>
    </w:p>
    <w:p>
      <w:pPr>
        <w:ind w:left="600" w:right="80" w:hanging="190"/>
        <w:spacing w:after="0" w:line="264"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Expand our partnerships in key market areas. </w:t>
      </w:r>
      <w:r>
        <w:rPr>
          <w:rFonts w:ascii="Arial" w:cs="Arial" w:eastAsia="Arial" w:hAnsi="Arial"/>
          <w:sz w:val="13"/>
          <w:szCs w:val="13"/>
          <w:color w:val="auto"/>
        </w:rPr>
        <w:t>We believe that an important element of our business strategy is to collaborate with other organizations to leverage our combined</w:t>
      </w:r>
      <w:r>
        <w:rPr>
          <w:rFonts w:ascii="Arial" w:cs="Arial" w:eastAsia="Arial" w:hAnsi="Arial"/>
          <w:sz w:val="13"/>
          <w:szCs w:val="13"/>
          <w:i w:val="1"/>
          <w:iCs w:val="1"/>
          <w:color w:val="auto"/>
        </w:rPr>
        <w:t xml:space="preserve"> </w:t>
      </w:r>
      <w:r>
        <w:rPr>
          <w:rFonts w:ascii="Arial" w:cs="Arial" w:eastAsia="Arial" w:hAnsi="Arial"/>
          <w:sz w:val="13"/>
          <w:szCs w:val="13"/>
          <w:color w:val="auto"/>
        </w:rPr>
        <w:t>expertise, market presence and core competences. We have formed such partnerships more recently with Leighton Contractors in Australia, Mitsui Engineering and Shipbuilding in Japan, and Lockheed Martin in the US.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and Sales</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We are developing our sales capabilities and have begun commercial marketing and selling of our PowerBuoy systems. Because our products use a new commercial technology, the decision process of a customer requires substantial educational efforts.</w:t>
      </w:r>
    </w:p>
    <w:p>
      <w:pPr>
        <w:spacing w:after="0" w:line="59"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In addition to our own direct sales, we will continue to enter into development agreements and strategic alliances with regional utility and energy companies committed to providing electricity from renewable energy sources. We plan to leverage these relationships to sell and market our PowerBuoy wave power stations to these companies and their affiliates and to other customers in the region. We plan to expand our relationships by entering into long-term operations and maintenance contracts to support completed wave power stations. In order to penetrate certain international markets, we plan to implement marketing strategies that respond to local market demands. In particular markets, we may grant licenses to local businesses to sell, manufacture or operate PowerBuoy wave power stations.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Utility PowerBuoy System Marketing</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plan to market our utility PowerBuoy systems to utilities and independent power producers interested in adding electricity generated from renewable sources to their existing electricity supply. In addition, we are exploring the use of our utility PowerBuoy systems for applications that include desalination of water, hydrogen production, water treatment and natural resource processing. In these instances, the power generated by the utility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PowerBuoy system would bypass the grid and be delivered directly to the point of electricity consumption for these special applications.</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expect to be able to use the availability of subsidies and other incentives to market the electricity generated by wave power stations as an alternative to fossil fuel generated electricity. We plan to educate potential customers on the availability of these incentives and, where appropriate, work with them to prepare and file the necessary applications, select sites to meet program requirements and take advantage of these incentives.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Autonomous PowerBuoy System Marketing</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There are a variety of potential customers, such as companies within the offshore oil and gas industry, the US Department of Homeland Security and US Department of Defense, that have specific needs for off-grid power generation that can be supplied by our autonomous PowerBuoy system. Potential applications for off-grid power supply include homeland security, off-shore oil and gas platforms, aquaculture and ocean-based communication and data gathering such as for tsunami warnings.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Manufacturing and Deployment</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Manufacturing and Raw Materials</w:t>
      </w:r>
    </w:p>
    <w:p>
      <w:pPr>
        <w:spacing w:after="0" w:line="96" w:lineRule="exact"/>
        <w:rPr>
          <w:sz w:val="20"/>
          <w:szCs w:val="20"/>
          <w:color w:val="auto"/>
        </w:rPr>
      </w:pPr>
    </w:p>
    <w:p>
      <w:pPr>
        <w:ind w:right="320" w:firstLine="399"/>
        <w:spacing w:after="0" w:line="320" w:lineRule="auto"/>
        <w:rPr>
          <w:sz w:val="20"/>
          <w:szCs w:val="20"/>
          <w:color w:val="auto"/>
        </w:rPr>
      </w:pPr>
      <w:r>
        <w:rPr>
          <w:rFonts w:ascii="Arial" w:cs="Arial" w:eastAsia="Arial" w:hAnsi="Arial"/>
          <w:sz w:val="12"/>
          <w:szCs w:val="12"/>
          <w:color w:val="auto"/>
        </w:rPr>
        <w:t>We engage in two types of manufacturing activities: the manufacturing of the high value-added components, or “smart part” modules, for systems control, power generation and power conversion for each PowerBuoy system, and the contracting to outside companies for the fabrication of the buoy-like structure, anchoring and mooring, and cabling.</w:t>
      </w:r>
    </w:p>
    <w:p>
      <w:pPr>
        <w:spacing w:after="0" w:line="35" w:lineRule="exact"/>
        <w:rPr>
          <w:sz w:val="20"/>
          <w:szCs w:val="20"/>
          <w:color w:val="auto"/>
        </w:rPr>
      </w:pPr>
    </w:p>
    <w:p>
      <w:pPr>
        <w:ind w:right="120" w:firstLine="399"/>
        <w:spacing w:after="0" w:line="316" w:lineRule="auto"/>
        <w:rPr>
          <w:sz w:val="20"/>
          <w:szCs w:val="20"/>
          <w:color w:val="auto"/>
        </w:rPr>
      </w:pPr>
      <w:r>
        <w:rPr>
          <w:rFonts w:ascii="Arial" w:cs="Arial" w:eastAsia="Arial" w:hAnsi="Arial"/>
          <w:sz w:val="11"/>
          <w:szCs w:val="11"/>
          <w:color w:val="auto"/>
        </w:rPr>
        <w:t>Our core in-house manufacturing activity is the assembly and testing of the power generation and control modules at our Pennington, New Jersey facility. The power generation and control modules include the critical electrical and electronic systems that convert the mechanical energy into usable electrical energy. The sensors and control systems use sophisticated technology to monitor ocean conditions and automatically optimize the performance of the PowerBuoy system in response to those changing conditions. We have a portfolio of patents, including those that cover our power generation, power conversion and control technologies. Due to the critical and proprietary nature of these systems, we do not outsource their assembly and testing. After a generator and control module passes our rigorous quality control procedures, it is transported as a ready-to-install subsystem to the project site.</w:t>
      </w:r>
    </w:p>
    <w:p>
      <w:pPr>
        <w:spacing w:after="0" w:line="42"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purchase the remaining components of, and raw materials for, each PowerBuoy system from various vendors. Currently, we contract for these components on a project-by-project basis. We conduct a bidding process to select a supplier with the optimal combination of price, delivery terms and quality. Our goal is to develop ongoing relationships with select vendors centrally located in different regions, which will allow us to reduce unit costs as our volume increases. We provide specifications to each vendor, and they are responsible for performing quality analysis and quality control over the course of construction, subject to our review of the quality test procedures and results. After each vendor completes testing of the component, it is transported ready-to-install to the project site.</w:t>
      </w:r>
    </w:p>
    <w:p>
      <w:pPr>
        <w:spacing w:after="0" w:line="71"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Upon arrival at the project site, the generator and control modules are integrated with the balance of the components of the PowerBuoy system. We are highly dependent on our third-party suppliers; however, we actively manage key steps in the supply chain. We act as the general contractor, and retain the ultimate responsibility for building the PowerBuoy wave power station, and installing, testing and deploying the complete wave power station at the project site. This process requires significant project and contract management by us. We currently employ individuals who have experience with all aspects of both the manufacturing and engineering contracting processes, and demonstrated organizational capabilities in these critical areas.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Deployment</w:t>
      </w:r>
    </w:p>
    <w:p>
      <w:pPr>
        <w:spacing w:after="0" w:line="96"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For our existing and currently planned deployments, we purchase from subcontractors the mooring system and cables needed to install the PowerBuoy system and connect it to either the power grid or a remote power site. The vendor usually transports these components to the project site.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8" w:name="page19"/>
    <w:bookmarkEnd w:id="18"/>
    <w:p>
      <w:pPr>
        <w:ind w:firstLine="399"/>
        <w:spacing w:after="0" w:line="285" w:lineRule="auto"/>
        <w:rPr>
          <w:sz w:val="20"/>
          <w:szCs w:val="20"/>
          <w:color w:val="auto"/>
        </w:rPr>
      </w:pPr>
      <w:r>
        <w:rPr>
          <w:rFonts w:ascii="Arial" w:cs="Arial" w:eastAsia="Arial" w:hAnsi="Arial"/>
          <w:sz w:val="12"/>
          <w:szCs w:val="12"/>
          <w:color w:val="auto"/>
        </w:rPr>
        <w:t>Each step in the deployment process for our existing and currently planned deployments is outsourced to subcontractors located near the project site. First the mooring system, consisting of floats, anchors and chains, is brought to the wave power station’s ultimate ocean location by workboats or barges. At the same time, the cable to transmit the generated electricity is laid by a subcontractor. Next, the PowerBuoy system is towed to the ocean location and fixed to the mooring system. The PowerBuoy system would then be connected to the transmission cable, which would then be connected to the grid or the distributed power site. At this point, we would have a fully assembled PowerBuoy wave power station, which, subject to final testing, would be ready for operation. An array of PowerBuoy systems would be installed using a similar approach.</w:t>
      </w:r>
    </w:p>
    <w:p>
      <w:pPr>
        <w:spacing w:after="0" w:line="55" w:lineRule="exact"/>
        <w:rPr>
          <w:sz w:val="20"/>
          <w:szCs w:val="20"/>
          <w:color w:val="auto"/>
        </w:rPr>
      </w:pPr>
    </w:p>
    <w:p>
      <w:pPr>
        <w:ind w:right="160" w:firstLine="399"/>
        <w:spacing w:after="0" w:line="371" w:lineRule="auto"/>
        <w:rPr>
          <w:sz w:val="20"/>
          <w:szCs w:val="20"/>
          <w:color w:val="auto"/>
        </w:rPr>
      </w:pPr>
      <w:r>
        <w:rPr>
          <w:rFonts w:ascii="Arial" w:cs="Arial" w:eastAsia="Arial" w:hAnsi="Arial"/>
          <w:sz w:val="11"/>
          <w:szCs w:val="11"/>
          <w:color w:val="auto"/>
        </w:rPr>
        <w:t>We expect that the subcontractor services required for deployment of a wave power station will be readily available in the locations where we currently plan to deploy our systems, although we are dependent on third parties for the entire process. We actively manage each step with personnel who have significant project management and deployment experience.</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are pictures showing the PowerBuoy deployment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6335395" cy="2178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3539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Our research and development team consists of employees with a broad range of experience in mechanical engineering, electrical engineering, hydrodynamics and systems engineering. We engage in extensive research and development efforts to improve PowerBuoy efficiency, reliability and power output and to reduce manufacturing cost and complexity. Our research and development efforts are currently focused on product development, in particular increasing the output and reliability of our utility PowerBuoy system including the 150kW PowerBuoy system and to our research and development of new products, product applications and complementary technologies. We are also conducting research on improvements to our current technology.</w:t>
      </w:r>
    </w:p>
    <w:p>
      <w:pPr>
        <w:spacing w:after="0" w:line="71"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Research and development expenses are reflected on our consolidated statements of operations as product development costs. Research and development expenses were $13.3 million for fiscal 2011, $13.0 million for fiscal 2010 and $8.4 million for fiscal 2009.</w:t>
      </w:r>
    </w:p>
    <w:p>
      <w:pPr>
        <w:spacing w:after="0" w:line="59"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We are currently working on the design for our 500kW PowerBuoy. The key to increasing the rated output of the PowerBuoy system is to increase the system’s efficiency as well as its diameter. If we increase the size and efficiency of the wave capture portion of the PowerBuoy system, we will be able to increase the amount of wave energy the system can capture and, in turn, increase the output of the system. For example, if we double the float’s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9" w:name="page20"/>
    <w:bookmarkEnd w:id="19"/>
    <w:p>
      <w:pPr>
        <w:spacing w:after="0" w:line="258" w:lineRule="auto"/>
        <w:rPr>
          <w:sz w:val="20"/>
          <w:szCs w:val="20"/>
          <w:color w:val="auto"/>
        </w:rPr>
      </w:pPr>
      <w:r>
        <w:rPr>
          <w:rFonts w:ascii="Arial" w:cs="Arial" w:eastAsia="Arial" w:hAnsi="Arial"/>
          <w:sz w:val="13"/>
          <w:szCs w:val="13"/>
          <w:color w:val="auto"/>
        </w:rPr>
        <w:t>diameter, we will approximately quadruple its power capacity. We believe that we will be able to further increase the output capacity of the PowerBuoy system using technology that we have already developed, so our focus is on the design, manufacture, testing and deployment of the higher capacity systems. We are exploring design and construction techniques that will enable the larger PowerBuoy systems to be deployed cost effectively and safely without damage. For example, our 40kW PowerBuoy systems are transported to the onshore deployment sites using standard flatbed trucks; however, the assembled 150kW PowerBuoy systems are too large for these trucks and need to be transported in modules and assembled on-site. In addition, we will need to adjust the mooring system to account for the larger-sized PowerBuoy systems.</w:t>
      </w:r>
    </w:p>
    <w:p>
      <w:pPr>
        <w:spacing w:after="0" w:line="71"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completed the successful in-ocean trials of our USP in October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w:t>
      </w:r>
    </w:p>
    <w:p>
      <w:pPr>
        <w:spacing w:after="0" w:line="67"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Ocean trials of our first 150kW PowerBuoy commenced in April 2011. The ocean trials are being conducted at a site approximately 33 nautical miles from Invergordon, off</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1"/>
          <w:szCs w:val="11"/>
          <w:color w:val="auto"/>
        </w:rPr>
        <w:t>Scotland’s northeast coast. We are seeking a customer for the commercial utilization of the buoy after the ocean trial phase is completed, including its deployment at various potential sites.</w:t>
      </w:r>
    </w:p>
    <w:p>
      <w:pPr>
        <w:spacing w:after="0" w:line="112" w:lineRule="exact"/>
        <w:rPr>
          <w:sz w:val="20"/>
          <w:szCs w:val="20"/>
          <w:color w:val="auto"/>
        </w:rPr>
      </w:pPr>
    </w:p>
    <w:p>
      <w:pPr>
        <w:ind w:right="440" w:firstLine="399"/>
        <w:spacing w:after="0" w:line="320" w:lineRule="auto"/>
        <w:rPr>
          <w:sz w:val="20"/>
          <w:szCs w:val="20"/>
          <w:color w:val="auto"/>
        </w:rPr>
      </w:pPr>
      <w:r>
        <w:rPr>
          <w:rFonts w:ascii="Arial" w:cs="Arial" w:eastAsia="Arial" w:hAnsi="Arial"/>
          <w:sz w:val="12"/>
          <w:szCs w:val="12"/>
          <w:color w:val="auto"/>
        </w:rPr>
        <w:t>We also plan to continue our technology development of specific applications for our PowerBuoy systems to expand our growth opportunities. For example, we are exploring applications that would allow our PowerBuoys to provide power for desalination of water, hydrogen production, water treatment and natural resource processing.</w:t>
      </w:r>
    </w:p>
    <w:p>
      <w:pPr>
        <w:spacing w:after="0" w:line="35"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believe that our technology differentiates us from other providers of wave and other renewable energy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71"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As of April 30, 2011, we owned a total of 46 issued United States patents and 15 United States patent applications. We have pending foreign counterparts to 19 of our issued patents and 9 of our pending non-provisional patent applications.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patent portfolio includes patents and patent applications with claims directed to:</w:t>
      </w:r>
    </w:p>
    <w:p>
      <w:pPr>
        <w:spacing w:after="0" w:line="96" w:lineRule="exact"/>
        <w:rPr>
          <w:sz w:val="20"/>
          <w:szCs w:val="20"/>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system design;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control systems;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power conversion;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anchoring and mooring;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wave farm architecture.</w:t>
      </w:r>
    </w:p>
    <w:p>
      <w:pPr>
        <w:spacing w:after="0" w:line="96" w:lineRule="exact"/>
        <w:rPr>
          <w:sz w:val="20"/>
          <w:szCs w:val="20"/>
          <w:color w:val="auto"/>
        </w:rPr>
      </w:pPr>
    </w:p>
    <w:p>
      <w:pPr>
        <w:ind w:right="380" w:firstLine="399"/>
        <w:spacing w:after="0" w:line="320" w:lineRule="auto"/>
        <w:rPr>
          <w:sz w:val="20"/>
          <w:szCs w:val="20"/>
          <w:color w:val="auto"/>
        </w:rPr>
      </w:pPr>
      <w:r>
        <w:rPr>
          <w:rFonts w:ascii="Arial" w:cs="Arial" w:eastAsia="Arial" w:hAnsi="Arial"/>
          <w:sz w:val="12"/>
          <w:szCs w:val="12"/>
          <w:color w:val="auto"/>
        </w:rPr>
        <w:t>The expiration dates for our issued United States patents range from 2015 to 2028. We do not consider any single patent or patent application that we hold to be material to our business. The patent positions of companies like ours are generally uncertain and involve complex legal and factual questions. Our ability to maintain and solidify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0" w:name="page21"/>
    <w:bookmarkEnd w:id="20"/>
    <w:p>
      <w:pPr>
        <w:ind w:right="400"/>
        <w:spacing w:after="0" w:line="371" w:lineRule="auto"/>
        <w:rPr>
          <w:sz w:val="20"/>
          <w:szCs w:val="20"/>
          <w:color w:val="auto"/>
        </w:rPr>
      </w:pPr>
      <w:r>
        <w:rPr>
          <w:rFonts w:ascii="Arial" w:cs="Arial" w:eastAsia="Arial" w:hAnsi="Arial"/>
          <w:sz w:val="11"/>
          <w:szCs w:val="11"/>
          <w:color w:val="auto"/>
        </w:rPr>
        <w:t>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Relating to Intellectual Property.”</w:t>
      </w:r>
    </w:p>
    <w:p>
      <w:pPr>
        <w:spacing w:after="0" w:line="10" w:lineRule="exact"/>
        <w:rPr>
          <w:sz w:val="20"/>
          <w:szCs w:val="20"/>
          <w:color w:val="auto"/>
        </w:rPr>
      </w:pPr>
    </w:p>
    <w:p>
      <w:pPr>
        <w:ind w:right="180" w:firstLine="399"/>
        <w:spacing w:after="0" w:line="266" w:lineRule="auto"/>
        <w:rPr>
          <w:sz w:val="20"/>
          <w:szCs w:val="20"/>
          <w:color w:val="auto"/>
        </w:rPr>
      </w:pPr>
      <w:r>
        <w:rPr>
          <w:rFonts w:ascii="Arial" w:cs="Arial" w:eastAsia="Arial" w:hAnsi="Arial"/>
          <w:sz w:val="13"/>
          <w:szCs w:val="13"/>
          <w:color w:val="auto"/>
        </w:rPr>
        <w:t xml:space="preserve">We use trademarks on nearly all of our products and believe that having distinctive marks is an important factor in marketing our products. We have registered our PowerBuoy </w:t>
      </w:r>
      <w:r>
        <w:rPr>
          <w:rFonts w:ascii="Arial" w:cs="Arial" w:eastAsia="Arial" w:hAnsi="Arial"/>
          <w:sz w:val="11"/>
          <w:szCs w:val="11"/>
          <w:color w:val="auto"/>
        </w:rPr>
        <w:t>®</w:t>
      </w:r>
      <w:r>
        <w:rPr>
          <w:rFonts w:ascii="Arial" w:cs="Arial" w:eastAsia="Arial" w:hAnsi="Arial"/>
          <w:sz w:val="13"/>
          <w:szCs w:val="13"/>
          <w:color w:val="auto"/>
        </w:rPr>
        <w:t>, Talk on Water</w:t>
      </w:r>
      <w:r>
        <w:rPr>
          <w:rFonts w:ascii="Arial" w:cs="Arial" w:eastAsia="Arial" w:hAnsi="Arial"/>
          <w:sz w:val="11"/>
          <w:szCs w:val="11"/>
          <w:color w:val="auto"/>
        </w:rPr>
        <w:t>tm</w:t>
      </w:r>
      <w:r>
        <w:rPr>
          <w:rFonts w:ascii="Arial" w:cs="Arial" w:eastAsia="Arial" w:hAnsi="Arial"/>
          <w:sz w:val="13"/>
          <w:szCs w:val="13"/>
          <w:color w:val="auto"/>
        </w:rPr>
        <w:t xml:space="preserve"> and CellBuoy</w:t>
      </w:r>
      <w:r>
        <w:rPr>
          <w:rFonts w:ascii="Arial" w:cs="Arial" w:eastAsia="Arial" w:hAnsi="Arial"/>
          <w:sz w:val="11"/>
          <w:szCs w:val="11"/>
          <w:color w:val="auto"/>
        </w:rPr>
        <w:t>tm</w:t>
      </w:r>
      <w:r>
        <w:rPr>
          <w:rFonts w:ascii="Arial" w:cs="Arial" w:eastAsia="Arial" w:hAnsi="Arial"/>
          <w:sz w:val="13"/>
          <w:szCs w:val="13"/>
          <w:color w:val="auto"/>
        </w:rPr>
        <w:t xml:space="preserve"> marks and our Making Waves in Power</w:t>
      </w:r>
      <w:r>
        <w:rPr>
          <w:rFonts w:ascii="Arial" w:cs="Arial" w:eastAsia="Arial" w:hAnsi="Arial"/>
          <w:sz w:val="11"/>
          <w:szCs w:val="11"/>
          <w:color w:val="auto"/>
        </w:rPr>
        <w:t>sm</w:t>
      </w:r>
      <w:r>
        <w:rPr>
          <w:rFonts w:ascii="Arial" w:cs="Arial" w:eastAsia="Arial" w:hAnsi="Arial"/>
          <w:sz w:val="13"/>
          <w:szCs w:val="13"/>
          <w:color w:val="auto"/>
        </w:rPr>
        <w:t xml:space="preserve"> service mark, and we have filed applications to register our PowerTower mark in the United States. Trademark ownership is generally of indefinite duration when marks are properly maintained in commercial use.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We compete and will compete with power generation equipment suppliers in all segments of the electric power industry, including wave energy, other forms of renewable energy and traditional fossil fuel. The renewable energy industry is both highly competitive and continually evolving as participants strive to differentiate themselves within their markets and compete within the larger electric power industry. Many of our competitors in certain of these segments have established a stronger market position than ours and have greater resources and name recognition than we have. In addition, there are many companies, including some of the largest multinational energy companies, that are developing or sponsoring innovative technologies for renewable energy production. Accordingly, our success depends in part on developing and demonstrating the commercial viability of wave energy solutions and identifying markets for and applications of our PowerBuoy systems and technology.</w:t>
      </w:r>
    </w:p>
    <w:p>
      <w:pPr>
        <w:spacing w:after="0" w:line="72"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Although the market for equipment that generates electricity from wave energy is in its early stage of commercial development, there are a number of private companies, some with institutional funding, developing technologies to generate electricity from wave energy, and we compete or will compete with them. We believe there are over 75 companies worldwide developing wave energy technologies. Most of these companies are located in the United Kingdom, continental Europe, the United States and Australia, and almost all are focused on offshore systems. Only a few of these companies, like ourselves, have conducted ocean testing of their systems, which is the critical factor in proving the survivability and performance of any wave energy system.</w:t>
      </w:r>
    </w:p>
    <w:p>
      <w:pPr>
        <w:spacing w:after="0" w:line="71"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To compete effectively, we have to demonstrate that our PowerBuoy systems are attractive, compared to other wave energy systems and other renewable energy systems, by differentiating our systems on the basis of performance, survivability in operation and storm wave conditions, cost effectiveness and the operations and maintenance services that we provide. We believe that we compare favorably to our competition with respect to each of these factors.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The electric power industry is subject to extensive regulation, which varies by jurisdiction. For example, the electricity industry in the United States is governed by both federal and state laws and regulations, with the federal government having jurisdiction over the sale and transmission of electricity at the wholesale level in interstate commerce, and the states having jurisdiction over the sale and distribution of electricity at the retail level. The electricity industry in the European Union, or the EU, is primarily governed by national law, but a number of EU-level regulations impose obligations on member states, notably with respect to the liberalization of the electricity markets.</w:t>
      </w:r>
    </w:p>
    <w:p>
      <w:pPr>
        <w:spacing w:after="0" w:line="53"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The renewable energy industry has also been subject to increasing regulation, however none of the countries in which we are currently marketing our PowerBuoy systems have comprehensive regulatory schemes tailored to wave energy. As the renewable energy industry continues to evolve and as the wave energy industry in particular develops, we anticipate that wave energy technology and our PowerBuoy systems and their deployment will be subject to increased oversight and regulation in accordance with international, national and local regulations relating to safety, sites, environmental protection, utility interconnection and metering and related matters.</w:t>
      </w:r>
    </w:p>
    <w:p>
      <w:pPr>
        <w:spacing w:after="0" w:line="70"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Our PowerBuoy wave power stations currently face regulation in the US and in foreign jurisdictions concerning, among other areas, the sale and transmission of electricity, site approval and environmental approval</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1" w:name="page22"/>
    <w:bookmarkEnd w:id="21"/>
    <w:p>
      <w:pPr>
        <w:ind w:right="280"/>
        <w:spacing w:after="0" w:line="320" w:lineRule="auto"/>
        <w:rPr>
          <w:sz w:val="20"/>
          <w:szCs w:val="20"/>
          <w:color w:val="auto"/>
        </w:rPr>
      </w:pPr>
      <w:r>
        <w:rPr>
          <w:rFonts w:ascii="Arial" w:cs="Arial" w:eastAsia="Arial" w:hAnsi="Arial"/>
          <w:sz w:val="12"/>
          <w:szCs w:val="12"/>
          <w:color w:val="auto"/>
        </w:rPr>
        <w:t>and compliance. In order to encourage the adoption of renewable energy systems, many governments offer subsidies and other financial incentives and have mandated renewable energy targets. These subsidies, incentives and targets may not be applicable to our wave energy technology and therefore may not be available to us or our customers.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Sale and Transmission of Electricity</w:t>
      </w:r>
    </w:p>
    <w:p>
      <w:pPr>
        <w:spacing w:after="0" w:line="96" w:lineRule="exact"/>
        <w:rPr>
          <w:sz w:val="20"/>
          <w:szCs w:val="20"/>
          <w:color w:val="auto"/>
        </w:rPr>
      </w:pPr>
    </w:p>
    <w:p>
      <w:pPr>
        <w:ind w:firstLine="399"/>
        <w:spacing w:after="0" w:line="278" w:lineRule="auto"/>
        <w:rPr>
          <w:sz w:val="20"/>
          <w:szCs w:val="20"/>
          <w:color w:val="auto"/>
        </w:rPr>
      </w:pPr>
      <w:r>
        <w:rPr>
          <w:rFonts w:ascii="Arial" w:cs="Arial" w:eastAsia="Arial" w:hAnsi="Arial"/>
          <w:sz w:val="12"/>
          <w:szCs w:val="12"/>
          <w:color w:val="auto"/>
        </w:rPr>
        <w:t>The US government regulates the electricity wholesale and transmission business through FERC. FERC regulates the rates and terms for sales of electricity at the wholesale level, and the organization, governance and financing of the companies engaged in electricity sales. As a result, FERC regulates the rates charged for sales of electric power from a wave power station into the wholesale market, although it is possible to obtain an exemption from FERC that would allow those sales to occur at market-based rates. FERC also regulates the construction, operation and maintenance of any dam, water conduit, reservoir or powerhouse along or in any of the navigable waters of the United States for the purpose of generating electric power. As a result, the construction and operation of a wave power station in the United States requires the issuance of a license by FERC. In July 2007, we filed a Pre-Application Document and Notice of Intent with FERC for the Reedsport project, which provides notice of our intent to seek a license for the Reedsport power station and information regarding the project. In February 2010, we filed with FERC a full application to build, deploy and connect to the grid a 10-PowerBuoy array (1.5 MW).In March 2011, FERC granted us a second preliminary permit to continue to evaluate the feasibility of the Reedsport project. We believe these filings were the first Pre-Application Document, Notice of Intent, and full License Application filed by a wave power company, and is an important step in the full licensing process for the Reedsport project. We will need additional authorization from FERC to sell electric power generated from the Reedsport wave power station into the wholesale or retail markets.</w:t>
      </w:r>
    </w:p>
    <w:p>
      <w:pPr>
        <w:spacing w:after="0" w:line="63" w:lineRule="exact"/>
        <w:rPr>
          <w:sz w:val="20"/>
          <w:szCs w:val="20"/>
          <w:color w:val="auto"/>
        </w:rPr>
      </w:pPr>
    </w:p>
    <w:p>
      <w:pPr>
        <w:ind w:right="440" w:firstLine="399"/>
        <w:spacing w:after="0" w:line="264" w:lineRule="auto"/>
        <w:rPr>
          <w:sz w:val="20"/>
          <w:szCs w:val="20"/>
          <w:color w:val="auto"/>
        </w:rPr>
      </w:pPr>
      <w:r>
        <w:rPr>
          <w:rFonts w:ascii="Arial" w:cs="Arial" w:eastAsia="Arial" w:hAnsi="Arial"/>
          <w:sz w:val="13"/>
          <w:szCs w:val="13"/>
          <w:color w:val="auto"/>
        </w:rPr>
        <w:t>Under Spanish law, each of the Spanish Autonomous Regions, including the Cantabria region, has the power to issue administrative authorizations for the construction and exploitation of installations for the production of renewable energy, including installations that use the energy of waves. Iberdrola Energias has applied for and received the necessary authorizations for installation of the first PowerBuoy at our Santoña, Spain wave power project.</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Site Approval</w:t>
      </w:r>
    </w:p>
    <w:p>
      <w:pPr>
        <w:spacing w:after="0" w:line="96"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Generally, we expect that we will deploy our PowerBuoy systems in the range of one to five miles from the shore, subject to water depth and overall wave heights. Although regulations regarding the use of ocean space vary around the world, we generally do not expect significant delay in obtaining site approvals, as governments have to date encouraged the use of renewable energy sources. Our customers for the Spain project, and the organizers of the Cornwall, England project, are responsible for obtaining the necessary siting permits for their projects.</w:t>
      </w:r>
    </w:p>
    <w:p>
      <w:pPr>
        <w:spacing w:after="0" w:line="7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the United States, federal agencies regulate the siting of renewable energy and related-uses located on the outer continental shelf, which is generally more than three miles offshore. For projects located within three miles of the US shore, the adjacent state would be responsible for issuing a lease and other required authorizations for the location of the project. In either case, an assessment of the potential environmental impact of the project would be conducted in addition to other requirements.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Environmental Approval and Compliance</w:t>
      </w:r>
    </w:p>
    <w:p>
      <w:pPr>
        <w:spacing w:after="0" w:line="96"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United States, the construction and operation of a power system offshore would require permits and approvals from FERC, the Coast Guard, the Army Corps of Engineers and other governmental authorities. These required permits and approvals evaluate, among other things, whether the proposed project is in the public interest and ensure that the project would not create a hazard to navigation. Other foreign and international laws may require similar approvals.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2" w:name="page23"/>
    <w:bookmarkEnd w:id="22"/>
    <w:p>
      <w:pPr>
        <w:ind w:right="60" w:firstLine="399"/>
        <w:spacing w:after="0" w:line="260" w:lineRule="auto"/>
        <w:rPr>
          <w:sz w:val="20"/>
          <w:szCs w:val="20"/>
          <w:color w:val="auto"/>
        </w:rPr>
      </w:pPr>
      <w:r>
        <w:rPr>
          <w:rFonts w:ascii="Arial" w:cs="Arial" w:eastAsia="Arial" w:hAnsi="Arial"/>
          <w:sz w:val="13"/>
          <w:szCs w:val="13"/>
          <w:color w:val="auto"/>
        </w:rPr>
        <w:t>We believe that a significant advantage of our PowerBuoy systems is that they do not present significant environmental risks when compared to traditional power generation technologies, as there is no significant visual or audible impact and such systems have not been shown to have a significant negative effect on fish or sea mammals. We are not aware of any liabilities in connection with compliance with such laws, regulations, permits and approvals that would have a material adverse effect on our financial position, results of operations or cash flows.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Subsidies and Incentives</w:t>
      </w:r>
    </w:p>
    <w:p>
      <w:pPr>
        <w:spacing w:after="0" w:line="96" w:lineRule="exact"/>
        <w:rPr>
          <w:sz w:val="20"/>
          <w:szCs w:val="20"/>
          <w:color w:val="auto"/>
        </w:rPr>
      </w:pPr>
    </w:p>
    <w:p>
      <w:pPr>
        <w:ind w:right="180" w:firstLine="399"/>
        <w:spacing w:after="0" w:line="371" w:lineRule="auto"/>
        <w:rPr>
          <w:sz w:val="20"/>
          <w:szCs w:val="20"/>
          <w:color w:val="auto"/>
        </w:rPr>
      </w:pPr>
      <w:r>
        <w:rPr>
          <w:rFonts w:ascii="Arial" w:cs="Arial" w:eastAsia="Arial" w:hAnsi="Arial"/>
          <w:sz w:val="11"/>
          <w:szCs w:val="11"/>
          <w:color w:val="auto"/>
        </w:rPr>
        <w:t>Several governments have enacted subsidies and incentives designed to encourage the development of renewable energy resources. Because of the relative novelty of wave energy generation, these government programs often do not apply specifically to wave energy generation, and so these programs may not be available to our customers or us in all cases.</w:t>
      </w:r>
    </w:p>
    <w:p>
      <w:pPr>
        <w:spacing w:after="0" w:line="12"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Under a tariff subsidy, the government sets price subsidies to be paid to electricity producers for renewable electricity generated by them. The prices are set above market rates and may be differentiated based on system size or application. Under a renewable portfolio standard, the government requires regulated utilities to supply a portion of their total electricity in the form of renewable electricity. Some programs further specify that a portion of the renewable energy quota must be from a particular renewable energy source, although none have specific quotas for wave energy. Several governments also facilitate low interest loans for renewable energy systems, either through direct lending, credit enhancement or other programs.</w:t>
      </w:r>
    </w:p>
    <w:p>
      <w:pPr>
        <w:spacing w:after="0" w:line="53"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Countries in Europe and Asia and several states in the United States have adopted a variety of government subsidies to allow renewable sources of electricity to compete with conventional sources of electricity, such as fossil fuels. Government subsidies and incentives generally focus on grid-connected systems and take several forms, including tariff subsidies, renewable portfolio standards, rebates, tax incentives and low interest loans. In addition, the adoption by governments of limits on carbon dioxide emissions and targets for renewable energy production has spurred a market for trading of surplus carbon credits and renewable energy certificates.</w:t>
      </w:r>
    </w:p>
    <w:p>
      <w:pPr>
        <w:spacing w:after="0" w:line="7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 2008, the US enacted the Energy Improvement and Extension Act of 2008, which enables owners of wave power projects in the US to receive federal tax credits, thereby improving the long-term economics of wave power as a renewable energy source. The Act expands the definition of qualifying facilities for the Production Tax Credit (PTC) to include those that generate power from marine renewables (including wave and tidal sources). As a result, the PTC is now available for electricity produced and generated after October 3, 2008 from marine renewable energy facilities with a “nameplate capacity” of at least 150kW, and that are placed in service anytime between October 3, 2008 and December 31, 2013. The credit rate for marine renewables is $0.01 per kilowatt hour, and the duration of the credit will be ten years after the facility is placed in service.</w:t>
      </w:r>
    </w:p>
    <w:p>
      <w:pPr>
        <w:spacing w:after="0" w:line="55"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American Recovery and Reinvestment Act of 2009 provides significant grants, tax incentives and policy initiatives to stimulate investment and innovation in the “cleantech” sector. At times, the DOE has also issued requests for proposal to be funded under programs it has established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government programs, there can be no assurances as to whether we will be successful in obtaining significant additional government funding or as to the terms and conditions of any such funding.</w:t>
      </w:r>
    </w:p>
    <w:p>
      <w:pPr>
        <w:spacing w:after="0" w:line="72"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State of Oregon has enacted the Business Energy Tax Credit program that allows companies that invest in renewable energy capital projects an Oregon State income tax credit of up to 50% of the first $20.0 million of capital costs. This program is scheduled to expire on June 30, 2012.</w:t>
      </w:r>
    </w:p>
    <w:p>
      <w:pPr>
        <w:spacing w:after="0" w:line="59" w:lineRule="exact"/>
        <w:rPr>
          <w:sz w:val="20"/>
          <w:szCs w:val="20"/>
          <w:color w:val="auto"/>
        </w:rPr>
      </w:pPr>
    </w:p>
    <w:p>
      <w:pPr>
        <w:ind w:right="380" w:firstLine="399"/>
        <w:spacing w:after="0" w:line="264" w:lineRule="auto"/>
        <w:rPr>
          <w:sz w:val="20"/>
          <w:szCs w:val="20"/>
          <w:color w:val="auto"/>
        </w:rPr>
      </w:pPr>
      <w:r>
        <w:rPr>
          <w:rFonts w:ascii="Arial" w:cs="Arial" w:eastAsia="Arial" w:hAnsi="Arial"/>
          <w:sz w:val="13"/>
          <w:szCs w:val="13"/>
          <w:color w:val="auto"/>
        </w:rPr>
        <w:t>Each of the member states of the EU has a country-specific target for the level of consumption of electricity from renewable sources that it should attain by 2020. The United Kingdom Renewables Obligation of April 2002 included a target of 15% of electricity generation to come from renewable sources by 2015, which will continue until 2027. Electricity suppliers that are unable to otherwise meet their renewables obligation have to pay a buy-out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price (currently £0.033 per kilowatt hour) or purchase Renewables Obligation Certificates from companies that generate electricity from renewable resources.</w:t>
      </w:r>
    </w:p>
    <w:p>
      <w:pPr>
        <w:spacing w:after="0" w:line="96" w:lineRule="exact"/>
        <w:rPr>
          <w:sz w:val="20"/>
          <w:szCs w:val="20"/>
          <w:color w:val="auto"/>
        </w:rPr>
      </w:pPr>
    </w:p>
    <w:p>
      <w:pPr>
        <w:ind w:right="200" w:firstLine="399"/>
        <w:spacing w:after="0" w:line="258" w:lineRule="auto"/>
        <w:rPr>
          <w:sz w:val="20"/>
          <w:szCs w:val="20"/>
          <w:color w:val="auto"/>
        </w:rPr>
      </w:pPr>
      <w:r>
        <w:rPr>
          <w:rFonts w:ascii="Arial" w:cs="Arial" w:eastAsia="Arial" w:hAnsi="Arial"/>
          <w:sz w:val="13"/>
          <w:szCs w:val="13"/>
          <w:color w:val="auto"/>
        </w:rPr>
        <w:t>The UK Department of Energy and Climate Change and Department of Business Innovation and Skills are examining measures for the support of the renewable energy market. In 2011, it is expected that the UK Government will announce new policies on Electricity Market Reform (EMR) which may include among other measures: a floor price for carbon for electricity generators; and a Feed-in-Tariff, for renewable energy to replace the existing system of Renewable Obligation Certificates (ROCs). Additionally, it is anticipated that specific funding will be made available for both capital and revenue support for marine energy (wave and tidal stream) projects. These measures will supersede the earlier Marine Renewables Deployment Fund.</w:t>
      </w:r>
    </w:p>
    <w:p>
      <w:pPr>
        <w:spacing w:after="0" w:line="71"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Many countries and other local jurisdictions have established limits on carbon dioxide emissions. In particular, a key component of the Kyoto Protocol is the commitments made by certain countries to reduce carbon dioxide emissions. The country, locality or companies within the jurisdiction are given carbon emission allowances, or carbon credits, which represent the right to emit a specific amount of carbon dioxide. A country, locality or company having emissions that exceed its allocated carbon credits may purchase unused carbon credits from a country, locality or company that has reduced its emissions beyond its requirements to do so. The carbon dioxide emissions from a PowerBuoy wave power station are zero, and, therefore, a PowerBuoy wave power station may generate carbon credits that could be used and sold.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right="280" w:firstLine="399"/>
        <w:spacing w:after="0" w:line="296" w:lineRule="auto"/>
        <w:rPr>
          <w:sz w:val="20"/>
          <w:szCs w:val="20"/>
          <w:color w:val="auto"/>
        </w:rPr>
      </w:pPr>
      <w:r>
        <w:rPr>
          <w:rFonts w:ascii="Arial" w:cs="Arial" w:eastAsia="Arial" w:hAnsi="Arial"/>
          <w:sz w:val="12"/>
          <w:szCs w:val="12"/>
          <w:color w:val="auto"/>
        </w:rPr>
        <w:t>As of April 30, 2011, we had 51 employees, including 18 employees in manufacturing, 16 in research, development and engineering functions and 17 in selling, general and administrative functions. Of these employees, 42 are located in Pennington, New Jersey and 9 are located in Warwick, UK. We believe that our future success will depend in part on our continued ability to attract, hire and retain qualified personnel. None of our employees is represented by a labor union, and we believe our employee relations are good.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Insurance</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currently have a property and liability insurance policy underwritten by Lloyd’s Underwriters that covers our PowerBuoy systems currently deployed, and that can be expanded to cover our PowerBuoy systems to be deployed in the future. We have not claimed any losses under this policy.</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0"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You should carefully consider the risks described below with all of the other information included in this Annual Report before deciding to invest in our common stock. If any of the following risks actually occur, they may materially harm our business and our financial condition and results of operations. In this event, the market price of our common stock could decline and your investment could be lost.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Business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have a history of operating losses and may never achieve or maintain profitability.</w:t>
      </w:r>
    </w:p>
    <w:p>
      <w:pPr>
        <w:spacing w:after="0" w:line="96"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We have incurred net losses since we began operations in 1994, including net losses attributable to Ocean Power Technologies, Inc. of $20.4 million in fiscal 2011, $19.2 million in fiscal 2010, and $18.3 million in fiscal 2009. As of April 30, 2011, we had an accumulated deficit of $110.8 million. These losses have resulted primarily from costs incurred in our research and development programs and from our selling, general and administrative costs. We expect to increase certain of our operating expenses significantly as we continue to expand our infrastructure and commercialization activities. As a result, we will need to generate significant revenues to cover these costs and achieve profitability.</w:t>
      </w:r>
    </w:p>
    <w:p>
      <w:pPr>
        <w:spacing w:after="0" w:line="53"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annual basis. If we are unable to achieve and then maintain profitability, the market value of our common stock may decline.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Wave energy technology may not gain broad commercial acceptance, and therefore our revenues may not increase, and we may be unable to achieve and then sustain profitability.</w:t>
      </w:r>
    </w:p>
    <w:p>
      <w:pPr>
        <w:spacing w:after="0" w:line="11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59" w:lineRule="exact"/>
        <w:rPr>
          <w:sz w:val="20"/>
          <w:szCs w:val="20"/>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performance, reliability and cost-effectiveness of wave energy technology compared to conventional and other renewable energy sources and products;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developments relating to other renewable energy generation technologies;</w:t>
      </w:r>
    </w:p>
    <w:p>
      <w:pPr>
        <w:spacing w:after="0" w:line="86" w:lineRule="exact"/>
        <w:rPr>
          <w:rFonts w:ascii="Arial" w:cs="Arial" w:eastAsia="Arial" w:hAnsi="Arial"/>
          <w:sz w:val="13"/>
          <w:szCs w:val="13"/>
          <w:color w:val="auto"/>
        </w:rPr>
      </w:pPr>
    </w:p>
    <w:p>
      <w:pPr>
        <w:ind w:left="600" w:right="200" w:hanging="190"/>
        <w:spacing w:after="0" w:line="276"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fluctuations in economic and market conditions that affect the cost or viability of conventional and renewable energy sources, such as increases or decreases in the prices of oil and other fossil fuels;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overall growth in the renewable energy equipment market;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availability and terms of government subsidies and incentives to support the development of renewable energy sources, including wave energy;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fluctuations in capital expenditures by utilities and independent power producers, which tend to decrease when the economy slows and interest rates increase;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development of new and profitable applications requiring the type of remote electric power provided by our autonomous wave energy systems.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wave energy technology does not gain broad commercial acceptance, our business will be materially harmed and we may need to curtail or cease operations.</w:t>
      </w:r>
    </w:p>
    <w:p>
      <w:pPr>
        <w:spacing w:after="0" w:line="175" w:lineRule="exact"/>
        <w:rPr>
          <w:sz w:val="20"/>
          <w:szCs w:val="20"/>
          <w:color w:val="auto"/>
        </w:rPr>
      </w:pPr>
    </w:p>
    <w:p>
      <w:pPr>
        <w:ind w:left="200"/>
        <w:spacing w:after="0" w:line="276" w:lineRule="auto"/>
        <w:rPr>
          <w:sz w:val="20"/>
          <w:szCs w:val="20"/>
          <w:color w:val="auto"/>
        </w:rPr>
      </w:pPr>
      <w:r>
        <w:rPr>
          <w:rFonts w:ascii="Arial" w:cs="Arial" w:eastAsia="Arial" w:hAnsi="Arial"/>
          <w:sz w:val="13"/>
          <w:szCs w:val="13"/>
          <w:b w:val="1"/>
          <w:bCs w:val="1"/>
          <w:i w:val="1"/>
          <w:iCs w:val="1"/>
          <w:color w:val="auto"/>
        </w:rPr>
        <w:t>If sufficient demand for our PowerBuoy systems does not develop or takes longer to develop than we anticipate, our revenues may decline, and we may be unable to achieve and then sustain profitability.</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Even if wave energy technology achieves broad commercial acceptance, our PowerBuoy systems may not prove to be a commercially viable technology for generating electricity from ocean waves. We have invested a significant portion of our time and financial resources since our inception in the development of our PowerBuoy systems. As we begin to manufacture, market, sell and deploy our PowerBuoy systems in greater quantities, we may encounter unforeseen hurdles that would limit the commercial viability of our PowerBuoy systems, including unanticipated manufacturing, deployment, operating, maintenance and other costs. Our target customers and we may also encounter technical obstacles to deploying, operating and maintaining PowerBuoy systems in quantities necessary to generate competitively-priced electricity.</w:t>
      </w:r>
    </w:p>
    <w:p>
      <w:pPr>
        <w:spacing w:after="0" w:line="71"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If demand for our PowerBuoy systems fails to develop sufficiently, we may be unable to grow our business or generate sufficient revenues to achieve and then sustain profitability. In addition, demand for PowerBuoy systems in our presently targeted markets, including coastal North America, the west coast of Europe, the coasts of Australia and the east coast of Japan, may not develop or may develop to a lesser extent than we anticipate.</w:t>
      </w:r>
    </w:p>
    <w:p>
      <w:pPr>
        <w:spacing w:after="0" w:line="67"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If we are not successful in commercializing our PowerBuoy system, or are significantly delayed in doing so, our business, financial condition and results of operations could be adversely affected.</w:t>
      </w:r>
    </w:p>
    <w:p>
      <w:pPr>
        <w:spacing w:after="0" w:line="138" w:lineRule="exact"/>
        <w:rPr>
          <w:sz w:val="20"/>
          <w:szCs w:val="20"/>
          <w:color w:val="auto"/>
        </w:rPr>
      </w:pPr>
    </w:p>
    <w:p>
      <w:pPr>
        <w:ind w:left="200" w:right="220"/>
        <w:spacing w:after="0" w:line="276" w:lineRule="auto"/>
        <w:rPr>
          <w:sz w:val="20"/>
          <w:szCs w:val="20"/>
          <w:color w:val="auto"/>
        </w:rPr>
      </w:pPr>
      <w:r>
        <w:rPr>
          <w:rFonts w:ascii="Arial" w:cs="Arial" w:eastAsia="Arial" w:hAnsi="Arial"/>
          <w:sz w:val="13"/>
          <w:szCs w:val="13"/>
          <w:b w:val="1"/>
          <w:bCs w:val="1"/>
          <w:i w:val="1"/>
          <w:iCs w:val="1"/>
          <w:color w:val="auto"/>
        </w:rPr>
        <w:t>The reduction or elimination of government subsidies and economic incentives for renewable energy sources could prevent demand for our PowerBuoy systems from developing, which in turn would adversely affect our business, financial condition and results of operations.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Federal, state and local governmental bodies in many countries, most notably Spain, the United Kingdom, Australia, Japan and the United States, have provided subsidies in the form of tariff subsidies, rebates, tax credits and other incentives to utilities, power generators and distributors using renewable energy. However, these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5" w:name="page26"/>
    <w:bookmarkEnd w:id="25"/>
    <w:p>
      <w:pPr>
        <w:ind w:right="120"/>
        <w:spacing w:after="0" w:line="320" w:lineRule="auto"/>
        <w:rPr>
          <w:sz w:val="20"/>
          <w:szCs w:val="20"/>
          <w:color w:val="auto"/>
        </w:rPr>
      </w:pPr>
      <w:r>
        <w:rPr>
          <w:rFonts w:ascii="Arial" w:cs="Arial" w:eastAsia="Arial" w:hAnsi="Arial"/>
          <w:sz w:val="12"/>
          <w:szCs w:val="12"/>
          <w:color w:val="auto"/>
        </w:rPr>
        <w:t>incentives and subsidies generally decline over time, and many incentive and subsidy programs have specific expiration dates. Moreover, because the market for electricity generated from wave energy is at an early stage of development, some of the programs may not include wave energy as a renewable energy source eligible for the incentives and subsidies.</w:t>
      </w:r>
    </w:p>
    <w:p>
      <w:pPr>
        <w:spacing w:after="0" w:line="35"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Currently, the cost of electricity generated from wave energy, without the benefit of subsidies or other economic incentives, substantially exceeds the price of electricity in most significant markets in the world. As a result, the near-term growth of the market for our utility PowerBuoy systems, which are designed to feed electricity into a local or regional power grid, depends significantly on the availability and size of government incentives and subsidies for wave energy. As renewable energy becomes more of a competitive threat to conventional energy providers, companies active in the conventional energy business may increase their lobbying efforts in order to encourage governments to stop providing subsidies for renewable energy, including wave energy. We cannot predict the level of any such efforts, or how governments may react to such efforts. The reduction, elimination or expiration of government incentives and subsidies, or the exclusion of wave energy technology from those incentives and subsidies, may result in the diminished competitiveness of wave energy relative to conventional and non-wave energy renewable sources of energy. Such diminished competitiveness could materially and adversely affect the growth of the wave energy industry, which could in turn adversely affect our business, financial condition and results of operations.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product development costs have increased and may continue to increase.</w:t>
      </w:r>
    </w:p>
    <w:p>
      <w:pPr>
        <w:spacing w:after="0" w:line="96" w:lineRule="exact"/>
        <w:rPr>
          <w:sz w:val="20"/>
          <w:szCs w:val="20"/>
          <w:color w:val="auto"/>
        </w:rPr>
      </w:pPr>
    </w:p>
    <w:p>
      <w:pPr>
        <w:ind w:right="180" w:firstLine="399"/>
        <w:spacing w:after="0" w:line="258" w:lineRule="auto"/>
        <w:rPr>
          <w:sz w:val="20"/>
          <w:szCs w:val="20"/>
          <w:color w:val="auto"/>
        </w:rPr>
      </w:pPr>
      <w:r>
        <w:rPr>
          <w:rFonts w:ascii="Arial" w:cs="Arial" w:eastAsia="Arial" w:hAnsi="Arial"/>
          <w:sz w:val="13"/>
          <w:szCs w:val="13"/>
          <w:color w:val="auto"/>
        </w:rPr>
        <w:t>Our product development costs primarily relate to our efforts to increase the maximum rated output of our utility PowerBuoy system to 150kW and to 500kW. Our product development costs were $13.3 million in fiscal 2011 compared to $13.0 million in fiscal 2010 and $8.4 million in fiscal 2009. 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 or we may decide to self-fund research and development expenses, in which case our product development costs may continue to increase.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have invested, and will continue to invest, funds to construct demonstration wave power stations that may generate little or no direct revenue.</w:t>
      </w:r>
    </w:p>
    <w:p>
      <w:pPr>
        <w:spacing w:after="0" w:line="96"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We have constructed, and may construct in the future, demonstration wave power stations to establish the feasibility of wave energy technology and to encourage the market adoption of our wave power stations. Demonstration wave power stations allow potential customers to see first-hand the viability of wave energy technology as a source of electricity. We incur significant costs in constructing and maintaining these demonstration wave power stations, and we may generate little or no direct revenue from them.</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PowerBuoy systems do not have a sufficient operating history to confirm how they will perform over their estimated 30-year useful life.</w:t>
      </w:r>
    </w:p>
    <w:p>
      <w:pPr>
        <w:spacing w:after="0" w:line="96"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We began developing and testing wave energy technology nearly 15 years ago. However, to date we have only manufactured 14 PowerBuoy systems for use in ocean testing and development. The longest continuous in-ocean deployment of our PowerBuoy system has been from December 2009 to the present. As a result, our PowerBuoy systems do not have a sufficient operating history to confirm how they will perform over their estimated 30-year useful life. Our technology has not yet demonstrated that our engineering and test results can be duplicated in volume commercial production. We have conducted and plan to continue to conduct practical testing of our PowerBuoy system. If our PowerBuoy system ultimately proves ineffective or unfeasible, we may not be able to engage in commercial production of our products or we may become liable to our customers for quantities we are obligated but are unable to produce. If our PowerBuoy systems perform below expectations, we could lose customers and face substantial repair and replacement expense which could in turn adversely affect our business, financial condition and results of operations.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26" w:name="page27"/>
    <w:bookmarkEnd w:id="26"/>
    <w:p>
      <w:pPr>
        <w:ind w:left="200" w:right="40"/>
        <w:spacing w:after="0" w:line="320" w:lineRule="auto"/>
        <w:rPr>
          <w:sz w:val="20"/>
          <w:szCs w:val="20"/>
          <w:color w:val="auto"/>
        </w:rPr>
      </w:pPr>
      <w:r>
        <w:rPr>
          <w:rFonts w:ascii="Arial" w:cs="Arial" w:eastAsia="Arial" w:hAnsi="Arial"/>
          <w:sz w:val="12"/>
          <w:szCs w:val="12"/>
          <w:b w:val="1"/>
          <w:bCs w:val="1"/>
          <w:i w:val="1"/>
          <w:iCs w:val="1"/>
          <w:color w:val="auto"/>
        </w:rPr>
        <w:t>Our future success in the utility power markets depends on our ability to increase the maximum rated power output of our utility PowerBuoy system. If we are unable to increase the maximum rated output of our utility PowerBuoy system, the commercial prospects for our utility PowerBuoy system would be adversely affected.</w:t>
      </w:r>
    </w:p>
    <w:p>
      <w:pPr>
        <w:spacing w:after="0" w:line="35"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One of our goals is to increase the maximum rated output of our utility PowerBuoy system, which is currently 150kW to 500kW. Our success in meeting this objective depends on our ability to significantly increase the power output of our PowerBuoy system in a cost-effective and timely manner and our ability to overcome the engineering and deployment hurdles that we face, including developing design and construction techniques that will enable the larger PowerBuoy systems to be deployed cost effectively and without damage, and developing adjustments to the mooring system to account for the larger-sized PowerBuoy systems. We have experienced problems and delays in the development and deployment of our PowerBuoy system in the past, and could experience similar delays or other difficulties in the future. If we cannot increase the power output of the utility PowerBuoy system, or if it takes us longer to do so than we anticipate, we may be unable to expand our utility business, maintain our competitive position, satisfy our contractual obligations or become profitable. In addition, if the cost associated with these development efforts exceeds our projections, our results of operations will be adversely affected.</w:t>
      </w:r>
    </w:p>
    <w:p>
      <w:pPr>
        <w:spacing w:after="0" w:line="137" w:lineRule="exact"/>
        <w:rPr>
          <w:sz w:val="20"/>
          <w:szCs w:val="20"/>
          <w:color w:val="auto"/>
        </w:rPr>
      </w:pPr>
    </w:p>
    <w:p>
      <w:pPr>
        <w:ind w:left="200" w:right="420"/>
        <w:spacing w:after="0" w:line="276" w:lineRule="auto"/>
        <w:rPr>
          <w:sz w:val="20"/>
          <w:szCs w:val="20"/>
          <w:color w:val="auto"/>
        </w:rPr>
      </w:pPr>
      <w:r>
        <w:rPr>
          <w:rFonts w:ascii="Arial" w:cs="Arial" w:eastAsia="Arial" w:hAnsi="Arial"/>
          <w:sz w:val="13"/>
          <w:szCs w:val="13"/>
          <w:b w:val="1"/>
          <w:bCs w:val="1"/>
          <w:i w:val="1"/>
          <w:iCs w:val="1"/>
          <w:color w:val="auto"/>
        </w:rPr>
        <w:t>If we do not reach full commercial scale, we may not be able to offer a cost competitive power station and the commercial prospects of our utility PowerBuoy system would be adversely affected.</w:t>
      </w:r>
    </w:p>
    <w:p>
      <w:pPr>
        <w:spacing w:after="0" w:line="59"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Unless we reach full commercial scale, we may not be able to offer an electricity solution that competes on a non-subsidized basis with today’s price of wholesale electricity in key markets in certain parts in the world. If we do not reach full commercial scale, the commercial prospects for our utility PowerBuoy system would be adversely affected.</w:t>
      </w:r>
    </w:p>
    <w:p>
      <w:pPr>
        <w:spacing w:after="0" w:line="114" w:lineRule="exact"/>
        <w:rPr>
          <w:sz w:val="20"/>
          <w:szCs w:val="20"/>
          <w:color w:val="auto"/>
        </w:rPr>
      </w:pPr>
    </w:p>
    <w:p>
      <w:pPr>
        <w:ind w:left="200" w:right="380"/>
        <w:spacing w:after="0" w:line="276" w:lineRule="auto"/>
        <w:rPr>
          <w:sz w:val="20"/>
          <w:szCs w:val="20"/>
          <w:color w:val="auto"/>
        </w:rPr>
      </w:pPr>
      <w:r>
        <w:rPr>
          <w:rFonts w:ascii="Arial" w:cs="Arial" w:eastAsia="Arial" w:hAnsi="Arial"/>
          <w:sz w:val="13"/>
          <w:szCs w:val="13"/>
          <w:b w:val="1"/>
          <w:bCs w:val="1"/>
          <w:i w:val="1"/>
          <w:iCs w:val="1"/>
          <w:color w:val="auto"/>
        </w:rPr>
        <w:t>We have not yet deployed a wave power station consisting of an array of two or more PowerBuoy systems. If we are unable to deploy a multiple-system wave power station, our revenues may not increase, and we may be unable to achieve and then maintain profitability.</w:t>
      </w:r>
    </w:p>
    <w:p>
      <w:pPr>
        <w:spacing w:after="0" w:line="59"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have not yet deployed a wave power station consisting of an array of two or more PowerBuoy systems. Our success in developing and deploying a wave power station consisting of an array of two or more PowerBuoy systems is contingent upon, among other things, receipt of required governmental permits, obtaining adequate financing, successful array design implementation and finally, successful deployment and connection of the PowerBuoy systems.</w:t>
      </w:r>
    </w:p>
    <w:p>
      <w:pPr>
        <w:spacing w:after="0" w:line="67"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We have not conducted ocean testing or otherwise installed in the ocean a multiple-system wave power station. In particular, unlike single-system wave power stations, multiple-system wave power stations require use of an underwater substation to connect the power transmission cables from, and collect the electricity generated by, each PowerBuoy system in the array. If our underwater substation does not work as we anticipate, we will need to design an alternative system, which could delay our business plans. In addition, unanticipated issues may arise with the logistics and mechanics of deploying and maintaining multiple PowerBuoy systems at a single site and the additional equipment associated with these multiple-system wave power stations.</w:t>
      </w:r>
    </w:p>
    <w:p>
      <w:pPr>
        <w:spacing w:after="0" w:line="71" w:lineRule="exact"/>
        <w:rPr>
          <w:sz w:val="20"/>
          <w:szCs w:val="20"/>
          <w:color w:val="auto"/>
        </w:rPr>
      </w:pPr>
    </w:p>
    <w:p>
      <w:pPr>
        <w:jc w:val="both"/>
        <w:ind w:right="140" w:firstLine="399"/>
        <w:spacing w:after="0" w:line="264" w:lineRule="auto"/>
        <w:rPr>
          <w:sz w:val="20"/>
          <w:szCs w:val="20"/>
          <w:color w:val="auto"/>
        </w:rPr>
      </w:pPr>
      <w:r>
        <w:rPr>
          <w:rFonts w:ascii="Arial" w:cs="Arial" w:eastAsia="Arial" w:hAnsi="Arial"/>
          <w:sz w:val="13"/>
          <w:szCs w:val="13"/>
          <w:color w:val="auto"/>
        </w:rPr>
        <w:t>We may be unsuccessful in accomplishing any of these tasks or doing so on a timely basis. The development and deployment of an array of PowerBuoy systems may require us to incur significant expenses for preliminary engineering, permitting and legal and other expenses before we can determine whether a project is feasible, economically attractive or capable of being financed.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If we are unable to deploy larger PowerBuoy systems cost effectively and without damage to the systems, we may be unable to compete effectively.</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will need to build larger buoys in order to increase the output of our current PowerBuoy systems. The larger buoys will be more difficult than our current buoys to deploy cost effectively and without damage. Our current deployment methodologies, including transportation to the installation site and the mooring of the PowerBuoy systems, will need to be revised as PowerBuoy systems achieve greater output. If we cannot develop cost effective methodologies for deployment of the larger PowerBuoy systems, or if it takes us longer to do so than we anticipate,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7" w:name="page28"/>
    <w:bookmarkEnd w:id="27"/>
    <w:p>
      <w:pPr>
        <w:spacing w:after="0" w:line="264" w:lineRule="auto"/>
        <w:rPr>
          <w:sz w:val="20"/>
          <w:szCs w:val="20"/>
          <w:color w:val="auto"/>
        </w:rPr>
      </w:pPr>
      <w:r>
        <w:rPr>
          <w:rFonts w:ascii="Arial" w:cs="Arial" w:eastAsia="Arial" w:hAnsi="Arial"/>
          <w:sz w:val="13"/>
          <w:szCs w:val="13"/>
          <w:color w:val="auto"/>
        </w:rPr>
        <w:t>we may not be able to deploy such systems in the time we anticipate or at all. Therefore, even if we succeed in increasing the output of our PowerBuoy systems to 500kW, if we are unable to deploy these larger PowerBuoy systems or encounter problems in doing so, we may be unable to expand our business, maintain our competitive position, satisfy our contractual obligations or become profitable.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If we are not successful in completing the development of wave power stations in Spain, it could adversely affect our business, financial condition and results of operations.</w:t>
      </w:r>
    </w:p>
    <w:p>
      <w:pPr>
        <w:spacing w:after="0" w:line="119" w:lineRule="exact"/>
        <w:rPr>
          <w:sz w:val="20"/>
          <w:szCs w:val="20"/>
          <w:color w:val="auto"/>
        </w:rPr>
      </w:pPr>
    </w:p>
    <w:p>
      <w:pPr>
        <w:ind w:right="60" w:firstLine="399"/>
        <w:spacing w:after="0" w:line="305" w:lineRule="auto"/>
        <w:rPr>
          <w:sz w:val="20"/>
          <w:szCs w:val="20"/>
          <w:color w:val="auto"/>
        </w:rPr>
      </w:pPr>
      <w:r>
        <w:rPr>
          <w:rFonts w:ascii="Arial" w:cs="Arial" w:eastAsia="Arial" w:hAnsi="Arial"/>
          <w:sz w:val="11"/>
          <w:szCs w:val="11"/>
          <w:color w:val="auto"/>
        </w:rPr>
        <w:t>The initial PB40 PowerBuoy system for our Spain project was deployed in September 2008. After a short testing period, the buoy was removed from the water for work on improvements to the power take-off and control systems. In November 2010, we agreed to negotiate with Iberdrola Cantabria with the goal of cancelling the remaining obligations between the parties under the Spain construction and operations and maintenance agreements, transferring ownership of the equipment manufactured or purchased by us under the construction agreement to Iberdrola Cantabria, and having Iberdrola Cantabria pay certain amounts due to us. We further agreed to work toward a new project with Iberdrola Cantabria. Under this new project, we would provide project management of the installation and connection of the sub-sea cable and underwater substation pod at Santoña. In addition, we would provide a proposal to maintain the assets transferred to Iberdrola Cantabria. Negotiations are underway for such efforts. If negotiations are unsuccessful and no modification to the existing Spain construction agreement is agreed to by the parties, the customer may, subject to certain conditions in the agreement, terminate the agreement without the obligation to make further milestone payments and, potentially, collect reimbursement for direct damages, limited as specified in the Spain construction agreement, for failure of the PowerBuoy to meet certain performance thresholds. While we do not expect the termination of the Spain construction agreement or potential liability for damages to materially adversely affect our financial condition, the new Santoña project does represent a portion of our anticipated revenue stream. If we are unable to successfully meet the terms of the existing Spain construction agreement, if Iberdrola Cantabria were to terminate the agreement, or if we are not able to successfully negotiate a subsequent contract or contracts with Iberdrola Cantabria, we may lose that revenue stream.</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the Spain project were cancelled or otherwise interrupted, it could adversely affect our business, financial condition and results of operations.</w:t>
      </w:r>
    </w:p>
    <w:p>
      <w:pPr>
        <w:spacing w:after="0" w:line="175" w:lineRule="exact"/>
        <w:rPr>
          <w:sz w:val="20"/>
          <w:szCs w:val="20"/>
          <w:color w:val="auto"/>
        </w:rPr>
      </w:pPr>
    </w:p>
    <w:p>
      <w:pPr>
        <w:ind w:left="200" w:right="260"/>
        <w:spacing w:after="0" w:line="276" w:lineRule="auto"/>
        <w:rPr>
          <w:sz w:val="20"/>
          <w:szCs w:val="20"/>
          <w:color w:val="auto"/>
        </w:rPr>
      </w:pPr>
      <w:r>
        <w:rPr>
          <w:rFonts w:ascii="Arial" w:cs="Arial" w:eastAsia="Arial" w:hAnsi="Arial"/>
          <w:sz w:val="13"/>
          <w:szCs w:val="13"/>
          <w:b w:val="1"/>
          <w:bCs w:val="1"/>
          <w:i w:val="1"/>
          <w:iCs w:val="1"/>
          <w:color w:val="auto"/>
        </w:rPr>
        <w:t>If we are unable to successfully negotiate and enter into operations and maintenance contracts with our customers on terms that are acceptable to us, our ability to diversify our revenue stream will be impaired.</w:t>
      </w:r>
    </w:p>
    <w:p>
      <w:pPr>
        <w:spacing w:after="0" w:line="59" w:lineRule="exact"/>
        <w:rPr>
          <w:sz w:val="20"/>
          <w:szCs w:val="20"/>
          <w:color w:val="auto"/>
        </w:rPr>
      </w:pPr>
    </w:p>
    <w:p>
      <w:pPr>
        <w:ind w:right="40" w:firstLine="399"/>
        <w:spacing w:after="0" w:line="312" w:lineRule="auto"/>
        <w:rPr>
          <w:sz w:val="20"/>
          <w:szCs w:val="20"/>
          <w:color w:val="auto"/>
        </w:rPr>
      </w:pPr>
      <w:r>
        <w:rPr>
          <w:rFonts w:ascii="Arial" w:cs="Arial" w:eastAsia="Arial" w:hAnsi="Arial"/>
          <w:sz w:val="11"/>
          <w:szCs w:val="11"/>
          <w:color w:val="auto"/>
        </w:rPr>
        <w:t>An important element of our business strategy is to maximize our revenue opportunities with our existing and future customers by seeking to enter into operations and maintenance contracts with them under which we would be paid fees for operating and maintaining wave power stations that they have purchased from us. Even if customers purchase our PowerBuoy systems, they may not enter into operations and maintenance contracts with us. We may not be able to negotiate operations and maintenance contracts that provide us with any profit opportunities. Even if we successfully negotiate and enter into such operations and maintenance contracts, our customers may terminate them prematurely or they may not be profitable for a variety of reasons, including the presence of unforeseen hurdles or costs. In addition, our inability to perform adequately under such operations and maintenance contracts could impair our efforts to successfully market the PowerBuoy systems. Any one of these outcomes could have a material adverse effect on our business, financial condition and results of operations.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inability to effectively manage our growth could adversely affect our business and operations.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our projected future growth. We plan to add sales, marketing and engineering offices in additional locations, including Australia, Japan, continental Europe and the west coast of the United States.</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8" w:name="page29"/>
    <w:bookmarkEnd w:id="28"/>
    <w:p>
      <w:pPr>
        <w:spacing w:after="0" w:line="371" w:lineRule="auto"/>
        <w:rPr>
          <w:sz w:val="20"/>
          <w:szCs w:val="20"/>
          <w:color w:val="auto"/>
        </w:rPr>
      </w:pPr>
      <w:r>
        <w:rPr>
          <w:rFonts w:ascii="Arial" w:cs="Arial" w:eastAsia="Arial" w:hAnsi="Arial"/>
          <w:sz w:val="11"/>
          <w:szCs w:val="11"/>
          <w:color w:val="auto"/>
        </w:rPr>
        <w:t>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Problems with the quality or performance of our PowerBuoy systems could adversely affect our business, financial condition and results of operations.</w:t>
      </w:r>
    </w:p>
    <w:p>
      <w:pPr>
        <w:spacing w:after="0" w:line="96"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Our agreements with customers will generally include guarantees with respect to the quality and performance of our PowerBuoy systems. Because of the limited operating history of our PowerBuoy systems, we have been required to make assumptions regarding the durability, reliability and performance of the systems, and we cannot predict whether and to what extent we may be required to perform under the guarantees that we expect to give our customers. Our assumptions could prove to be materially different from the actual performance of our PowerBuoy systems, causing us to incur substantial expense to repair or replace defective systems in the future. We will bear the risk of claims long after we have sold our PowerBuoy systems and recognized revenue. Moreover, any widespread product failures could adversely affect our business, financial condition and results of operations.</w:t>
      </w:r>
    </w:p>
    <w:p>
      <w:pPr>
        <w:spacing w:after="0" w:line="134" w:lineRule="exact"/>
        <w:rPr>
          <w:sz w:val="20"/>
          <w:szCs w:val="20"/>
          <w:color w:val="auto"/>
        </w:rPr>
      </w:pPr>
    </w:p>
    <w:p>
      <w:pPr>
        <w:ind w:left="200" w:right="200"/>
        <w:spacing w:after="0" w:line="276" w:lineRule="auto"/>
        <w:rPr>
          <w:sz w:val="20"/>
          <w:szCs w:val="20"/>
          <w:color w:val="auto"/>
        </w:rPr>
      </w:pPr>
      <w:r>
        <w:rPr>
          <w:rFonts w:ascii="Arial" w:cs="Arial" w:eastAsia="Arial" w:hAnsi="Arial"/>
          <w:sz w:val="13"/>
          <w:szCs w:val="13"/>
          <w:b w:val="1"/>
          <w:bCs w:val="1"/>
          <w:i w:val="1"/>
          <w:iCs w:val="1"/>
          <w:color w:val="auto"/>
        </w:rPr>
        <w:t>We currently depend on a limited number of customers for substantially all of our revenues. The loss of, or a significant reduction in revenues from, any of these customers could significantly reduce our revenues and harm our operating results.</w:t>
      </w:r>
    </w:p>
    <w:p>
      <w:pPr>
        <w:spacing w:after="0" w:line="59"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The US Navy, our largest customer, accounted for 52% of our revenues and the DOE accounted for 28% of our revenues, during fiscal 2011. In fiscal 2010, revenues from the US Navy accounted for 80% of our total revenues. Our current contract for our LEAP project with the US Navy expires in September 2011. We will be required to enter into additional contracts with the US Navy for this project, which will require appropriation by the US Congress and the US Navy in order to receive additional funding. Additional funding for our project with the US Navy may not be approved or we may not be able to negotiate future agreements with the US Navy on acceptable terms, if at all.</w:t>
      </w:r>
    </w:p>
    <w:p>
      <w:pPr>
        <w:spacing w:after="0" w:line="53"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can adversely affect our business, financial condition and results of operations.</w:t>
      </w:r>
    </w:p>
    <w:p>
      <w:pPr>
        <w:spacing w:after="0" w:line="71"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Historically, we have relied on a small group of customers for substantially all of our revenue, and such concentration will continue for the foreseeable future. The loss of any of our customers or their default in payment could adversely affect our business, financial condition and results of operations.</w:t>
      </w:r>
    </w:p>
    <w:p>
      <w:pPr>
        <w:spacing w:after="0" w:line="138" w:lineRule="exact"/>
        <w:rPr>
          <w:sz w:val="20"/>
          <w:szCs w:val="20"/>
          <w:color w:val="auto"/>
        </w:rPr>
      </w:pPr>
    </w:p>
    <w:p>
      <w:pPr>
        <w:ind w:left="200" w:right="100"/>
        <w:spacing w:after="0" w:line="276" w:lineRule="auto"/>
        <w:rPr>
          <w:sz w:val="20"/>
          <w:szCs w:val="20"/>
          <w:color w:val="auto"/>
        </w:rPr>
      </w:pPr>
      <w:r>
        <w:rPr>
          <w:rFonts w:ascii="Arial" w:cs="Arial" w:eastAsia="Arial" w:hAnsi="Arial"/>
          <w:sz w:val="13"/>
          <w:szCs w:val="13"/>
          <w:b w:val="1"/>
          <w:bCs w:val="1"/>
          <w:i w:val="1"/>
          <w:iCs w:val="1"/>
          <w:color w:val="auto"/>
        </w:rPr>
        <w:t>Our relationships with our alliance partners may not be successful and we may not be successful in establishing additional relationships, which could adversely affect our ability to commercialize our products and services.</w:t>
      </w:r>
    </w:p>
    <w:p>
      <w:pPr>
        <w:spacing w:after="0" w:line="59"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An important element of our business strategy is to enter into development agreements and strategic alliances with regional utilities, and energy and other companies committed to providing electricity from renewable energy sources. If we are unable to reach agreements with suitable alliance partners, we may fail to meet our business objectives for the commercialization of our PowerBuoy system.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For example, our projects with Leighton and the European Commission are conditional upon our receipt of significant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9" w:name="page30"/>
    <w:bookmarkEnd w:id="29"/>
    <w:p>
      <w:pPr>
        <w:ind w:right="80"/>
        <w:spacing w:after="0" w:line="264" w:lineRule="auto"/>
        <w:rPr>
          <w:sz w:val="20"/>
          <w:szCs w:val="20"/>
          <w:color w:val="auto"/>
        </w:rPr>
      </w:pPr>
      <w:r>
        <w:rPr>
          <w:rFonts w:ascii="Arial" w:cs="Arial" w:eastAsia="Arial" w:hAnsi="Arial"/>
          <w:sz w:val="13"/>
          <w:szCs w:val="13"/>
          <w:color w:val="auto"/>
        </w:rPr>
        <w:t>additional funds. There can be no assurance that we will receive such additional funding. In addition, these relationships may not be successful, and we may be unable to sell and market our PowerBuoy systems to these companies and their affiliates and customers in the future, or growth opportunities may not materialize, any of which could adversely affect our business, financial condition and results of operations.</w:t>
      </w:r>
    </w:p>
    <w:p>
      <w:pPr>
        <w:spacing w:after="0" w:line="146" w:lineRule="exact"/>
        <w:rPr>
          <w:sz w:val="20"/>
          <w:szCs w:val="20"/>
          <w:color w:val="auto"/>
        </w:rPr>
      </w:pPr>
    </w:p>
    <w:p>
      <w:pPr>
        <w:ind w:left="200" w:right="40"/>
        <w:spacing w:after="0" w:line="276" w:lineRule="auto"/>
        <w:rPr>
          <w:sz w:val="20"/>
          <w:szCs w:val="20"/>
          <w:color w:val="auto"/>
        </w:rPr>
      </w:pPr>
      <w:r>
        <w:rPr>
          <w:rFonts w:ascii="Arial" w:cs="Arial" w:eastAsia="Arial" w:hAnsi="Arial"/>
          <w:sz w:val="13"/>
          <w:szCs w:val="13"/>
          <w:b w:val="1"/>
          <w:bCs w:val="1"/>
          <w:i w:val="1"/>
          <w:iCs w:val="1"/>
          <w:color w:val="auto"/>
        </w:rPr>
        <w:t>Our investments in joint ventures could be adversely affected by our lack of sole decision-making authority, our reliance on a co-venturer’s financial condition and disputes between us and our co-venturers.</w:t>
      </w:r>
    </w:p>
    <w:p>
      <w:pPr>
        <w:spacing w:after="0" w:line="59"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It is part of our strategy to co-invest in some of our wave power projects with third parties through joint ventures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co-venturers might become bankrupt or fail to fund their share of required capital contributions. Our co-venturers may have economic or other business interests or goals that are inconsistent with our business interests or goals, and may be in a position to take actions that are contrary to our policies or objectives. Disputes between us and our co-venturers may result in litigation or arbitration that would increase our expenses and prevent our officers and/or directors from focusing their time and effort on our business. Consequently, actions by, or disputes with, partners or co-venturers might result in additional risk to wave power projects undertaken by the joint venture.</w:t>
      </w:r>
    </w:p>
    <w:p>
      <w:pPr>
        <w:spacing w:after="0" w:line="138" w:lineRule="exact"/>
        <w:rPr>
          <w:sz w:val="20"/>
          <w:szCs w:val="20"/>
          <w:color w:val="auto"/>
        </w:rPr>
      </w:pPr>
    </w:p>
    <w:p>
      <w:pPr>
        <w:ind w:left="200" w:right="300"/>
        <w:spacing w:after="0" w:line="320" w:lineRule="auto"/>
        <w:rPr>
          <w:sz w:val="20"/>
          <w:szCs w:val="20"/>
          <w:color w:val="auto"/>
        </w:rPr>
      </w:pPr>
      <w:r>
        <w:rPr>
          <w:rFonts w:ascii="Arial" w:cs="Arial" w:eastAsia="Arial" w:hAnsi="Arial"/>
          <w:sz w:val="12"/>
          <w:szCs w:val="12"/>
          <w:b w:val="1"/>
          <w:bCs w:val="1"/>
          <w:i w:val="1"/>
          <w:iCs w:val="1"/>
          <w:color w:val="auto"/>
        </w:rPr>
        <w:t>Our targeted markets are highly competitive. We compete with other renewable energy companies and may have to compete with larger companies that enter into the renewable energy business. If we are unable to compete effectively, we may be unable to increase our revenues and achieve or maintain profitability.</w:t>
      </w:r>
    </w:p>
    <w:p>
      <w:pPr>
        <w:spacing w:after="0" w:line="35"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The renewable energy industry, particularly in our targeted markets of the west coast of North America, the west coast of Europe, the coasts of Australia and the east coast of Japan, is highly competitive and continually evolving as participants strive to distinguish themselves and compete with the larger electric power industry. Competition in the renewable energy industry is likely to continue to increase with the advent of several renewable energy technologies, including tidal and ocean current technologies.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electricity, we will not be able to respond effectively to competitive pressures from other renewable energy technologies or improvements to existing technologies.</w:t>
      </w:r>
    </w:p>
    <w:p>
      <w:pPr>
        <w:spacing w:after="0" w:line="59"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Moreover, the success of renewable energy generation technologies may cause larger electric utility and other energy companies with substantial financial resources to enter into the renewable energy industry. These companies, due to their greater capital resources and substantial technical expertise, may be better positioned than us to develop new or improve existing technologies.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inability to respond effectively to such competition could adversely affect our business, financial condition and results of operations.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have limited manufacturing experience. If we are unable to increase our manufacturing capacity in a cost-effective manner, our business will be materially harmed.</w:t>
      </w:r>
    </w:p>
    <w:p>
      <w:pPr>
        <w:spacing w:after="0" w:line="108"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We plan to manufacture key components of our PowerBuoy systems, including the advanced control and generation systems. However, we have only manufactured our PowerBuoy systems in limited quantities for use in development and testing and have limited commercial manufacturing experience. Our future success depends on our ability to significantly increase both our manufacturing capacity and production throughput in a cost-effective and efficient manner. In order to meet our growth objectives, we will need to increase our engineering and manufacturing staff. There is intense competition for hiring qualified technical and engineering personnel, and we may not be able to hire a sufficient number of qualified personnel to allow us to meet our growth objectives.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0" w:name="page31"/>
    <w:bookmarkEnd w:id="30"/>
    <w:p>
      <w:pPr>
        <w:ind w:right="60" w:firstLine="399"/>
        <w:spacing w:after="0" w:line="260" w:lineRule="auto"/>
        <w:rPr>
          <w:sz w:val="20"/>
          <w:szCs w:val="20"/>
          <w:color w:val="auto"/>
        </w:rPr>
      </w:pPr>
      <w:r>
        <w:rPr>
          <w:rFonts w:ascii="Arial" w:cs="Arial" w:eastAsia="Arial" w:hAnsi="Arial"/>
          <w:sz w:val="13"/>
          <w:szCs w:val="13"/>
          <w:color w:val="auto"/>
        </w:rPr>
        <w:t>We may be unable to develop efficient, low-cost manufacturing capabilities and processes that will enable us to meet the quality, price, engineering, design and production standards or production volumes necessary to successfully commercialize our PowerBuoy systems.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48" w:lineRule="exact"/>
        <w:rPr>
          <w:sz w:val="20"/>
          <w:szCs w:val="20"/>
          <w:color w:val="auto"/>
        </w:rPr>
      </w:pPr>
    </w:p>
    <w:p>
      <w:pPr>
        <w:ind w:left="200"/>
        <w:spacing w:after="0" w:line="276" w:lineRule="auto"/>
        <w:rPr>
          <w:sz w:val="20"/>
          <w:szCs w:val="20"/>
          <w:color w:val="auto"/>
        </w:rPr>
      </w:pPr>
      <w:r>
        <w:rPr>
          <w:rFonts w:ascii="Arial" w:cs="Arial" w:eastAsia="Arial" w:hAnsi="Arial"/>
          <w:sz w:val="13"/>
          <w:szCs w:val="13"/>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59" w:lineRule="exact"/>
        <w:rPr>
          <w:sz w:val="20"/>
          <w:szCs w:val="20"/>
          <w:color w:val="auto"/>
        </w:rPr>
      </w:pPr>
    </w:p>
    <w:p>
      <w:pPr>
        <w:jc w:val="both"/>
        <w:ind w:right="20" w:firstLine="399"/>
        <w:spacing w:after="0" w:line="320" w:lineRule="auto"/>
        <w:rPr>
          <w:sz w:val="20"/>
          <w:szCs w:val="20"/>
          <w:color w:val="auto"/>
        </w:rPr>
      </w:pPr>
      <w:r>
        <w:rPr>
          <w:rFonts w:ascii="Arial" w:cs="Arial" w:eastAsia="Arial" w:hAnsi="Arial"/>
          <w:sz w:val="12"/>
          <w:szCs w:val="12"/>
          <w:color w:val="auto"/>
        </w:rPr>
        <w:t>We are highly dependent on third parties to supply or manufacture components of our PowerBuoy systems. If, for any reason, our third-party manufacturers or vendors are not willing or able to provide us with components or supplies in a timely fashion, or at all, our ability to manufacture and sell many of our products could be impaired.</w:t>
      </w:r>
    </w:p>
    <w:p>
      <w:pPr>
        <w:spacing w:after="0" w:line="35" w:lineRule="exact"/>
        <w:rPr>
          <w:sz w:val="20"/>
          <w:szCs w:val="20"/>
          <w:color w:val="auto"/>
        </w:rPr>
      </w:pPr>
    </w:p>
    <w:p>
      <w:pPr>
        <w:ind w:right="120" w:firstLine="399"/>
        <w:spacing w:after="0" w:line="371" w:lineRule="auto"/>
        <w:rPr>
          <w:sz w:val="20"/>
          <w:szCs w:val="20"/>
          <w:color w:val="auto"/>
        </w:rPr>
      </w:pPr>
      <w:r>
        <w:rPr>
          <w:rFonts w:ascii="Arial" w:cs="Arial" w:eastAsia="Arial" w:hAnsi="Arial"/>
          <w:sz w:val="11"/>
          <w:szCs w:val="11"/>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2"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In addition, we rely on third parties, under our oversight, for the deployment and mooring of our PowerBuoy systems. We have utilized several different deployment methods, including towing the PowerBuoy system to the deployment location, and transporting the PowerBuoy system to the deployment location by barge or ocean workboat. If these third parties do not properly deploy our systems, cannot effectively deploy the PowerBuoy system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32" w:lineRule="exact"/>
        <w:rPr>
          <w:sz w:val="20"/>
          <w:szCs w:val="20"/>
          <w:color w:val="auto"/>
        </w:rPr>
      </w:pPr>
    </w:p>
    <w:p>
      <w:pPr>
        <w:ind w:left="200" w:right="200"/>
        <w:spacing w:after="0" w:line="371" w:lineRule="auto"/>
        <w:rPr>
          <w:sz w:val="20"/>
          <w:szCs w:val="20"/>
          <w:color w:val="auto"/>
        </w:rPr>
      </w:pPr>
      <w:r>
        <w:rPr>
          <w:rFonts w:ascii="Arial" w:cs="Arial" w:eastAsia="Arial" w:hAnsi="Arial"/>
          <w:sz w:val="11"/>
          <w:szCs w:val="11"/>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2"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Our manufacturing operations, in particular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55"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48" w:lineRule="exact"/>
        <w:rPr>
          <w:sz w:val="20"/>
          <w:szCs w:val="20"/>
          <w:color w:val="auto"/>
        </w:rPr>
      </w:pPr>
    </w:p>
    <w:p>
      <w:pPr>
        <w:ind w:left="200" w:right="200"/>
        <w:spacing w:after="0" w:line="276" w:lineRule="auto"/>
        <w:rPr>
          <w:sz w:val="20"/>
          <w:szCs w:val="20"/>
          <w:color w:val="auto"/>
        </w:rPr>
      </w:pPr>
      <w:r>
        <w:rPr>
          <w:rFonts w:ascii="Arial" w:cs="Arial" w:eastAsia="Arial" w:hAnsi="Arial"/>
          <w:sz w:val="13"/>
          <w:szCs w:val="13"/>
          <w:b w:val="1"/>
          <w:bCs w:val="1"/>
          <w:i w:val="1"/>
          <w:iCs w:val="1"/>
          <w:color w:val="auto"/>
        </w:rPr>
        <w:t>If we become ineligible for or are otherwise unable to replace any contract with the US federal government that is not extended or is terminated, our business, financial condition and results of operations will be adversely affected.</w:t>
      </w:r>
    </w:p>
    <w:p>
      <w:pPr>
        <w:spacing w:after="0" w:line="59"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We derive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2011 and fiscal 2010, we derived 52% and 80%, respectively, of our total revenue from contracts with the US Navy.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ind w:right="120" w:firstLine="399"/>
        <w:spacing w:after="0" w:line="260" w:lineRule="auto"/>
        <w:rPr>
          <w:sz w:val="20"/>
          <w:szCs w:val="20"/>
          <w:color w:val="auto"/>
        </w:rPr>
      </w:pPr>
      <w:r>
        <w:rPr>
          <w:rFonts w:ascii="Arial" w:cs="Arial" w:eastAsia="Arial" w:hAnsi="Arial"/>
          <w:sz w:val="13"/>
          <w:szCs w:val="13"/>
          <w:color w:val="auto"/>
        </w:rPr>
        <w:t>US federal 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US federal government contracts are subject to audit and potential refunds for at least three years after the final contract payment is received.</w:t>
      </w:r>
    </w:p>
    <w:p>
      <w:pPr>
        <w:spacing w:after="0" w:line="148" w:lineRule="exact"/>
        <w:rPr>
          <w:sz w:val="20"/>
          <w:szCs w:val="20"/>
          <w:color w:val="auto"/>
        </w:rPr>
      </w:pPr>
    </w:p>
    <w:p>
      <w:pPr>
        <w:ind w:left="200" w:right="480"/>
        <w:spacing w:after="0" w:line="276" w:lineRule="auto"/>
        <w:rPr>
          <w:sz w:val="20"/>
          <w:szCs w:val="20"/>
          <w:color w:val="auto"/>
        </w:rPr>
      </w:pPr>
      <w:r>
        <w:rPr>
          <w:rFonts w:ascii="Arial" w:cs="Arial" w:eastAsia="Arial" w:hAnsi="Arial"/>
          <w:sz w:val="13"/>
          <w:szCs w:val="13"/>
          <w:b w:val="1"/>
          <w:bCs w:val="1"/>
          <w:i w:val="1"/>
          <w:iCs w:val="1"/>
          <w:color w:val="auto"/>
        </w:rPr>
        <w:t>We market and plan to market our products in numerous international markets. If we are unable to manage our international operations effectively, our business, financial condition and results of operations could be adversely affected.</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We market and plan to market our products in a number of foreign countries, including the United Kingdom, Spain, Australia and Japan, and we are therefore subject to risks associated with having international operations. International customers accounted for, 16% of our revenues in fiscal 2011, 11% of our revenues in fiscal 2010, and 27% of our revenues in fiscal 2009. Risks inherent in international operations include, but are not limited to, the following:</w:t>
      </w:r>
    </w:p>
    <w:p>
      <w:pPr>
        <w:spacing w:after="0" w:line="67" w:lineRule="exact"/>
        <w:rPr>
          <w:sz w:val="20"/>
          <w:szCs w:val="20"/>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general economic and political conditions in the countries in which we operate;</w:t>
      </w:r>
    </w:p>
    <w:p>
      <w:pPr>
        <w:spacing w:after="0" w:line="86" w:lineRule="exact"/>
        <w:rPr>
          <w:rFonts w:ascii="Arial" w:cs="Arial" w:eastAsia="Arial" w:hAnsi="Arial"/>
          <w:sz w:val="13"/>
          <w:szCs w:val="13"/>
          <w:color w:val="auto"/>
        </w:rPr>
      </w:pPr>
    </w:p>
    <w:p>
      <w:pPr>
        <w:ind w:left="600" w:right="2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unexpected adverse changes in foreign laws or regulatory requirements, including those with respect to renewable energy, environmental protection, permitting, export duties and quotas;</w:t>
      </w:r>
    </w:p>
    <w:p>
      <w:pPr>
        <w:spacing w:after="0" w:line="49" w:lineRule="exact"/>
        <w:rPr>
          <w:rFonts w:ascii="Arial" w:cs="Arial" w:eastAsia="Arial" w:hAnsi="Arial"/>
          <w:sz w:val="13"/>
          <w:szCs w:val="13"/>
          <w:color w:val="auto"/>
        </w:rPr>
      </w:pPr>
    </w:p>
    <w:p>
      <w:pPr>
        <w:ind w:left="600" w:right="48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trade barriers such as export requirements, tariffs, taxes and other restrictions and expenses, which could increase the prices of our PowerBuoy systems and make us less competitive in some countries;</w:t>
      </w:r>
    </w:p>
    <w:p>
      <w:pPr>
        <w:spacing w:after="0" w:line="49" w:lineRule="exact"/>
        <w:rPr>
          <w:rFonts w:ascii="Arial" w:cs="Arial" w:eastAsia="Arial" w:hAnsi="Arial"/>
          <w:sz w:val="13"/>
          <w:szCs w:val="13"/>
          <w:color w:val="auto"/>
        </w:rPr>
      </w:pPr>
    </w:p>
    <w:p>
      <w:pPr>
        <w:ind w:left="600" w:right="140" w:hanging="190"/>
        <w:spacing w:after="0" w:line="27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fluctuations in exchange rates may affect demand for our PowerBuoy systems and may adversely affect our profitability in US dollars to the extent the price of our PowerBuoy systems and cost of raw materials and labor are denominated in a foreign currency;</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difficulty with staffing and managing widespread operations;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complexity of, and costs relating to compliance with, the different commercial and legal requirements of the overseas markets in which we offer and sell our PowerBuoy systems;</w:t>
      </w:r>
    </w:p>
    <w:p>
      <w:pPr>
        <w:spacing w:after="0" w:line="109" w:lineRule="exact"/>
        <w:rPr>
          <w:rFonts w:ascii="Arial" w:cs="Arial" w:eastAsia="Arial" w:hAnsi="Arial"/>
          <w:sz w:val="11"/>
          <w:szCs w:val="11"/>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inability to obtain, maintain or enforce intellectual property rights;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difficulty in enforcing agreements in foreign legal systems.</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not be able to raise sufficient capital to grow our business.</w:t>
      </w:r>
    </w:p>
    <w:p>
      <w:pPr>
        <w:spacing w:after="0" w:line="96" w:lineRule="exact"/>
        <w:rPr>
          <w:sz w:val="20"/>
          <w:szCs w:val="20"/>
          <w:color w:val="auto"/>
        </w:rPr>
      </w:pPr>
    </w:p>
    <w:p>
      <w:pPr>
        <w:ind w:right="200" w:firstLine="399"/>
        <w:spacing w:after="0" w:line="285" w:lineRule="auto"/>
        <w:rPr>
          <w:sz w:val="20"/>
          <w:szCs w:val="20"/>
          <w:color w:val="auto"/>
        </w:rPr>
      </w:pPr>
      <w:r>
        <w:rPr>
          <w:rFonts w:ascii="Arial" w:cs="Arial" w:eastAsia="Arial" w:hAnsi="Arial"/>
          <w:sz w:val="12"/>
          <w:szCs w:val="12"/>
          <w:color w:val="auto"/>
        </w:rPr>
        <w:t>We have in the past needed to raise funds to operate our business, and we may need to raise additional funds to support development of our products or to manufacture our PowerBuoy systems in commercial quantities. If we are unable to raise additional funds when needed, our ability to operate and grow our business could be impaired. We do not know whether we will be able to secure additional funding or funding on terms favorable to us. Our ability to obtain additional funding will be subject to a number of factors, including market conditions, our operating performance and investor sentiment. These factors may make the timing, amount, terms and conditions of additional funding unattractive. If we issue additional equity securities, our existing stockholders would experience dilution or may be subordinated to any rights, preferences or privileges granted to the new equity holders.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32" w:name="page33"/>
    <w:bookmarkEnd w:id="32"/>
    <w:p>
      <w:pPr>
        <w:ind w:left="200"/>
        <w:spacing w:after="0"/>
        <w:rPr>
          <w:sz w:val="20"/>
          <w:szCs w:val="20"/>
          <w:color w:val="auto"/>
        </w:rPr>
      </w:pPr>
      <w:r>
        <w:rPr>
          <w:rFonts w:ascii="Arial" w:cs="Arial" w:eastAsia="Arial" w:hAnsi="Arial"/>
          <w:sz w:val="13"/>
          <w:szCs w:val="13"/>
          <w:b w:val="1"/>
          <w:bCs w:val="1"/>
          <w:i w:val="1"/>
          <w:iCs w:val="1"/>
          <w:color w:val="auto"/>
        </w:rPr>
        <w:t>Our financial results may fluctuate from quarter to quarter, which may make it difficult to predict our future performance.</w:t>
      </w:r>
    </w:p>
    <w:p>
      <w:pPr>
        <w:spacing w:after="0" w:line="96" w:lineRule="exact"/>
        <w:rPr>
          <w:sz w:val="20"/>
          <w:szCs w:val="20"/>
          <w:color w:val="auto"/>
        </w:rPr>
      </w:pPr>
    </w:p>
    <w:p>
      <w:pPr>
        <w:ind w:right="200" w:firstLine="399"/>
        <w:spacing w:after="0" w:line="258" w:lineRule="auto"/>
        <w:rPr>
          <w:sz w:val="20"/>
          <w:szCs w:val="20"/>
          <w:color w:val="auto"/>
        </w:rPr>
      </w:pPr>
      <w:r>
        <w:rPr>
          <w:rFonts w:ascii="Arial" w:cs="Arial" w:eastAsia="Arial" w:hAnsi="Arial"/>
          <w:sz w:val="13"/>
          <w:szCs w:val="13"/>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71" w:lineRule="exact"/>
        <w:rPr>
          <w:sz w:val="20"/>
          <w:szCs w:val="20"/>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delays in permitting or acquiring necessary regulatory consents;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delays in the timing of contract awards and determinations of work scope;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delays in funding for or deployment of wave energy projects;</w:t>
      </w:r>
    </w:p>
    <w:p>
      <w:pPr>
        <w:spacing w:after="0" w:line="86"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cost estimates relating to wave energy project completion, which under percentage of completion accounting principles could lead to significant fluctuations in revenue or to changes in the timing of our recognition of revenue from those projects;</w:t>
      </w:r>
    </w:p>
    <w:p>
      <w:pPr>
        <w:spacing w:after="0" w:line="49" w:lineRule="exact"/>
        <w:rPr>
          <w:rFonts w:ascii="Arial" w:cs="Arial" w:eastAsia="Arial" w:hAnsi="Arial"/>
          <w:sz w:val="13"/>
          <w:szCs w:val="13"/>
          <w:color w:val="auto"/>
        </w:rPr>
      </w:pPr>
    </w:p>
    <w:p>
      <w:pPr>
        <w:ind w:left="600" w:right="320" w:hanging="190"/>
        <w:spacing w:after="0" w:line="27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delays in meeting specified contractual milestones or other performance criteria under project contracts or in completing project contracts that could delay the recognition of revenue that would otherwise be earned;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reductions in the availability or level of subsidies and incentives for renewable energy sources;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decisions made by parties with whom we have commercial relationships not to proceed with anticipated projects;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increases in the length of our sales cycle;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reductions in the efficiency of our manufacturing processes.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Currency translation and transaction risk may adversely affect our business, financial condition and results of operations.</w:t>
      </w:r>
    </w:p>
    <w:p>
      <w:pPr>
        <w:spacing w:after="0" w:line="96"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a sales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38" w:lineRule="exact"/>
        <w:rPr>
          <w:sz w:val="20"/>
          <w:szCs w:val="20"/>
          <w:color w:val="auto"/>
        </w:rPr>
      </w:pPr>
    </w:p>
    <w:p>
      <w:pPr>
        <w:ind w:left="200"/>
        <w:spacing w:after="0" w:line="276" w:lineRule="auto"/>
        <w:rPr>
          <w:sz w:val="20"/>
          <w:szCs w:val="20"/>
          <w:color w:val="auto"/>
        </w:rPr>
      </w:pPr>
      <w:r>
        <w:rPr>
          <w:rFonts w:ascii="Arial" w:cs="Arial" w:eastAsia="Arial" w:hAnsi="Arial"/>
          <w:sz w:val="13"/>
          <w:szCs w:val="13"/>
          <w:b w:val="1"/>
          <w:bCs w:val="1"/>
          <w:i w:val="1"/>
          <w:iCs w:val="1"/>
          <w:color w:val="auto"/>
        </w:rPr>
        <w:t>Existing regulations and policies and changes to these or new regulations and policies may present technical, regulatory and economic barriers to the use of wave energy technology, which may significantly reduce demand for our PowerBuoy systems.</w:t>
      </w:r>
    </w:p>
    <w:p>
      <w:pPr>
        <w:spacing w:after="0" w:line="59"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The market for electricity generation equipment is heavily influenced by foreign, federal, state and local government regulations and policies concerning the electric utility industry, as well as policies promulgated by electric utilities. These regulations and policies often relate to electricity pricing and connection to the power grid. In the United States and in a number of other countries, these regulations and policies currently are being modified and may be modified again in the future. Utility company and independent power producer purchases of, or further investment in the research and development of, alternative energy sources, including wave energy technology, could be deterred by these regulations and policies, which could result in a significant reduction in the potential demand for our PowerBuoy systems.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3" w:name="page34"/>
    <w:bookmarkEnd w:id="33"/>
    <w:p>
      <w:pPr>
        <w:ind w:right="60" w:firstLine="399"/>
        <w:spacing w:after="0" w:line="260" w:lineRule="auto"/>
        <w:rPr>
          <w:sz w:val="20"/>
          <w:szCs w:val="20"/>
          <w:color w:val="auto"/>
        </w:rPr>
      </w:pPr>
      <w:r>
        <w:rPr>
          <w:rFonts w:ascii="Arial" w:cs="Arial" w:eastAsia="Arial" w:hAnsi="Arial"/>
          <w:sz w:val="13"/>
          <w:szCs w:val="13"/>
          <w:color w:val="auto"/>
        </w:rPr>
        <w:t>As the renewable energy industry continues to develop and as the generation of power from wave energy in particular achieves commercial acceptance, we anticipate that wave energy technology and our PowerBuoy systems and their deployment will be subject to increased oversight and regulation. We are unable to predict the nature or extent of regulations that may be imposed or adopted. Any new government regulations or utility policies pertaining to wave energy or our PowerBuoy systems may result in significant additional expenses to us and our customers and, as a result, could adversely affect our business, financial condition and results of operations.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If we are unable to obtain all necessary regulatory permits and approvals, we will not be able to implement our planned projects.</w:t>
      </w:r>
    </w:p>
    <w:p>
      <w:pPr>
        <w:spacing w:after="0" w:line="96" w:lineRule="exact"/>
        <w:rPr>
          <w:sz w:val="20"/>
          <w:szCs w:val="20"/>
          <w:color w:val="auto"/>
        </w:rPr>
      </w:pPr>
    </w:p>
    <w:p>
      <w:pPr>
        <w:ind w:right="100" w:firstLine="399"/>
        <w:spacing w:after="0" w:line="285" w:lineRule="auto"/>
        <w:rPr>
          <w:sz w:val="20"/>
          <w:szCs w:val="20"/>
          <w:color w:val="auto"/>
        </w:rPr>
      </w:pPr>
      <w:r>
        <w:rPr>
          <w:rFonts w:ascii="Arial" w:cs="Arial" w:eastAsia="Arial" w:hAnsi="Arial"/>
          <w:sz w:val="12"/>
          <w:szCs w:val="12"/>
          <w:color w:val="auto"/>
        </w:rPr>
        <w:t>Offshore development of electric power generating facilities is heavily regulated. Each of our planned projects is subject to multiple permitting and approval requirements. With respect to our projects in Spain, we are dependent upon our customer to obtain any necessary permits and approvals, and with respect to our projects in Oregon and Cornwall, England, we are dependent on state, federal and regional government agencies for such permits and approvals. Due to the unique nature of large scale commercial wave power stations, we would expect our projects to receive close scrutiny by permitting agencies, approval authorities and the public, which could result in substantial delay in the permitting process. Successful challenges by any parties opposed to our planned projects could result in conditions limiting the project size or in the denial of necessary permits and approvals.</w:t>
      </w:r>
    </w:p>
    <w:p>
      <w:pPr>
        <w:spacing w:after="0" w:line="55" w:lineRule="exact"/>
        <w:rPr>
          <w:sz w:val="20"/>
          <w:szCs w:val="20"/>
          <w:color w:val="auto"/>
        </w:rPr>
      </w:pPr>
    </w:p>
    <w:p>
      <w:pPr>
        <w:ind w:right="280" w:firstLine="399"/>
        <w:spacing w:after="0" w:line="264" w:lineRule="auto"/>
        <w:rPr>
          <w:sz w:val="20"/>
          <w:szCs w:val="20"/>
          <w:color w:val="auto"/>
        </w:rPr>
      </w:pPr>
      <w:r>
        <w:rPr>
          <w:rFonts w:ascii="Arial" w:cs="Arial" w:eastAsia="Arial" w:hAnsi="Arial"/>
          <w:sz w:val="13"/>
          <w:szCs w:val="13"/>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We face hurricane- and storm-related risks and other risks typical of a marine environment which could adversely affect our business, financial condition and results of operations.</w:t>
      </w:r>
    </w:p>
    <w:p>
      <w:pPr>
        <w:spacing w:after="0" w:line="119" w:lineRule="exact"/>
        <w:rPr>
          <w:sz w:val="20"/>
          <w:szCs w:val="20"/>
          <w:color w:val="auto"/>
        </w:rPr>
      </w:pPr>
    </w:p>
    <w:p>
      <w:pPr>
        <w:ind w:right="120" w:firstLine="399"/>
        <w:spacing w:after="0" w:line="285" w:lineRule="auto"/>
        <w:rPr>
          <w:sz w:val="20"/>
          <w:szCs w:val="20"/>
          <w:color w:val="auto"/>
        </w:rPr>
      </w:pPr>
      <w:r>
        <w:rPr>
          <w:rFonts w:ascii="Arial" w:cs="Arial" w:eastAsia="Arial" w:hAnsi="Arial"/>
          <w:sz w:val="12"/>
          <w:szCs w:val="12"/>
          <w:color w:val="auto"/>
        </w:rPr>
        <w:t>Our PowerBuoy systems are deployed in the ocean where they are subject to many hazards including severe storms and hurricanes, which could damage them and result in service interruptions. Our systems are also subject to more frequent lock-downs caused by higher waves during winter storm and hurricane seasons, which will reduce annual energy output. We cannot predict whether we will be able to recover from our insurance providers the additional costs that we may incur due to damage caused to our PowerBuoy systems, or whether we will continue to be able to obtain insurance for hurricane- and storm-related damages or, if obtainable and carried, whether this insurance will be adequate to cover our liabilities. Any future hurricane-or storm-related costs could adversely affect our business, financial condition and results of operations.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Since our PowerBuoy systems can only be deployed in certain geographic locations, our ability to grow our business could be adversely affected.</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Our systems are designed to work in sites with average annual wave energy of at least 20kW per meter of wave front. Not all coastal areas worldwide have appropriate natural resources for our PowerBuoy systems to harness wave energy. Seasonal and local variations, water depth and the effect of particular locations of islands and other geographical features may limit our ability to deploy our PowerBuoy systems in coastal areas. If we are unable to identify and deploy PowerBuoy systems at sufficient sites near major population centers, our ability to grow our business could be adversely affected.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face numerous accident and safety risks and hazards that are inherent in offshore energy operations.</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Portions of our operations are subject to many hazards and risks inherent in the building, testing, deploying and maintenance of our PowerBuoy systems. These hazards and risks could result in personal injuries, loss of life, and other damages, which may include damage to our properties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3"/>
          <w:szCs w:val="13"/>
          <w:color w:val="auto"/>
        </w:rPr>
        <w:t>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you that we will be able to maintain adequate insurance in the future at reasonable rates.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If we are unable to attract and retain management and other qualified personnel, we may not be able to achieve our business objectives.</w:t>
      </w:r>
    </w:p>
    <w:p>
      <w:pPr>
        <w:spacing w:after="0" w:line="96"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We have entered into employment agreements with Dr. George Taylor, our executive chairman, and Charles Dunleavy, our chief executive officer; however, the agreements permit the employees to terminate their employment with little notice. Implementation of our expansion plans will be highly dependent upon our ability to hire and retain senior executives as well as talented staff in various fields of expertise.</w:t>
      </w:r>
    </w:p>
    <w:p>
      <w:pPr>
        <w:spacing w:after="0" w:line="55"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In addition, our anticipated growth will require us to hire a significant number of qualified technical, commercial and administrative personnel. The majority of our new hires will be engineers with varying levels and areas of expertise, project managers and manufacturing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 at a competitive pace.</w:t>
      </w:r>
    </w:p>
    <w:p>
      <w:pPr>
        <w:spacing w:after="0" w:line="148" w:lineRule="exact"/>
        <w:rPr>
          <w:sz w:val="20"/>
          <w:szCs w:val="20"/>
          <w:color w:val="auto"/>
        </w:rPr>
      </w:pPr>
    </w:p>
    <w:p>
      <w:pPr>
        <w:ind w:left="200" w:right="20"/>
        <w:spacing w:after="0" w:line="276" w:lineRule="auto"/>
        <w:rPr>
          <w:sz w:val="20"/>
          <w:szCs w:val="20"/>
          <w:color w:val="auto"/>
        </w:rPr>
      </w:pPr>
      <w:r>
        <w:rPr>
          <w:rFonts w:ascii="Arial" w:cs="Arial" w:eastAsia="Arial" w:hAnsi="Arial"/>
          <w:sz w:val="13"/>
          <w:szCs w:val="13"/>
          <w:b w:val="1"/>
          <w:bCs w:val="1"/>
          <w:i w:val="1"/>
          <w:iCs w:val="1"/>
          <w:color w:val="auto"/>
        </w:rPr>
        <w:t>Any acquisitions that we make or joint venture agreements that we enter into, or any failure to identify appropriate acquisition or joint venture candidates, could adversely affect our business, financial condition and results of operations.</w:t>
      </w:r>
    </w:p>
    <w:p>
      <w:pPr>
        <w:spacing w:after="0" w:line="59"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From time to time, we evaluate potential strategic acquisitions of complementary businesses, products or technologies, as well as consider joint ventures and other collaborative projects. We may not be able to identify appropriate acquisition candidates or strategic partners, or successfully negotiate, finance or integrate any businesses, products or technologies that we acquire. We do not have any experience with acquiring companies or products. Any acquisition we pursue could diminish the capital resources otherwise available to us for other uses or be dilutive to our stockholders, and could divert management’s time and resources from our core operations.</w:t>
      </w:r>
    </w:p>
    <w:p>
      <w:pPr>
        <w:spacing w:after="0" w:line="70"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Strategic acquisitions, investments and alliances with third parties could subject us to a number of risks, including risks associated with sharing proprietary information and loss of control of operations that are material to our business. In addition, strategic acquisitions, investments and alliances may be expensive to implement. Moreover, strategic acquisitions, investments and alliances subject us to the risk of non-performance by a counterparty, which may in turn lead to monetary losses that materially and adversely affect our business, financial condition and results of operations.</w:t>
      </w:r>
    </w:p>
    <w:p>
      <w:pPr>
        <w:spacing w:after="0" w:line="148" w:lineRule="exact"/>
        <w:rPr>
          <w:sz w:val="20"/>
          <w:szCs w:val="20"/>
          <w:color w:val="auto"/>
        </w:rPr>
      </w:pPr>
    </w:p>
    <w:p>
      <w:pPr>
        <w:ind w:left="200" w:right="380"/>
        <w:spacing w:after="0" w:line="276" w:lineRule="auto"/>
        <w:rPr>
          <w:sz w:val="20"/>
          <w:szCs w:val="20"/>
          <w:color w:val="auto"/>
        </w:rPr>
      </w:pPr>
      <w:r>
        <w:rPr>
          <w:rFonts w:ascii="Arial" w:cs="Arial" w:eastAsia="Arial" w:hAnsi="Arial"/>
          <w:sz w:val="13"/>
          <w:szCs w:val="13"/>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59"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Effective internal controls are necessary for us to provide reasonable assurance with respect to our financial reports and to effectively prevent fraud. If we cannot provide reasonable assurance with respect to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3"/>
          <w:szCs w:val="13"/>
          <w:color w:val="auto"/>
        </w:rPr>
        <w:t>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200" w:right="180"/>
        <w:spacing w:after="0" w:line="276" w:lineRule="auto"/>
        <w:rPr>
          <w:sz w:val="20"/>
          <w:szCs w:val="20"/>
          <w:color w:val="auto"/>
        </w:rPr>
      </w:pPr>
      <w:r>
        <w:rPr>
          <w:rFonts w:ascii="Arial" w:cs="Arial" w:eastAsia="Arial" w:hAnsi="Arial"/>
          <w:sz w:val="13"/>
          <w:szCs w:val="13"/>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59" w:lineRule="exact"/>
        <w:rPr>
          <w:sz w:val="20"/>
          <w:szCs w:val="20"/>
          <w:color w:val="auto"/>
        </w:rPr>
      </w:pPr>
    </w:p>
    <w:p>
      <w:pPr>
        <w:ind w:right="40" w:firstLine="399"/>
        <w:spacing w:after="0" w:line="255" w:lineRule="auto"/>
        <w:rPr>
          <w:sz w:val="20"/>
          <w:szCs w:val="20"/>
          <w:color w:val="auto"/>
        </w:rPr>
      </w:pPr>
      <w:r>
        <w:rPr>
          <w:rFonts w:ascii="Arial" w:cs="Arial" w:eastAsia="Arial" w:hAnsi="Arial"/>
          <w:sz w:val="13"/>
          <w:szCs w:val="13"/>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United States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United States and other countries may diminish the value of our intellectual property or narrow the scope of our patent protection, which could in turn adversely affect our business, financial condition and results of operations.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contracts with the government could negatively affect our intellectual property rights, and our ability to commercialize our products could be impaired.</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Our agreements with the US Navy and US Department of Energy help fund research and development of our PowerBuoy system. When new technologies are developed with US federal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US government funding must be disclosed in any resulting patent applications, and our rights in such inventions will normally be subject to government license rights, periodic post-contract utilization reporting, foreign manufacturing restrictions and march-in rights.</w:t>
      </w:r>
    </w:p>
    <w:p>
      <w:pPr>
        <w:spacing w:after="0" w:line="73"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w:t>
      </w:r>
    </w:p>
    <w:p>
      <w:pPr>
        <w:spacing w:after="0" w:line="138" w:lineRule="exact"/>
        <w:rPr>
          <w:sz w:val="20"/>
          <w:szCs w:val="20"/>
          <w:color w:val="auto"/>
        </w:rPr>
      </w:pPr>
    </w:p>
    <w:p>
      <w:pPr>
        <w:ind w:left="200" w:right="200"/>
        <w:spacing w:after="0" w:line="276" w:lineRule="auto"/>
        <w:rPr>
          <w:sz w:val="20"/>
          <w:szCs w:val="20"/>
          <w:color w:val="auto"/>
        </w:rPr>
      </w:pPr>
      <w:r>
        <w:rPr>
          <w:rFonts w:ascii="Arial" w:cs="Arial" w:eastAsia="Arial" w:hAnsi="Arial"/>
          <w:sz w:val="13"/>
          <w:szCs w:val="13"/>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59"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In addition to patented technology, we rely upon unpatented proprietary technology, processes and know-how, particularly with respect to our PowerBuoy control and electricity generating systems. We generally seek to protect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6" w:name="page37"/>
    <w:bookmarkEnd w:id="36"/>
    <w:p>
      <w:pPr>
        <w:ind w:right="40"/>
        <w:spacing w:after="0" w:line="276" w:lineRule="auto"/>
        <w:rPr>
          <w:sz w:val="20"/>
          <w:szCs w:val="20"/>
          <w:color w:val="auto"/>
        </w:rPr>
      </w:pPr>
      <w:r>
        <w:rPr>
          <w:rFonts w:ascii="Arial" w:cs="Arial" w:eastAsia="Arial" w:hAnsi="Arial"/>
          <w:sz w:val="13"/>
          <w:szCs w:val="13"/>
          <w:color w:val="auto"/>
        </w:rPr>
        <w:t>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we infringe or are alleged to infringe intellectual property rights of third parties, our business, financial condition and results of operations could be adversely affected.</w:t>
      </w:r>
    </w:p>
    <w:p>
      <w:pPr>
        <w:spacing w:after="0" w:line="10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Our products may infringe, or be claimed to infringe,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71"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53"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In addition to infringement claims against us, we may become a party to other types of patent litigation and other proceedings, including interference proceedings declared by the United States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Common Stock</w:t>
      </w:r>
    </w:p>
    <w:p>
      <w:pPr>
        <w:spacing w:after="0" w:line="100" w:lineRule="exact"/>
        <w:rPr>
          <w:sz w:val="20"/>
          <w:szCs w:val="20"/>
          <w:color w:val="auto"/>
        </w:rPr>
      </w:pPr>
    </w:p>
    <w:p>
      <w:pPr>
        <w:ind w:left="200" w:right="60"/>
        <w:spacing w:after="0" w:line="276" w:lineRule="auto"/>
        <w:rPr>
          <w:sz w:val="20"/>
          <w:szCs w:val="20"/>
          <w:color w:val="auto"/>
        </w:rPr>
      </w:pPr>
      <w:r>
        <w:rPr>
          <w:rFonts w:ascii="Arial" w:cs="Arial" w:eastAsia="Arial" w:hAnsi="Arial"/>
          <w:sz w:val="13"/>
          <w:szCs w:val="13"/>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59"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67" w:lineRule="exact"/>
        <w:rPr>
          <w:sz w:val="20"/>
          <w:szCs w:val="20"/>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advance notice requirements for stockholder proposals and nominations;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inability of stockholders to act by written consent or to call special meetings; and</w:t>
      </w:r>
    </w:p>
    <w:p>
      <w:pPr>
        <w:spacing w:after="0" w:line="86" w:lineRule="exact"/>
        <w:rPr>
          <w:rFonts w:ascii="Arial" w:cs="Arial" w:eastAsia="Arial" w:hAnsi="Arial"/>
          <w:sz w:val="13"/>
          <w:szCs w:val="13"/>
          <w:color w:val="auto"/>
        </w:rPr>
      </w:pPr>
    </w:p>
    <w:p>
      <w:pPr>
        <w:ind w:left="600" w:right="60" w:hanging="190"/>
        <w:spacing w:after="0" w:line="320" w:lineRule="auto"/>
        <w:tabs>
          <w:tab w:leader="none" w:pos="6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35" w:lineRule="exact"/>
        <w:rPr>
          <w:sz w:val="20"/>
          <w:szCs w:val="20"/>
          <w:color w:val="auto"/>
        </w:rPr>
      </w:pPr>
    </w:p>
    <w:p>
      <w:pPr>
        <w:ind w:right="740" w:firstLine="399"/>
        <w:spacing w:after="0" w:line="276" w:lineRule="auto"/>
        <w:rPr>
          <w:sz w:val="20"/>
          <w:szCs w:val="20"/>
          <w:color w:val="auto"/>
        </w:rPr>
      </w:pPr>
      <w:r>
        <w:rPr>
          <w:rFonts w:ascii="Arial" w:cs="Arial" w:eastAsia="Arial" w:hAnsi="Arial"/>
          <w:sz w:val="13"/>
          <w:szCs w:val="13"/>
          <w:color w:val="auto"/>
        </w:rPr>
        <w:t>The affirmative vote of the holders of at least 75% of our shares of capital stock entitled to vote is necessary to amend or repeal the above provisions of our certificate of incorporation. In addition, absent approval of our board 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directors, our bylaws may only be amended or repealed by the affirmative vote of the holders of at least 75% of our shares of capital stock entitled to vote.</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have never paid cash dividends on our common stock, and we do not anticipate paying any cash dividends in the foreseeable future.</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stock price is likely to be volatile, and purchasers of our common stock could incur substantial losses.</w:t>
      </w:r>
    </w:p>
    <w:p>
      <w:pPr>
        <w:spacing w:after="0" w:line="96"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The market price of our common stock may fluctuate significantly in response to factors that are beyond our control. For the period ended April 30, 2011, the 52-week high and low prices for our common stock were $7.20 and $4.55, respectively. The stock market in general has recently experienced extreme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53" w:lineRule="exact"/>
        <w:rPr>
          <w:sz w:val="20"/>
          <w:szCs w:val="20"/>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success of competitive products or technologies;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regulatory developments in the United States and foreign countries;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developments or disputes concerning patents or other proprietary rights;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recruitment or departure of key personnel;</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quarterly or annual variations in our financial results or those of companies that are perceived to be similar to us;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market conditions in the conventional and renewable energy industries and issuance of new or changed securities analysts’ reports or recommendations;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failure of securities analysts to cover our common stock or changes in financial estimates by analysts;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inability to meet the financial estimates of analysts who follow our common stock;</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investor perception of our company and of the renewable energy industry;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general economic, political and market conditions.</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right="420" w:firstLine="399"/>
        <w:spacing w:after="0" w:line="320" w:lineRule="auto"/>
        <w:rPr>
          <w:sz w:val="20"/>
          <w:szCs w:val="20"/>
          <w:color w:val="auto"/>
        </w:rPr>
      </w:pPr>
      <w:r>
        <w:rPr>
          <w:rFonts w:ascii="Arial" w:cs="Arial" w:eastAsia="Arial" w:hAnsi="Arial"/>
          <w:sz w:val="12"/>
          <w:szCs w:val="12"/>
          <w:color w:val="auto"/>
        </w:rPr>
        <w:t>Our corporate headquarters are located in Pennington, New Jersey, where we occupy approximately 22,000 square feet under a lease expiring on April 30, 2013. We use these facilities for administration, research and development, as well as assembly and testing of the generators and control models for our PowerBuoy systems.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8" w:name="page39"/>
    <w:bookmarkEnd w:id="38"/>
    <w:p>
      <w:pPr>
        <w:jc w:val="both"/>
        <w:ind w:right="100" w:firstLine="399"/>
        <w:spacing w:after="0" w:line="264" w:lineRule="auto"/>
        <w:rPr>
          <w:sz w:val="20"/>
          <w:szCs w:val="20"/>
          <w:color w:val="auto"/>
        </w:rPr>
      </w:pPr>
      <w:r>
        <w:rPr>
          <w:rFonts w:ascii="Arial" w:cs="Arial" w:eastAsia="Arial" w:hAnsi="Arial"/>
          <w:sz w:val="13"/>
          <w:szCs w:val="13"/>
          <w:color w:val="auto"/>
        </w:rPr>
        <w:t>We also have an office and warehouse facilities in Warwick, United Kingdom, where we occupy 3,840 square feet under leases expiring on January 1, 2012 and December 18, 2011, respectively. Nine employees, all members of the executive, engineering, administration and business development teams, operate out of this office, which serves as a hub for our European presence.</w:t>
      </w:r>
    </w:p>
    <w:p>
      <w:pPr>
        <w:spacing w:after="0" w:line="67" w:lineRule="exact"/>
        <w:rPr>
          <w:sz w:val="20"/>
          <w:szCs w:val="20"/>
          <w:color w:val="auto"/>
        </w:rPr>
      </w:pPr>
    </w:p>
    <w:p>
      <w:pPr>
        <w:jc w:val="both"/>
        <w:ind w:right="100" w:firstLine="399"/>
        <w:spacing w:after="0" w:line="276" w:lineRule="auto"/>
        <w:rPr>
          <w:sz w:val="20"/>
          <w:szCs w:val="20"/>
          <w:color w:val="auto"/>
        </w:rPr>
      </w:pPr>
      <w:r>
        <w:rPr>
          <w:rFonts w:ascii="Arial" w:cs="Arial" w:eastAsia="Arial" w:hAnsi="Arial"/>
          <w:sz w:val="13"/>
          <w:szCs w:val="13"/>
          <w:color w:val="auto"/>
        </w:rPr>
        <w:t>We also have warehouse facilities in Santander, Spain, where we occupy 1,350 square feet under a lease expiring on August 6, 2011. We use these facilities for storage related to our project in Spain.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the future, we may add sales, marketing and engineering offices in additional locations, including Australia, Japan, continental Europe and the west coast of the United States.</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right="340" w:firstLine="399"/>
        <w:spacing w:after="0" w:line="320" w:lineRule="auto"/>
        <w:rPr>
          <w:sz w:val="20"/>
          <w:szCs w:val="20"/>
          <w:color w:val="auto"/>
        </w:rPr>
      </w:pPr>
      <w:r>
        <w:rPr>
          <w:rFonts w:ascii="Arial" w:cs="Arial" w:eastAsia="Arial" w:hAnsi="Arial"/>
          <w:sz w:val="12"/>
          <w:szCs w:val="12"/>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1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(REMOVED AND RESERVED)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right="6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Stock Price Information and Stockholders</w:t>
      </w:r>
    </w:p>
    <w:p>
      <w:pPr>
        <w:spacing w:after="0" w:line="1"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Our common stock has been listed on the Nasdaq Global Market since April 24, 2007 under the symbol “OPTT.” For a portion of fiscal 2011, our stock was listed on the AIM market of the London Stock Exchange under the symbol “OPT”. We voluntarily delisted from AIM on January 14, 2011. As of June 30, 2011, there were 309 holders of record for shares of our common stock. Since a portion of our common stock is held in “street” or nominee name, we are unable to determine the exact number of beneficial holders.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high and the low sale prices of our common stock as quoted by the Nasdaq Global Market for the period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0"/>
                <w:szCs w:val="10"/>
                <w:b w:val="1"/>
                <w:bCs w:val="1"/>
                <w:color w:val="auto"/>
              </w:rPr>
              <w:t>Nasdaq Global Market</w:t>
            </w:r>
          </w:p>
        </w:tc>
      </w:tr>
      <w:tr>
        <w:trPr>
          <w:trHeight w:val="98"/>
        </w:trPr>
        <w:tc>
          <w:tcPr>
            <w:tcW w:w="8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w w:val="98"/>
              </w:rPr>
              <w:t>High</w:t>
            </w: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68"/>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7"/>
        </w:trPr>
        <w:tc>
          <w:tcPr>
            <w:tcW w:w="8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April 30, 2011</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7"/>
        </w:trPr>
        <w:tc>
          <w:tcPr>
            <w:tcW w:w="8380" w:type="dxa"/>
            <w:vAlign w:val="bottom"/>
          </w:tcPr>
          <w:p>
            <w:pPr>
              <w:spacing w:after="0"/>
              <w:rPr>
                <w:sz w:val="20"/>
                <w:szCs w:val="20"/>
                <w:color w:val="auto"/>
              </w:rPr>
            </w:pPr>
            <w:r>
              <w:rPr>
                <w:rFonts w:ascii="Arial" w:cs="Arial" w:eastAsia="Arial" w:hAnsi="Arial"/>
                <w:sz w:val="13"/>
                <w:szCs w:val="13"/>
                <w:color w:val="auto"/>
              </w:rPr>
              <w:t>First quarter</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7"/>
              <w:spacing w:after="0"/>
              <w:rPr>
                <w:sz w:val="20"/>
                <w:szCs w:val="20"/>
                <w:color w:val="auto"/>
              </w:rPr>
            </w:pPr>
            <w:r>
              <w:rPr>
                <w:rFonts w:ascii="Arial" w:cs="Arial" w:eastAsia="Arial" w:hAnsi="Arial"/>
                <w:sz w:val="13"/>
                <w:szCs w:val="13"/>
                <w:color w:val="auto"/>
              </w:rPr>
              <w:t>7.20</w:t>
            </w:r>
          </w:p>
        </w:tc>
        <w:tc>
          <w:tcPr>
            <w:tcW w:w="920" w:type="dxa"/>
            <w:vAlign w:val="bottom"/>
            <w:gridSpan w:val="2"/>
          </w:tcPr>
          <w:p>
            <w:pPr>
              <w:jc w:val="right"/>
              <w:ind w:right="148"/>
              <w:spacing w:after="0"/>
              <w:rPr>
                <w:sz w:val="20"/>
                <w:szCs w:val="20"/>
                <w:color w:val="auto"/>
              </w:rPr>
            </w:pPr>
            <w:r>
              <w:rPr>
                <w:rFonts w:ascii="Arial" w:cs="Arial" w:eastAsia="Arial" w:hAnsi="Arial"/>
                <w:sz w:val="13"/>
                <w:szCs w:val="13"/>
                <w:color w:val="auto"/>
              </w:rPr>
              <w:t>$4.82</w:t>
            </w:r>
          </w:p>
        </w:tc>
      </w:tr>
      <w:tr>
        <w:trPr>
          <w:trHeight w:val="157"/>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6.85</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4.55</w:t>
            </w:r>
          </w:p>
        </w:tc>
      </w:tr>
      <w:tr>
        <w:trPr>
          <w:trHeight w:val="157"/>
        </w:trPr>
        <w:tc>
          <w:tcPr>
            <w:tcW w:w="8380" w:type="dxa"/>
            <w:vAlign w:val="bottom"/>
          </w:tcPr>
          <w:p>
            <w:pPr>
              <w:spacing w:after="0"/>
              <w:rPr>
                <w:sz w:val="20"/>
                <w:szCs w:val="20"/>
                <w:color w:val="auto"/>
              </w:rPr>
            </w:pPr>
            <w:r>
              <w:rPr>
                <w:rFonts w:ascii="Arial" w:cs="Arial" w:eastAsia="Arial" w:hAnsi="Arial"/>
                <w:sz w:val="13"/>
                <w:szCs w:val="13"/>
                <w:color w:val="auto"/>
              </w:rPr>
              <w:t>Third quarter</w:t>
            </w:r>
          </w:p>
        </w:tc>
        <w:tc>
          <w:tcPr>
            <w:tcW w:w="200" w:type="dxa"/>
            <w:vAlign w:val="bottom"/>
          </w:tcPr>
          <w:p>
            <w:pPr>
              <w:spacing w:after="0"/>
              <w:rPr>
                <w:sz w:val="13"/>
                <w:szCs w:val="13"/>
                <w:color w:val="auto"/>
              </w:rPr>
            </w:pPr>
          </w:p>
        </w:tc>
        <w:tc>
          <w:tcPr>
            <w:tcW w:w="480" w:type="dxa"/>
            <w:vAlign w:val="bottom"/>
          </w:tcPr>
          <w:p>
            <w:pPr>
              <w:jc w:val="right"/>
              <w:ind w:right="137"/>
              <w:spacing w:after="0"/>
              <w:rPr>
                <w:sz w:val="20"/>
                <w:szCs w:val="20"/>
                <w:color w:val="auto"/>
              </w:rPr>
            </w:pPr>
            <w:r>
              <w:rPr>
                <w:rFonts w:ascii="Arial" w:cs="Arial" w:eastAsia="Arial" w:hAnsi="Arial"/>
                <w:sz w:val="13"/>
                <w:szCs w:val="13"/>
                <w:color w:val="auto"/>
              </w:rPr>
              <w:t>6.80</w:t>
            </w:r>
          </w:p>
        </w:tc>
        <w:tc>
          <w:tcPr>
            <w:tcW w:w="920" w:type="dxa"/>
            <w:vAlign w:val="bottom"/>
            <w:gridSpan w:val="2"/>
          </w:tcPr>
          <w:p>
            <w:pPr>
              <w:jc w:val="right"/>
              <w:ind w:right="148"/>
              <w:spacing w:after="0"/>
              <w:rPr>
                <w:sz w:val="20"/>
                <w:szCs w:val="20"/>
                <w:color w:val="auto"/>
              </w:rPr>
            </w:pPr>
            <w:r>
              <w:rPr>
                <w:rFonts w:ascii="Arial" w:cs="Arial" w:eastAsia="Arial" w:hAnsi="Arial"/>
                <w:sz w:val="13"/>
                <w:szCs w:val="13"/>
                <w:color w:val="auto"/>
              </w:rPr>
              <w:t>5.12</w:t>
            </w:r>
          </w:p>
        </w:tc>
      </w:tr>
      <w:tr>
        <w:trPr>
          <w:trHeight w:val="157"/>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5.73</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4.70</w:t>
            </w:r>
          </w:p>
        </w:tc>
      </w:tr>
      <w:tr>
        <w:trPr>
          <w:trHeight w:val="157"/>
        </w:trPr>
        <w:tc>
          <w:tcPr>
            <w:tcW w:w="8380" w:type="dxa"/>
            <w:vAlign w:val="bottom"/>
          </w:tcPr>
          <w:p>
            <w:pPr>
              <w:spacing w:after="0"/>
              <w:rPr>
                <w:sz w:val="20"/>
                <w:szCs w:val="20"/>
                <w:color w:val="auto"/>
              </w:rPr>
            </w:pPr>
            <w:r>
              <w:rPr>
                <w:rFonts w:ascii="Arial" w:cs="Arial" w:eastAsia="Arial" w:hAnsi="Arial"/>
                <w:sz w:val="13"/>
                <w:szCs w:val="13"/>
                <w:b w:val="1"/>
                <w:bCs w:val="1"/>
                <w:color w:val="auto"/>
              </w:rPr>
              <w:t>Year Ended April 30, 2010</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7"/>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7.72</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$4.73</w:t>
            </w:r>
          </w:p>
        </w:tc>
      </w:tr>
      <w:tr>
        <w:trPr>
          <w:trHeight w:val="157"/>
        </w:trPr>
        <w:tc>
          <w:tcPr>
            <w:tcW w:w="8380" w:type="dxa"/>
            <w:vAlign w:val="bottom"/>
          </w:tcPr>
          <w:p>
            <w:pPr>
              <w:spacing w:after="0"/>
              <w:rPr>
                <w:sz w:val="20"/>
                <w:szCs w:val="20"/>
                <w:color w:val="auto"/>
              </w:rPr>
            </w:pPr>
            <w:r>
              <w:rPr>
                <w:rFonts w:ascii="Arial" w:cs="Arial" w:eastAsia="Arial" w:hAnsi="Arial"/>
                <w:sz w:val="13"/>
                <w:szCs w:val="13"/>
                <w:color w:val="auto"/>
              </w:rPr>
              <w:t>Second quarter</w:t>
            </w:r>
          </w:p>
        </w:tc>
        <w:tc>
          <w:tcPr>
            <w:tcW w:w="200" w:type="dxa"/>
            <w:vAlign w:val="bottom"/>
          </w:tcPr>
          <w:p>
            <w:pPr>
              <w:spacing w:after="0"/>
              <w:rPr>
                <w:sz w:val="13"/>
                <w:szCs w:val="13"/>
                <w:color w:val="auto"/>
              </w:rPr>
            </w:pPr>
          </w:p>
        </w:tc>
        <w:tc>
          <w:tcPr>
            <w:tcW w:w="480" w:type="dxa"/>
            <w:vAlign w:val="bottom"/>
          </w:tcPr>
          <w:p>
            <w:pPr>
              <w:jc w:val="right"/>
              <w:ind w:right="137"/>
              <w:spacing w:after="0"/>
              <w:rPr>
                <w:sz w:val="20"/>
                <w:szCs w:val="20"/>
                <w:color w:val="auto"/>
              </w:rPr>
            </w:pPr>
            <w:r>
              <w:rPr>
                <w:rFonts w:ascii="Arial" w:cs="Arial" w:eastAsia="Arial" w:hAnsi="Arial"/>
                <w:sz w:val="13"/>
                <w:szCs w:val="13"/>
                <w:color w:val="auto"/>
              </w:rPr>
              <w:t>9.50</w:t>
            </w:r>
          </w:p>
        </w:tc>
        <w:tc>
          <w:tcPr>
            <w:tcW w:w="920" w:type="dxa"/>
            <w:vAlign w:val="bottom"/>
            <w:gridSpan w:val="2"/>
          </w:tcPr>
          <w:p>
            <w:pPr>
              <w:jc w:val="right"/>
              <w:ind w:right="148"/>
              <w:spacing w:after="0"/>
              <w:rPr>
                <w:sz w:val="20"/>
                <w:szCs w:val="20"/>
                <w:color w:val="auto"/>
              </w:rPr>
            </w:pPr>
            <w:r>
              <w:rPr>
                <w:rFonts w:ascii="Arial" w:cs="Arial" w:eastAsia="Arial" w:hAnsi="Arial"/>
                <w:sz w:val="13"/>
                <w:szCs w:val="13"/>
                <w:color w:val="auto"/>
              </w:rPr>
              <w:t>3.81</w:t>
            </w:r>
          </w:p>
        </w:tc>
      </w:tr>
      <w:tr>
        <w:trPr>
          <w:trHeight w:val="157"/>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79"/>
              </w:rPr>
              <w:t>11.22</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6.00</w:t>
            </w:r>
          </w:p>
        </w:tc>
      </w:tr>
      <w:tr>
        <w:trPr>
          <w:trHeight w:val="165"/>
        </w:trPr>
        <w:tc>
          <w:tcPr>
            <w:tcW w:w="8380" w:type="dxa"/>
            <w:vAlign w:val="bottom"/>
          </w:tcPr>
          <w:p>
            <w:pPr>
              <w:spacing w:after="0"/>
              <w:rPr>
                <w:sz w:val="20"/>
                <w:szCs w:val="20"/>
                <w:color w:val="auto"/>
              </w:rPr>
            </w:pPr>
            <w:r>
              <w:rPr>
                <w:rFonts w:ascii="Arial" w:cs="Arial" w:eastAsia="Arial" w:hAnsi="Arial"/>
                <w:sz w:val="13"/>
                <w:szCs w:val="13"/>
                <w:color w:val="auto"/>
              </w:rPr>
              <w:t>Fourth quarter</w:t>
            </w:r>
          </w:p>
        </w:tc>
        <w:tc>
          <w:tcPr>
            <w:tcW w:w="200" w:type="dxa"/>
            <w:vAlign w:val="bottom"/>
          </w:tcPr>
          <w:p>
            <w:pPr>
              <w:spacing w:after="0"/>
              <w:rPr>
                <w:sz w:val="14"/>
                <w:szCs w:val="14"/>
                <w:color w:val="auto"/>
              </w:rPr>
            </w:pPr>
          </w:p>
        </w:tc>
        <w:tc>
          <w:tcPr>
            <w:tcW w:w="480" w:type="dxa"/>
            <w:vAlign w:val="bottom"/>
          </w:tcPr>
          <w:p>
            <w:pPr>
              <w:jc w:val="right"/>
              <w:ind w:right="137"/>
              <w:spacing w:after="0"/>
              <w:rPr>
                <w:sz w:val="20"/>
                <w:szCs w:val="20"/>
                <w:color w:val="auto"/>
              </w:rPr>
            </w:pPr>
            <w:r>
              <w:rPr>
                <w:rFonts w:ascii="Arial" w:cs="Arial" w:eastAsia="Arial" w:hAnsi="Arial"/>
                <w:sz w:val="13"/>
                <w:szCs w:val="13"/>
                <w:color w:val="auto"/>
              </w:rPr>
              <w:t>7.69</w:t>
            </w:r>
          </w:p>
        </w:tc>
        <w:tc>
          <w:tcPr>
            <w:tcW w:w="920" w:type="dxa"/>
            <w:vAlign w:val="bottom"/>
            <w:gridSpan w:val="2"/>
          </w:tcPr>
          <w:p>
            <w:pPr>
              <w:jc w:val="right"/>
              <w:ind w:right="148"/>
              <w:spacing w:after="0"/>
              <w:rPr>
                <w:sz w:val="20"/>
                <w:szCs w:val="20"/>
                <w:color w:val="auto"/>
              </w:rPr>
            </w:pPr>
            <w:r>
              <w:rPr>
                <w:rFonts w:ascii="Arial" w:cs="Arial" w:eastAsia="Arial" w:hAnsi="Arial"/>
                <w:sz w:val="13"/>
                <w:szCs w:val="13"/>
                <w:color w:val="auto"/>
              </w:rPr>
              <w:t>6.00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9" w:name="page40"/>
    <w:bookmarkEnd w:id="39"/>
    <w:p>
      <w:pPr>
        <w:ind w:right="20"/>
        <w:spacing w:after="0" w:line="276" w:lineRule="auto"/>
        <w:rPr>
          <w:sz w:val="20"/>
          <w:szCs w:val="20"/>
          <w:color w:val="auto"/>
        </w:rPr>
      </w:pPr>
      <w:r>
        <w:rPr>
          <w:rFonts w:ascii="Arial" w:cs="Arial" w:eastAsia="Arial" w:hAnsi="Arial"/>
          <w:sz w:val="13"/>
          <w:szCs w:val="13"/>
          <w:color w:val="auto"/>
        </w:rPr>
        <w:t>of factors, including future earnings, capital requirements, financial conditions, future prospects, contractual restrictions and covenants and other factors that our board of directors may deem relevant.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net proceeds to us resulting from the offering were $89.9 million. From the effective date of the registration statement through April 30, 2011, we used $7.8 million to construct demonstration PowerBuoys, $27.4 million to fund the continued development and commercialization of our PowerBuoy system, $5.4 million to expand our sales and marketing capabilities, and $1.0 million to fund the expansion of assembly, test and field service facilities. We have invested the balance of the net proceeds from the offering in marketable securities, in accordance with our investment policy. We intend to allocate the remaining $48.3 million of proceeds towards working capital and general corporate purposes, which we believe will give us needed flexibility in responding to opportunities for future growth.</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contains information about our purchases of our equity securities during February, March and April 2011.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8"/>
              </w:rPr>
              <w:t>Approximate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Total Number</w:t>
            </w:r>
          </w:p>
        </w:tc>
        <w:tc>
          <w:tcPr>
            <w:tcW w:w="3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Average</w:t>
            </w:r>
          </w:p>
        </w:tc>
        <w:tc>
          <w:tcPr>
            <w:tcW w:w="2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Dollar Value that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Shares Purchased</w:t>
            </w:r>
          </w:p>
        </w:tc>
        <w:tc>
          <w:tcPr>
            <w:tcW w:w="28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May Yet Be</w:t>
            </w:r>
          </w:p>
        </w:tc>
        <w:tc>
          <w:tcPr>
            <w:tcW w:w="0" w:type="dxa"/>
            <w:vAlign w:val="bottom"/>
          </w:tcPr>
          <w:p>
            <w:pPr>
              <w:spacing w:after="0"/>
              <w:rPr>
                <w:sz w:val="1"/>
                <w:szCs w:val="1"/>
                <w:color w:val="auto"/>
              </w:rPr>
            </w:pPr>
          </w:p>
        </w:tc>
      </w:tr>
      <w:tr>
        <w:trPr>
          <w:trHeight w:val="118"/>
        </w:trPr>
        <w:tc>
          <w:tcPr>
            <w:tcW w:w="44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87"/>
              </w:rPr>
              <w:t>of Shares</w:t>
            </w:r>
          </w:p>
        </w:tc>
        <w:tc>
          <w:tcPr>
            <w:tcW w:w="3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5"/>
              </w:rPr>
              <w:t>Price Paid</w:t>
            </w:r>
          </w:p>
        </w:tc>
        <w:tc>
          <w:tcPr>
            <w:tcW w:w="2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7"/>
              </w:rPr>
              <w:t>as Part of A</w:t>
            </w:r>
          </w:p>
        </w:tc>
        <w:tc>
          <w:tcPr>
            <w:tcW w:w="2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4"/>
              </w:rPr>
              <w:t>Purchased Under</w:t>
            </w:r>
          </w:p>
        </w:tc>
        <w:tc>
          <w:tcPr>
            <w:tcW w:w="0" w:type="dxa"/>
            <w:vAlign w:val="bottom"/>
          </w:tcPr>
          <w:p>
            <w:pPr>
              <w:spacing w:after="0"/>
              <w:rPr>
                <w:sz w:val="1"/>
                <w:szCs w:val="1"/>
                <w:color w:val="auto"/>
              </w:rPr>
            </w:pPr>
          </w:p>
        </w:tc>
      </w:tr>
      <w:tr>
        <w:trPr>
          <w:trHeight w:val="125"/>
        </w:trPr>
        <w:tc>
          <w:tcPr>
            <w:tcW w:w="4440" w:type="dxa"/>
            <w:vAlign w:val="bottom"/>
            <w:gridSpan w:val="2"/>
            <w:vMerge w:val="continue"/>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Purchased(1)</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per Share</w:t>
            </w:r>
          </w:p>
        </w:tc>
        <w:tc>
          <w:tcPr>
            <w:tcW w:w="28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Announced Plan</w:t>
            </w:r>
          </w:p>
        </w:tc>
        <w:tc>
          <w:tcPr>
            <w:tcW w:w="28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the Plan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February 1-28, 2011</w:t>
            </w:r>
          </w:p>
        </w:tc>
        <w:tc>
          <w:tcPr>
            <w:tcW w:w="1260" w:type="dxa"/>
            <w:vAlign w:val="bottom"/>
            <w:shd w:val="clear" w:color="auto" w:fill="CCEEFF"/>
          </w:tcPr>
          <w:p>
            <w:pPr>
              <w:jc w:val="right"/>
              <w:ind w:right="421"/>
              <w:spacing w:after="0"/>
              <w:rPr>
                <w:sz w:val="20"/>
                <w:szCs w:val="20"/>
                <w:color w:val="auto"/>
              </w:rPr>
            </w:pPr>
            <w:r>
              <w:rPr>
                <w:rFonts w:ascii="Arial" w:cs="Arial" w:eastAsia="Arial" w:hAnsi="Arial"/>
                <w:sz w:val="13"/>
                <w:szCs w:val="13"/>
                <w:color w:val="auto"/>
              </w:rPr>
              <w:t>1,012</w:t>
            </w:r>
          </w:p>
        </w:tc>
        <w:tc>
          <w:tcPr>
            <w:tcW w:w="1120" w:type="dxa"/>
            <w:vAlign w:val="bottom"/>
            <w:gridSpan w:val="2"/>
            <w:shd w:val="clear" w:color="auto" w:fill="CCEEFF"/>
          </w:tcPr>
          <w:p>
            <w:pPr>
              <w:jc w:val="right"/>
              <w:ind w:right="242"/>
              <w:spacing w:after="0"/>
              <w:rPr>
                <w:sz w:val="20"/>
                <w:szCs w:val="20"/>
                <w:color w:val="auto"/>
              </w:rPr>
            </w:pPr>
            <w:r>
              <w:rPr>
                <w:rFonts w:ascii="Arial" w:cs="Arial" w:eastAsia="Arial" w:hAnsi="Arial"/>
                <w:sz w:val="13"/>
                <w:szCs w:val="13"/>
                <w:color w:val="auto"/>
              </w:rPr>
              <w:t>5.37</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4440" w:type="dxa"/>
            <w:vAlign w:val="bottom"/>
            <w:gridSpan w:val="2"/>
          </w:tcPr>
          <w:p>
            <w:pPr>
              <w:spacing w:after="0"/>
              <w:rPr>
                <w:sz w:val="20"/>
                <w:szCs w:val="20"/>
                <w:color w:val="auto"/>
              </w:rPr>
            </w:pPr>
            <w:r>
              <w:rPr>
                <w:rFonts w:ascii="Arial" w:cs="Arial" w:eastAsia="Arial" w:hAnsi="Arial"/>
                <w:sz w:val="13"/>
                <w:szCs w:val="13"/>
                <w:color w:val="auto"/>
              </w:rPr>
              <w:t>March 1-31, 2011</w:t>
            </w:r>
          </w:p>
        </w:tc>
        <w:tc>
          <w:tcPr>
            <w:tcW w:w="1260" w:type="dxa"/>
            <w:vAlign w:val="bottom"/>
          </w:tcPr>
          <w:p>
            <w:pPr>
              <w:jc w:val="right"/>
              <w:ind w:right="421"/>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20" w:type="dxa"/>
            <w:vAlign w:val="bottom"/>
          </w:tcPr>
          <w:p>
            <w:pPr>
              <w:jc w:val="right"/>
              <w:ind w:right="242"/>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4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1-30, 2011</w:t>
            </w:r>
          </w:p>
        </w:tc>
        <w:tc>
          <w:tcPr>
            <w:tcW w:w="1260" w:type="dxa"/>
            <w:vAlign w:val="bottom"/>
            <w:shd w:val="clear" w:color="auto" w:fill="CCEEFF"/>
          </w:tcPr>
          <w:p>
            <w:pPr>
              <w:jc w:val="right"/>
              <w:ind w:right="421"/>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42"/>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940" w:right="1740" w:hanging="4879"/>
        <w:spacing w:after="0" w:line="734" w:lineRule="auto"/>
        <w:tabs>
          <w:tab w:leader="none" w:pos="321"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shares delivered back to the Company by employees to pay taxes related to the vesting of restricted shares, at an average of $5.37 per share.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-97155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spacing w:after="0"/>
        <w:tabs>
          <w:tab w:leader="none" w:pos="9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jc w:val="both"/>
        <w:ind w:right="40" w:firstLine="399"/>
        <w:spacing w:after="0" w:line="260" w:lineRule="auto"/>
        <w:rPr>
          <w:sz w:val="20"/>
          <w:szCs w:val="20"/>
          <w:color w:val="auto"/>
        </w:rPr>
      </w:pPr>
      <w:r>
        <w:rPr>
          <w:rFonts w:ascii="Arial" w:cs="Arial" w:eastAsia="Arial" w:hAnsi="Arial"/>
          <w:sz w:val="13"/>
          <w:szCs w:val="13"/>
          <w:color w:val="auto"/>
        </w:rPr>
        <w:t>You should read the following selected consolidated financial data in conjunction with our consolidated financial statements and the related notes appearing at the end of this Annual Report and the “Management’s Discussion and Analysis of Financial Condition and Results of Operations” section of this Annual Report. The selected consolidated financial data have been derived from our audited consolidated financial statements which are included elsewhere in this Annual Report, or from audited consolidated financial statements not included in this Annual Report.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0"/>
                <w:szCs w:val="10"/>
                <w:b w:val="1"/>
                <w:bCs w:val="1"/>
                <w:color w:val="auto"/>
              </w:rPr>
              <w:t>Fiscal Years Ended April 30,</w:t>
            </w: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02"/>
              <w:spacing w:after="0" w:line="98" w:lineRule="exact"/>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285"/>
              <w:spacing w:after="0" w:line="98" w:lineRule="exact"/>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281"/>
              <w:spacing w:after="0" w:line="98" w:lineRule="exact"/>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82"/>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Revenues</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6,691,082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5,101,311</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4,049,445</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4,772,017</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2,531,315</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6,255,437</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4,298,955</w:t>
            </w:r>
          </w:p>
        </w:tc>
        <w:tc>
          <w:tcPr>
            <w:tcW w:w="2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4,840,403</w:t>
            </w:r>
          </w:p>
        </w:tc>
        <w:tc>
          <w:tcPr>
            <w:tcW w:w="28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7,960,042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3,983,742</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2"/>
                <w:szCs w:val="12"/>
                <w:color w:val="auto"/>
              </w:rPr>
              <w:t>Gross profit (loss)</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435,645</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802,356</w:t>
            </w:r>
          </w:p>
        </w:tc>
        <w:tc>
          <w:tcPr>
            <w:tcW w:w="2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color w:val="auto"/>
              </w:rPr>
              <w:t>(790,958)</w:t>
            </w:r>
          </w:p>
        </w:tc>
        <w:tc>
          <w:tcPr>
            <w:tcW w:w="280" w:type="dxa"/>
            <w:vAlign w:val="bottom"/>
          </w:tcPr>
          <w:p>
            <w:pPr>
              <w:spacing w:after="0"/>
              <w:rPr>
                <w:sz w:val="12"/>
                <w:szCs w:val="12"/>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2"/>
                <w:szCs w:val="12"/>
                <w:color w:val="auto"/>
              </w:rPr>
              <w:t>(3,188,025)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(1,452,427)</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Product development costs</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13,319,110</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13,001,550</w:t>
            </w:r>
          </w:p>
        </w:tc>
        <w:tc>
          <w:tcPr>
            <w:tcW w:w="24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8,372,244</w:t>
            </w:r>
          </w:p>
        </w:tc>
        <w:tc>
          <w:tcPr>
            <w:tcW w:w="280" w:type="dxa"/>
            <w:vAlign w:val="bottom"/>
          </w:tcPr>
          <w:p>
            <w:pPr>
              <w:spacing w:after="0"/>
              <w:rPr>
                <w:sz w:val="12"/>
                <w:szCs w:val="12"/>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8,255,123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6,219,893</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costs</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8,399,325</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9,063,482</w:t>
            </w:r>
          </w:p>
        </w:tc>
        <w:tc>
          <w:tcPr>
            <w:tcW w:w="2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9,529,071</w:t>
            </w:r>
          </w:p>
        </w:tc>
        <w:tc>
          <w:tcPr>
            <w:tcW w:w="28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7,732,577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4,893,580</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20"/>
              <w:spacing w:after="0"/>
              <w:rPr>
                <w:sz w:val="20"/>
                <w:szCs w:val="20"/>
                <w:color w:val="auto"/>
              </w:rPr>
            </w:pPr>
            <w:r>
              <w:rPr>
                <w:rFonts w:ascii="Arial" w:cs="Arial" w:eastAsia="Arial" w:hAnsi="Arial"/>
                <w:sz w:val="12"/>
                <w:szCs w:val="12"/>
                <w:color w:val="auto"/>
              </w:rPr>
              <w:t>Total operating expenses</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21,718,435</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22,065,032</w:t>
            </w:r>
          </w:p>
        </w:tc>
        <w:tc>
          <w:tcPr>
            <w:tcW w:w="24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17,901,315</w:t>
            </w:r>
          </w:p>
        </w:tc>
        <w:tc>
          <w:tcPr>
            <w:tcW w:w="280" w:type="dxa"/>
            <w:vAlign w:val="bottom"/>
          </w:tcPr>
          <w:p>
            <w:pPr>
              <w:spacing w:after="0"/>
              <w:rPr>
                <w:sz w:val="12"/>
                <w:szCs w:val="12"/>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w w:val="99"/>
              </w:rPr>
              <w:t>15,987,700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11,113,473</w:t>
            </w: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Operating loss</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(21,282,790)</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(21,262,676)</w:t>
            </w:r>
          </w:p>
        </w:tc>
        <w:tc>
          <w:tcPr>
            <w:tcW w:w="2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9"/>
              </w:rPr>
              <w:t>(18,692,273)</w:t>
            </w:r>
          </w:p>
        </w:tc>
        <w:tc>
          <w:tcPr>
            <w:tcW w:w="28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w w:val="93"/>
              </w:rPr>
              <w:t>(19,175,725)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(12,565,900)</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Interest income, net</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689,276</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1,032,484</w:t>
            </w:r>
          </w:p>
        </w:tc>
        <w:tc>
          <w:tcPr>
            <w:tcW w:w="24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1,672,350</w:t>
            </w:r>
          </w:p>
        </w:tc>
        <w:tc>
          <w:tcPr>
            <w:tcW w:w="280" w:type="dxa"/>
            <w:vAlign w:val="bottom"/>
          </w:tcPr>
          <w:p>
            <w:pPr>
              <w:spacing w:after="0"/>
              <w:rPr>
                <w:sz w:val="12"/>
                <w:szCs w:val="12"/>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4,434,844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1,389,702</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Other income</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557,540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13,906</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Foreign exchange (loss) gain</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(229,415)</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2"/>
                <w:szCs w:val="12"/>
                <w:color w:val="auto"/>
              </w:rPr>
              <w:t>540,644</w:t>
            </w:r>
          </w:p>
        </w:tc>
        <w:tc>
          <w:tcPr>
            <w:tcW w:w="2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color w:val="auto"/>
              </w:rPr>
              <w:t>(1,295,227)</w:t>
            </w:r>
          </w:p>
        </w:tc>
        <w:tc>
          <w:tcPr>
            <w:tcW w:w="280" w:type="dxa"/>
            <w:vAlign w:val="bottom"/>
          </w:tcPr>
          <w:p>
            <w:pPr>
              <w:spacing w:after="0"/>
              <w:rPr>
                <w:sz w:val="12"/>
                <w:szCs w:val="12"/>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2"/>
                <w:szCs w:val="12"/>
                <w:color w:val="auto"/>
              </w:rPr>
              <w:t>84,158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1,523,527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(20,822,929)</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(19,132,008)</w:t>
            </w:r>
          </w:p>
        </w:tc>
        <w:tc>
          <w:tcPr>
            <w:tcW w:w="2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9"/>
              </w:rPr>
              <w:t>(18,315,150)</w:t>
            </w:r>
          </w:p>
        </w:tc>
        <w:tc>
          <w:tcPr>
            <w:tcW w:w="28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w w:val="93"/>
              </w:rPr>
              <w:t>(14,656,723)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(9,638,765)</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Income tax benefit</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364,105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(20,458,824)</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(19,132,008)</w:t>
            </w:r>
          </w:p>
        </w:tc>
        <w:tc>
          <w:tcPr>
            <w:tcW w:w="2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9"/>
              </w:rPr>
              <w:t>(18,315,150)</w:t>
            </w:r>
          </w:p>
        </w:tc>
        <w:tc>
          <w:tcPr>
            <w:tcW w:w="28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w w:val="93"/>
              </w:rPr>
              <w:t>(14,656,723)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(9,638,765)</w:t>
            </w:r>
          </w:p>
        </w:tc>
        <w:tc>
          <w:tcPr>
            <w:tcW w:w="0" w:type="dxa"/>
            <w:vAlign w:val="bottom"/>
          </w:tcPr>
          <w:p>
            <w:pPr>
              <w:spacing w:after="0"/>
              <w:rPr>
                <w:sz w:val="1"/>
                <w:szCs w:val="1"/>
                <w:color w:val="auto"/>
              </w:rPr>
            </w:pPr>
          </w:p>
        </w:tc>
      </w:tr>
      <w:tr>
        <w:trPr>
          <w:trHeight w:val="140"/>
        </w:trPr>
        <w:tc>
          <w:tcPr>
            <w:tcW w:w="4600" w:type="dxa"/>
            <w:vAlign w:val="bottom"/>
            <w:gridSpan w:val="3"/>
          </w:tcPr>
          <w:p>
            <w:pPr>
              <w:spacing w:after="0"/>
              <w:rPr>
                <w:sz w:val="20"/>
                <w:szCs w:val="20"/>
                <w:color w:val="auto"/>
              </w:rPr>
            </w:pPr>
            <w:r>
              <w:rPr>
                <w:rFonts w:ascii="Arial" w:cs="Arial" w:eastAsia="Arial" w:hAnsi="Arial"/>
                <w:sz w:val="12"/>
                <w:szCs w:val="12"/>
                <w:color w:val="auto"/>
              </w:rPr>
              <w:t>Less: Net loss (income) attributable to the noncontrolling interest in Ocean Power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60" w:type="dxa"/>
            <w:vAlign w:val="bottom"/>
          </w:tcPr>
          <w:p>
            <w:pPr>
              <w:ind w:left="120"/>
              <w:spacing w:after="0"/>
              <w:rPr>
                <w:sz w:val="20"/>
                <w:szCs w:val="20"/>
                <w:color w:val="auto"/>
              </w:rPr>
            </w:pPr>
            <w:r>
              <w:rPr>
                <w:rFonts w:ascii="Arial" w:cs="Arial" w:eastAsia="Arial" w:hAnsi="Arial"/>
                <w:sz w:val="12"/>
                <w:szCs w:val="12"/>
                <w:color w:val="auto"/>
              </w:rPr>
              <w:t>Technologies (Australasia) Pty Ltd.</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22,950</w:t>
            </w:r>
          </w:p>
        </w:tc>
        <w:tc>
          <w:tcPr>
            <w:tcW w:w="100" w:type="dxa"/>
            <w:vAlign w:val="bottom"/>
          </w:tcPr>
          <w:p>
            <w:pPr>
              <w:spacing w:after="0"/>
              <w:rPr>
                <w:sz w:val="13"/>
                <w:szCs w:val="1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2"/>
                <w:szCs w:val="12"/>
                <w:color w:val="auto"/>
              </w:rPr>
              <w:t>(38,299)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Ocean Power Technologies, Inc.</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(20,435,874)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(19,170,307)</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9"/>
              </w:rPr>
              <w:t>(18,315,150)</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w w:val="93"/>
              </w:rPr>
              <w:t>(14,656,723)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(9,638,765)</w:t>
            </w:r>
          </w:p>
        </w:tc>
        <w:tc>
          <w:tcPr>
            <w:tcW w:w="0" w:type="dxa"/>
            <w:vAlign w:val="bottom"/>
          </w:tcPr>
          <w:p>
            <w:pPr>
              <w:spacing w:after="0"/>
              <w:rPr>
                <w:sz w:val="1"/>
                <w:szCs w:val="1"/>
                <w:color w:val="auto"/>
              </w:rPr>
            </w:pPr>
          </w:p>
        </w:tc>
      </w:tr>
      <w:tr>
        <w:trPr>
          <w:trHeight w:val="29"/>
        </w:trPr>
        <w:tc>
          <w:tcPr>
            <w:tcW w:w="3260" w:type="dxa"/>
            <w:vAlign w:val="bottom"/>
            <w:vMerge w:val="restart"/>
          </w:tcPr>
          <w:p>
            <w:pPr>
              <w:spacing w:after="0"/>
              <w:rPr>
                <w:sz w:val="20"/>
                <w:szCs w:val="20"/>
                <w:color w:val="auto"/>
              </w:rPr>
            </w:pPr>
            <w:r>
              <w:rPr>
                <w:rFonts w:ascii="Arial" w:cs="Arial" w:eastAsia="Arial" w:hAnsi="Arial"/>
                <w:sz w:val="12"/>
                <w:szCs w:val="12"/>
                <w:color w:val="auto"/>
              </w:rPr>
              <w:t>Basic and diluted net loss per share</w:t>
            </w: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26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(1.99)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3"/>
          </w:tcPr>
          <w:p>
            <w:pPr>
              <w:jc w:val="right"/>
              <w:ind w:right="140"/>
              <w:spacing w:after="0"/>
              <w:rPr>
                <w:sz w:val="20"/>
                <w:szCs w:val="20"/>
                <w:color w:val="auto"/>
              </w:rPr>
            </w:pPr>
            <w:r>
              <w:rPr>
                <w:rFonts w:ascii="Arial" w:cs="Arial" w:eastAsia="Arial" w:hAnsi="Arial"/>
                <w:sz w:val="12"/>
                <w:szCs w:val="12"/>
                <w:color w:val="auto"/>
              </w:rPr>
              <w:t>(1.88)</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color w:val="auto"/>
              </w:rPr>
              <w:t>(1.79)</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720" w:type="dxa"/>
            <w:vAlign w:val="bottom"/>
            <w:gridSpan w:val="4"/>
          </w:tcPr>
          <w:p>
            <w:pPr>
              <w:jc w:val="right"/>
              <w:ind w:right="60"/>
              <w:spacing w:after="0"/>
              <w:rPr>
                <w:sz w:val="20"/>
                <w:szCs w:val="20"/>
                <w:color w:val="auto"/>
              </w:rPr>
            </w:pPr>
            <w:r>
              <w:rPr>
                <w:rFonts w:ascii="Arial" w:cs="Arial" w:eastAsia="Arial" w:hAnsi="Arial"/>
                <w:sz w:val="12"/>
                <w:szCs w:val="12"/>
                <w:color w:val="auto"/>
              </w:rPr>
              <w:t>(1.44)</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35"/>
        </w:trPr>
        <w:tc>
          <w:tcPr>
            <w:tcW w:w="3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shares outstanding</w:t>
            </w:r>
          </w:p>
        </w:tc>
        <w:tc>
          <w:tcPr>
            <w:tcW w:w="1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10,246,921</w:t>
            </w: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10,217,003</w:t>
            </w:r>
          </w:p>
        </w:tc>
        <w:tc>
          <w:tcPr>
            <w:tcW w:w="2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10,210,354</w:t>
            </w:r>
          </w:p>
        </w:tc>
        <w:tc>
          <w:tcPr>
            <w:tcW w:w="28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w w:val="99"/>
              </w:rPr>
              <w:t>10,200,729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5,260,794</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2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0"/>
                <w:szCs w:val="10"/>
                <w:b w:val="1"/>
                <w:bCs w:val="1"/>
                <w:color w:val="auto"/>
              </w:rPr>
              <w:t>As of April 30,</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1320" w:type="dxa"/>
            <w:vAlign w:val="bottom"/>
          </w:tcPr>
          <w:p>
            <w:pPr>
              <w:jc w:val="right"/>
              <w:ind w:right="502"/>
              <w:spacing w:after="0" w:line="98" w:lineRule="exact"/>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right"/>
              <w:ind w:right="122"/>
              <w:spacing w:after="0" w:line="98" w:lineRule="exact"/>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3"/>
          </w:tcPr>
          <w:p>
            <w:pPr>
              <w:jc w:val="right"/>
              <w:ind w:right="20"/>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ind w:right="402"/>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Balance Sheet Data:</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1320" w:type="dxa"/>
            <w:vAlign w:val="bottom"/>
          </w:tcPr>
          <w:p>
            <w:pPr>
              <w:jc w:val="right"/>
              <w:ind w:right="282"/>
              <w:spacing w:after="0"/>
              <w:rPr>
                <w:sz w:val="20"/>
                <w:szCs w:val="20"/>
                <w:color w:val="auto"/>
              </w:rPr>
            </w:pPr>
            <w:r>
              <w:rPr>
                <w:rFonts w:ascii="Arial" w:cs="Arial" w:eastAsia="Arial" w:hAnsi="Arial"/>
                <w:sz w:val="12"/>
                <w:szCs w:val="12"/>
                <w:color w:val="auto"/>
              </w:rPr>
              <w:t>$  30,394,730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$ 36,772,598</w:t>
            </w:r>
          </w:p>
        </w:tc>
        <w:tc>
          <w:tcPr>
            <w:tcW w:w="100" w:type="dxa"/>
            <w:vAlign w:val="bottom"/>
          </w:tcPr>
          <w:p>
            <w:pPr>
              <w:spacing w:after="0"/>
              <w:rPr>
                <w:sz w:val="12"/>
                <w:szCs w:val="1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2"/>
                <w:szCs w:val="12"/>
                <w:color w:val="auto"/>
              </w:rPr>
              <w:t>$ 53,117,566</w:t>
            </w:r>
          </w:p>
        </w:tc>
        <w:tc>
          <w:tcPr>
            <w:tcW w:w="240" w:type="dxa"/>
            <w:vAlign w:val="bottom"/>
          </w:tcPr>
          <w:p>
            <w:pPr>
              <w:spacing w:after="0"/>
              <w:rPr>
                <w:sz w:val="12"/>
                <w:szCs w:val="12"/>
                <w:color w:val="auto"/>
              </w:rPr>
            </w:pPr>
          </w:p>
        </w:tc>
        <w:tc>
          <w:tcPr>
            <w:tcW w:w="1140" w:type="dxa"/>
            <w:vAlign w:val="bottom"/>
            <w:gridSpan w:val="4"/>
          </w:tcPr>
          <w:p>
            <w:pPr>
              <w:jc w:val="right"/>
              <w:ind w:right="53"/>
              <w:spacing w:after="0"/>
              <w:rPr>
                <w:sz w:val="20"/>
                <w:szCs w:val="20"/>
                <w:color w:val="auto"/>
              </w:rPr>
            </w:pPr>
            <w:r>
              <w:rPr>
                <w:rFonts w:ascii="Arial" w:cs="Arial" w:eastAsia="Arial" w:hAnsi="Arial"/>
                <w:sz w:val="12"/>
                <w:szCs w:val="12"/>
                <w:color w:val="auto"/>
              </w:rPr>
              <w:t>$ 88,836,304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82"/>
              <w:spacing w:after="0"/>
              <w:rPr>
                <w:sz w:val="20"/>
                <w:szCs w:val="20"/>
                <w:color w:val="auto"/>
              </w:rPr>
            </w:pPr>
            <w:r>
              <w:rPr>
                <w:rFonts w:ascii="Arial" w:cs="Arial" w:eastAsia="Arial" w:hAnsi="Arial"/>
                <w:sz w:val="12"/>
                <w:szCs w:val="12"/>
                <w:color w:val="auto"/>
                <w:w w:val="93"/>
              </w:rPr>
              <w:t>$115,895,619(1)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w:t>
            </w:r>
          </w:p>
        </w:tc>
        <w:tc>
          <w:tcPr>
            <w:tcW w:w="13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26,957,108</w:t>
            </w: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32,569,351</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51,129,985</w:t>
            </w:r>
          </w:p>
        </w:tc>
        <w:tc>
          <w:tcPr>
            <w:tcW w:w="24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53"/>
              <w:spacing w:after="0"/>
              <w:rPr>
                <w:sz w:val="20"/>
                <w:szCs w:val="20"/>
                <w:color w:val="auto"/>
              </w:rPr>
            </w:pPr>
            <w:r>
              <w:rPr>
                <w:rFonts w:ascii="Arial" w:cs="Arial" w:eastAsia="Arial" w:hAnsi="Arial"/>
                <w:sz w:val="12"/>
                <w:szCs w:val="12"/>
                <w:color w:val="auto"/>
              </w:rPr>
              <w:t>85,870,307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2"/>
              <w:spacing w:after="0"/>
              <w:rPr>
                <w:sz w:val="20"/>
                <w:szCs w:val="20"/>
                <w:color w:val="auto"/>
              </w:rPr>
            </w:pPr>
            <w:r>
              <w:rPr>
                <w:rFonts w:ascii="Arial" w:cs="Arial" w:eastAsia="Arial" w:hAnsi="Arial"/>
                <w:sz w:val="12"/>
                <w:szCs w:val="12"/>
                <w:color w:val="auto"/>
              </w:rPr>
              <w:t>111,187,195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Long-term investments</w:t>
            </w:r>
          </w:p>
        </w:tc>
        <w:tc>
          <w:tcPr>
            <w:tcW w:w="1320" w:type="dxa"/>
            <w:vAlign w:val="bottom"/>
          </w:tcPr>
          <w:p>
            <w:pPr>
              <w:jc w:val="right"/>
              <w:ind w:right="282"/>
              <w:spacing w:after="0"/>
              <w:rPr>
                <w:sz w:val="20"/>
                <w:szCs w:val="20"/>
                <w:color w:val="auto"/>
              </w:rPr>
            </w:pPr>
            <w:r>
              <w:rPr>
                <w:rFonts w:ascii="Arial" w:cs="Arial" w:eastAsia="Arial" w:hAnsi="Arial"/>
                <w:sz w:val="12"/>
                <w:szCs w:val="12"/>
                <w:color w:val="auto"/>
              </w:rPr>
              <w:t>16,323,016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28,865,046</w:t>
            </w:r>
          </w:p>
        </w:tc>
        <w:tc>
          <w:tcPr>
            <w:tcW w:w="100" w:type="dxa"/>
            <w:vAlign w:val="bottom"/>
          </w:tcPr>
          <w:p>
            <w:pPr>
              <w:spacing w:after="0"/>
              <w:rPr>
                <w:sz w:val="12"/>
                <w:szCs w:val="1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2"/>
                <w:szCs w:val="12"/>
                <w:color w:val="auto"/>
              </w:rPr>
              <w:t>28,619,528</w:t>
            </w:r>
          </w:p>
        </w:tc>
        <w:tc>
          <w:tcPr>
            <w:tcW w:w="240" w:type="dxa"/>
            <w:vAlign w:val="bottom"/>
          </w:tcPr>
          <w:p>
            <w:pPr>
              <w:spacing w:after="0"/>
              <w:rPr>
                <w:sz w:val="12"/>
                <w:szCs w:val="12"/>
                <w:color w:val="auto"/>
              </w:rPr>
            </w:pPr>
          </w:p>
        </w:tc>
        <w:tc>
          <w:tcPr>
            <w:tcW w:w="1140" w:type="dxa"/>
            <w:vAlign w:val="bottom"/>
            <w:gridSpan w:val="4"/>
          </w:tcPr>
          <w:p>
            <w:pPr>
              <w:jc w:val="right"/>
              <w:ind w:right="53"/>
              <w:spacing w:after="0"/>
              <w:rPr>
                <w:sz w:val="20"/>
                <w:szCs w:val="20"/>
                <w:color w:val="auto"/>
              </w:rPr>
            </w:pPr>
            <w:r>
              <w:rPr>
                <w:rFonts w:ascii="Arial" w:cs="Arial" w:eastAsia="Arial" w:hAnsi="Arial"/>
                <w:sz w:val="12"/>
                <w:szCs w:val="12"/>
                <w:color w:val="auto"/>
              </w:rPr>
              <w:t>12,233,437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3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53,552,578</w:t>
            </w: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72,978,193</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88,793,906</w:t>
            </w:r>
          </w:p>
        </w:tc>
        <w:tc>
          <w:tcPr>
            <w:tcW w:w="24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53"/>
              <w:spacing w:after="0"/>
              <w:rPr>
                <w:sz w:val="20"/>
                <w:szCs w:val="20"/>
                <w:color w:val="auto"/>
              </w:rPr>
            </w:pPr>
            <w:r>
              <w:rPr>
                <w:rFonts w:ascii="Arial" w:cs="Arial" w:eastAsia="Arial" w:hAnsi="Arial"/>
                <w:sz w:val="12"/>
                <w:szCs w:val="12"/>
                <w:color w:val="auto"/>
              </w:rPr>
              <w:t>107,550,965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2"/>
              <w:spacing w:after="0"/>
              <w:rPr>
                <w:sz w:val="20"/>
                <w:szCs w:val="20"/>
                <w:color w:val="auto"/>
              </w:rPr>
            </w:pPr>
            <w:r>
              <w:rPr>
                <w:rFonts w:ascii="Arial" w:cs="Arial" w:eastAsia="Arial" w:hAnsi="Arial"/>
                <w:sz w:val="12"/>
                <w:szCs w:val="12"/>
                <w:color w:val="auto"/>
              </w:rPr>
              <w:t>119,711,546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1320" w:type="dxa"/>
            <w:vAlign w:val="bottom"/>
          </w:tcPr>
          <w:p>
            <w:pPr>
              <w:jc w:val="right"/>
              <w:ind w:right="282"/>
              <w:spacing w:after="0"/>
              <w:rPr>
                <w:sz w:val="20"/>
                <w:szCs w:val="20"/>
                <w:color w:val="auto"/>
              </w:rPr>
            </w:pPr>
            <w:r>
              <w:rPr>
                <w:rFonts w:ascii="Arial" w:cs="Arial" w:eastAsia="Arial" w:hAnsi="Arial"/>
                <w:sz w:val="12"/>
                <w:szCs w:val="12"/>
                <w:color w:val="auto"/>
              </w:rPr>
              <w:t>450,000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2"/>
                <w:szCs w:val="1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2"/>
                <w:szCs w:val="12"/>
                <w:color w:val="auto"/>
              </w:rPr>
              <w:t>345,386</w:t>
            </w:r>
          </w:p>
        </w:tc>
        <w:tc>
          <w:tcPr>
            <w:tcW w:w="240" w:type="dxa"/>
            <w:vAlign w:val="bottom"/>
          </w:tcPr>
          <w:p>
            <w:pPr>
              <w:spacing w:after="0"/>
              <w:rPr>
                <w:sz w:val="12"/>
                <w:szCs w:val="12"/>
                <w:color w:val="auto"/>
              </w:rPr>
            </w:pPr>
          </w:p>
        </w:tc>
        <w:tc>
          <w:tcPr>
            <w:tcW w:w="1140" w:type="dxa"/>
            <w:vAlign w:val="bottom"/>
            <w:gridSpan w:val="4"/>
          </w:tcPr>
          <w:p>
            <w:pPr>
              <w:jc w:val="right"/>
              <w:ind w:right="53"/>
              <w:spacing w:after="0"/>
              <w:rPr>
                <w:sz w:val="20"/>
                <w:szCs w:val="20"/>
                <w:color w:val="auto"/>
              </w:rPr>
            </w:pPr>
            <w:r>
              <w:rPr>
                <w:rFonts w:ascii="Arial" w:cs="Arial" w:eastAsia="Arial" w:hAnsi="Arial"/>
                <w:sz w:val="12"/>
                <w:szCs w:val="12"/>
                <w:color w:val="auto"/>
              </w:rPr>
              <w:t>188,784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22"/>
              <w:spacing w:after="0"/>
              <w:rPr>
                <w:sz w:val="20"/>
                <w:szCs w:val="20"/>
                <w:color w:val="auto"/>
              </w:rPr>
            </w:pPr>
            <w:r>
              <w:rPr>
                <w:rFonts w:ascii="Arial" w:cs="Arial" w:eastAsia="Arial" w:hAnsi="Arial"/>
                <w:sz w:val="12"/>
                <w:szCs w:val="12"/>
                <w:color w:val="auto"/>
              </w:rPr>
              <w:t>231,585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13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(110,848,972)</w:t>
            </w:r>
          </w:p>
        </w:tc>
        <w:tc>
          <w:tcPr>
            <w:tcW w:w="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(90,413,098)</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(71,242,791)</w:t>
            </w:r>
          </w:p>
        </w:tc>
        <w:tc>
          <w:tcPr>
            <w:tcW w:w="24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13"/>
              <w:spacing w:after="0"/>
              <w:rPr>
                <w:sz w:val="20"/>
                <w:szCs w:val="20"/>
                <w:color w:val="auto"/>
              </w:rPr>
            </w:pPr>
            <w:r>
              <w:rPr>
                <w:rFonts w:ascii="Arial" w:cs="Arial" w:eastAsia="Arial" w:hAnsi="Arial"/>
                <w:sz w:val="12"/>
                <w:szCs w:val="12"/>
                <w:color w:val="auto"/>
              </w:rPr>
              <w:t>(52,927,641)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2"/>
              <w:spacing w:after="0"/>
              <w:rPr>
                <w:sz w:val="20"/>
                <w:szCs w:val="20"/>
                <w:color w:val="auto"/>
              </w:rPr>
            </w:pPr>
            <w:r>
              <w:rPr>
                <w:rFonts w:ascii="Arial" w:cs="Arial" w:eastAsia="Arial" w:hAnsi="Arial"/>
                <w:sz w:val="12"/>
                <w:szCs w:val="12"/>
                <w:color w:val="auto"/>
              </w:rPr>
              <w:t>(38,270,918)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20"/>
                <w:szCs w:val="20"/>
                <w:color w:val="auto"/>
              </w:rPr>
            </w:pPr>
            <w:r>
              <w:rPr>
                <w:rFonts w:ascii="Arial" w:cs="Arial" w:eastAsia="Arial" w:hAnsi="Arial"/>
                <w:sz w:val="12"/>
                <w:szCs w:val="12"/>
                <w:color w:val="auto"/>
              </w:rPr>
              <w:t>Total Ocean Power Technologies, Inc. stockholders’ equity</w:t>
            </w:r>
          </w:p>
        </w:tc>
        <w:tc>
          <w:tcPr>
            <w:tcW w:w="1320" w:type="dxa"/>
            <w:vAlign w:val="bottom"/>
          </w:tcPr>
          <w:p>
            <w:pPr>
              <w:jc w:val="right"/>
              <w:ind w:right="282"/>
              <w:spacing w:after="0"/>
              <w:rPr>
                <w:sz w:val="20"/>
                <w:szCs w:val="20"/>
                <w:color w:val="auto"/>
              </w:rPr>
            </w:pPr>
            <w:r>
              <w:rPr>
                <w:rFonts w:ascii="Arial" w:cs="Arial" w:eastAsia="Arial" w:hAnsi="Arial"/>
                <w:sz w:val="12"/>
                <w:szCs w:val="12"/>
                <w:color w:val="auto"/>
              </w:rPr>
              <w:t>46,469,550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64,814,200</w:t>
            </w:r>
          </w:p>
        </w:tc>
        <w:tc>
          <w:tcPr>
            <w:tcW w:w="100" w:type="dxa"/>
            <w:vAlign w:val="bottom"/>
          </w:tcPr>
          <w:p>
            <w:pPr>
              <w:spacing w:after="0"/>
              <w:rPr>
                <w:sz w:val="12"/>
                <w:szCs w:val="1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2"/>
                <w:szCs w:val="12"/>
                <w:color w:val="auto"/>
              </w:rPr>
              <w:t>82,783,027</w:t>
            </w:r>
          </w:p>
        </w:tc>
        <w:tc>
          <w:tcPr>
            <w:tcW w:w="240" w:type="dxa"/>
            <w:vAlign w:val="bottom"/>
          </w:tcPr>
          <w:p>
            <w:pPr>
              <w:spacing w:after="0"/>
              <w:rPr>
                <w:sz w:val="12"/>
                <w:szCs w:val="12"/>
                <w:color w:val="auto"/>
              </w:rPr>
            </w:pPr>
          </w:p>
        </w:tc>
        <w:tc>
          <w:tcPr>
            <w:tcW w:w="1140" w:type="dxa"/>
            <w:vAlign w:val="bottom"/>
            <w:gridSpan w:val="4"/>
          </w:tcPr>
          <w:p>
            <w:pPr>
              <w:jc w:val="right"/>
              <w:ind w:right="53"/>
              <w:spacing w:after="0"/>
              <w:rPr>
                <w:sz w:val="20"/>
                <w:szCs w:val="20"/>
                <w:color w:val="auto"/>
              </w:rPr>
            </w:pPr>
            <w:r>
              <w:rPr>
                <w:rFonts w:ascii="Arial" w:cs="Arial" w:eastAsia="Arial" w:hAnsi="Arial"/>
                <w:sz w:val="12"/>
                <w:szCs w:val="12"/>
                <w:color w:val="auto"/>
              </w:rPr>
              <w:t>100,098,609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22"/>
              <w:spacing w:after="0"/>
              <w:rPr>
                <w:sz w:val="20"/>
                <w:szCs w:val="20"/>
                <w:color w:val="auto"/>
              </w:rPr>
            </w:pPr>
            <w:r>
              <w:rPr>
                <w:rFonts w:ascii="Arial" w:cs="Arial" w:eastAsia="Arial" w:hAnsi="Arial"/>
                <w:sz w:val="12"/>
                <w:szCs w:val="12"/>
                <w:color w:val="auto"/>
              </w:rPr>
              <w:t>112,541,209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8235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7" w:lineRule="exact"/>
        <w:rPr>
          <w:sz w:val="20"/>
          <w:szCs w:val="20"/>
          <w:color w:val="auto"/>
        </w:rPr>
      </w:pPr>
    </w:p>
    <w:p>
      <w:pPr>
        <w:ind w:left="4940" w:right="2980" w:hanging="4879"/>
        <w:spacing w:after="0" w:line="734" w:lineRule="auto"/>
        <w:tabs>
          <w:tab w:leader="none" w:pos="321"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April 30, 2007, we completed our initial public offering in the United States resulting in net proceeds to us of $89.9 million.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-97155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41" w:name="page42"/>
    <w:bookmarkEnd w:id="41"/>
    <w:p>
      <w:pPr>
        <w:spacing w:after="0"/>
        <w:tabs>
          <w:tab w:leader="none" w:pos="9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180" w:firstLine="399"/>
        <w:spacing w:after="0" w:line="258"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98" w:lineRule="exact"/>
        <w:rPr>
          <w:sz w:val="20"/>
          <w:szCs w:val="20"/>
          <w:color w:val="auto"/>
        </w:rPr>
      </w:pPr>
    </w:p>
    <w:p>
      <w:pPr>
        <w:ind w:right="60" w:firstLine="399"/>
        <w:spacing w:after="0" w:line="259" w:lineRule="auto"/>
        <w:rPr>
          <w:sz w:val="20"/>
          <w:szCs w:val="20"/>
          <w:color w:val="auto"/>
        </w:rPr>
      </w:pPr>
      <w:r>
        <w:rPr>
          <w:rFonts w:ascii="Arial" w:cs="Arial" w:eastAsia="Arial" w:hAnsi="Arial"/>
          <w:sz w:val="13"/>
          <w:szCs w:val="13"/>
          <w:color w:val="auto"/>
        </w:rPr>
        <w:t xml:space="preserve">We develop and are commercializing proprietary systems that generate electricity by harnessing the renewable energy of ocean waves. Our PowerBuoy </w:t>
      </w:r>
      <w:r>
        <w:rPr>
          <w:rFonts w:ascii="Arial" w:cs="Arial" w:eastAsia="Arial" w:hAnsi="Arial"/>
          <w:sz w:val="11"/>
          <w:szCs w:val="11"/>
          <w:color w:val="auto"/>
        </w:rPr>
        <w:t>®</w:t>
      </w:r>
      <w:r>
        <w:rPr>
          <w:rFonts w:ascii="Arial" w:cs="Arial" w:eastAsia="Arial" w:hAnsi="Arial"/>
          <w:sz w:val="13"/>
          <w:szCs w:val="13"/>
          <w:color w:val="auto"/>
        </w:rPr>
        <w:t xml:space="preserve"> systems use proprietary technologies to convert the mechanical energy created by the rising and falling of ocean waves into electricity. We currently market two PowerBuoy products, which consist of our utility PowerBuoy system and our autonomous PowerBuoy system. We also market operations and maintenance services for our PowerBuoy systems to our customers, which are expected to provide a source of recurring revenues. In addition, we expect to market our undersea substation pod and undersea power connection infrastructure services to other companies in the marine energy sector.</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70" w:lineRule="exact"/>
        <w:rPr>
          <w:sz w:val="20"/>
          <w:szCs w:val="20"/>
          <w:color w:val="auto"/>
        </w:rPr>
      </w:pPr>
    </w:p>
    <w:p>
      <w:pPr>
        <w:jc w:val="both"/>
        <w:ind w:right="240" w:firstLine="399"/>
        <w:spacing w:after="0" w:line="264" w:lineRule="auto"/>
        <w:rPr>
          <w:sz w:val="20"/>
          <w:szCs w:val="20"/>
          <w:color w:val="auto"/>
        </w:rPr>
      </w:pPr>
      <w:r>
        <w:rPr>
          <w:rFonts w:ascii="Arial" w:cs="Arial" w:eastAsia="Arial" w:hAnsi="Arial"/>
          <w:sz w:val="13"/>
          <w:szCs w:val="13"/>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67"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in fiscal 2003, and we entered into our first development and construction contract with Lockheed Martin in fiscal 2004 for the development and construction of a prototype demonstration autonomous PowerBuoy system.</w:t>
      </w:r>
    </w:p>
    <w:p>
      <w:pPr>
        <w:spacing w:after="0" w:line="55" w:lineRule="exact"/>
        <w:rPr>
          <w:sz w:val="20"/>
          <w:szCs w:val="20"/>
          <w:color w:val="auto"/>
        </w:rPr>
      </w:pPr>
    </w:p>
    <w:p>
      <w:pPr>
        <w:ind w:right="200" w:firstLine="399"/>
        <w:spacing w:after="0" w:line="258" w:lineRule="auto"/>
        <w:rPr>
          <w:sz w:val="20"/>
          <w:szCs w:val="20"/>
          <w:color w:val="auto"/>
        </w:rPr>
      </w:pPr>
      <w:r>
        <w:rPr>
          <w:rFonts w:ascii="Arial" w:cs="Arial" w:eastAsia="Arial" w:hAnsi="Arial"/>
          <w:sz w:val="13"/>
          <w:szCs w:val="13"/>
          <w:color w:val="auto"/>
        </w:rPr>
        <w:t>At April 30, 2011, our total negotiated backlog was $8.9 million compared with $5.7 million at April 30, 2010. We anticipate that a majority of our backlog will be recognized as revenue over the next 12 months.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for which funding has not been appropriated. If any of our contracts were to be terminated, our backlog would be reduced by the expected value of the remaining terms of such contracts. Funded backlog was $6.9 million and $5.2 million at April 30, 2011 and 2010, respectively.</w:t>
      </w:r>
    </w:p>
    <w:p>
      <w:pPr>
        <w:spacing w:after="0" w:line="71"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Our fiscal year ends on April 30. For fiscal 2011, we generated revenues of $6.7 million and incurred a net loss attributable to Ocean Power Technologies, Inc. of $20.4 million, and for fiscal 2010, we generated revenues of $5.1 million and incurred a net loss attributable to Ocean Power Technologies, Inc. of $19.2 million. As of April 30, 2011, our accumulated deficit was $110.8 million. We have not been profitable since inception, and we do not know</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42" w:name="page43"/>
    <w:bookmarkEnd w:id="42"/>
    <w:p>
      <w:pPr>
        <w:ind w:right="220"/>
        <w:spacing w:after="0" w:line="296" w:lineRule="auto"/>
        <w:rPr>
          <w:sz w:val="20"/>
          <w:szCs w:val="20"/>
          <w:color w:val="auto"/>
        </w:rPr>
      </w:pPr>
      <w:r>
        <w:rPr>
          <w:rFonts w:ascii="Arial" w:cs="Arial" w:eastAsia="Arial" w:hAnsi="Arial"/>
          <w:sz w:val="12"/>
          <w:szCs w:val="12"/>
          <w:color w:val="auto"/>
        </w:rPr>
        <w:t>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in the future, represent the majority of our revenues.</w:t>
      </w:r>
    </w:p>
    <w:p>
      <w:pPr>
        <w:spacing w:after="0" w:line="50" w:lineRule="exact"/>
        <w:rPr>
          <w:sz w:val="20"/>
          <w:szCs w:val="20"/>
          <w:color w:val="auto"/>
        </w:rPr>
      </w:pPr>
    </w:p>
    <w:p>
      <w:pPr>
        <w:ind w:right="100" w:firstLine="399"/>
        <w:spacing w:after="0" w:line="285" w:lineRule="auto"/>
        <w:rPr>
          <w:sz w:val="20"/>
          <w:szCs w:val="20"/>
          <w:color w:val="auto"/>
        </w:rPr>
      </w:pPr>
      <w:r>
        <w:rPr>
          <w:rFonts w:ascii="Arial" w:cs="Arial" w:eastAsia="Arial" w:hAnsi="Arial"/>
          <w:sz w:val="12"/>
          <w:szCs w:val="12"/>
          <w:color w:val="auto"/>
        </w:rPr>
        <w:t>The marine energy industry, including wave, tidal and ocean current energy technologies, is expected to benefit from various legislative initiatives that have been undertaken or are planned by state and federal agencies. For example, the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new legislation will, for the first time, enable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55"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Further, it is expected that the US federal and state governments will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At times, the Department of Energy (DOE) has also issued requests for proposal to be funded under programs it has established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 government programs, there can be no assurances as to whether we will be successful in obtaining significant additional government funding or as to the terms and conditions of any such funding.</w:t>
      </w:r>
    </w:p>
    <w:p>
      <w:pPr>
        <w:spacing w:after="0" w:line="73"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recent global economic uncertainty may have a negative effect on our business, financial condition and results of operations because the utility companies with which we contract or propose to contract may decrease their investment in new power generation equipment in response to the uncertainty.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We do not believe the recent global economic uncertainty will have a material negative impact on our sources of supply, as our products incorporate what are substantially non-custom, standard parts found in many regions of the world.</w:t>
      </w:r>
    </w:p>
    <w:p>
      <w:pPr>
        <w:spacing w:after="0" w:line="72"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Operations Overview</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describes certain line items in our statement of operations and some of the factors that affect our operating results.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the periods involved. Upon anticipating a loss on a contract, we recognize the full amount of the anticipated loss in the current period.</w:t>
      </w:r>
    </w:p>
    <w:p>
      <w:pPr>
        <w:spacing w:after="0" w:line="96" w:lineRule="exact"/>
        <w:rPr>
          <w:sz w:val="20"/>
          <w:szCs w:val="20"/>
          <w:color w:val="auto"/>
        </w:rPr>
      </w:pPr>
    </w:p>
    <w:p>
      <w:pPr>
        <w:ind w:right="120" w:firstLine="399"/>
        <w:spacing w:after="0" w:line="280" w:lineRule="auto"/>
        <w:rPr>
          <w:sz w:val="20"/>
          <w:szCs w:val="20"/>
          <w:color w:val="auto"/>
        </w:rPr>
      </w:pPr>
      <w:r>
        <w:rPr>
          <w:rFonts w:ascii="Arial" w:cs="Arial" w:eastAsia="Arial" w:hAnsi="Arial"/>
          <w:sz w:val="12"/>
          <w:szCs w:val="12"/>
          <w:color w:val="auto"/>
        </w:rPr>
        <w:t>Generally our contracts are either cost plus or fixed price contracts. Under cost plus contracts, we bill the customer for actual expenses incurred plus an agreed-upon fee. Revenue is typically recorded using percentage-of-completion based on the maximum awarded contract amount. In certain cases we may choose to incur costs in excess of the maximum awarded contract amount resulting in a loss on the contract. Currently, we have two types of fixed price contracts, firm fixed price and cost sharing. Under firm fixed price contracts we receive an agreed upon amount for providing products and services which are specified in the contract. Revenue is typically recorded using percentage-of-completion based on the contract amount. Depending on whether actual costs are more or less than the agreed upon amount, there is a profit or loss on the project. Under cost sharing contracts the fixed amount agreed upon with the customer is only intended to fund a portion of the costs on a specific project. We fund the remainder of the costs as part of our product development efforts. Revenue is typically recorded using percentage-of-completion based on the amount agreed upon with the customer. An amount corresponding to the revenue is recorded in cost of revenues resulting in gross profit on these contracts of zero. Our share of the costs is recorded as product development expense.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provides information regarding the breakdown of our revenues by customer for fiscal years 2011, 2010 and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7"/>
              </w:rPr>
              <w:t>Years Ended April 30,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8"/>
                <w:szCs w:val="8"/>
                <w:color w:val="auto"/>
              </w:rPr>
            </w:pPr>
          </w:p>
        </w:tc>
        <w:tc>
          <w:tcPr>
            <w:tcW w:w="520" w:type="dxa"/>
            <w:vAlign w:val="bottom"/>
            <w:gridSpan w:val="2"/>
          </w:tcPr>
          <w:p>
            <w:pPr>
              <w:jc w:val="center"/>
              <w:ind w:left="159"/>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r>
      <w:tr>
        <w:trPr>
          <w:trHeight w:val="131"/>
        </w:trPr>
        <w:tc>
          <w:tcPr>
            <w:tcW w:w="8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72"/>
              </w:rPr>
              <w:t>millions)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US Navy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80" w:type="dxa"/>
            <w:vAlign w:val="bottom"/>
            <w:tcBorders>
              <w:left w:val="single" w:sz="8" w:color="CCEEFF"/>
            </w:tcBorders>
            <w:shd w:val="clear" w:color="auto" w:fill="CCEEFF"/>
          </w:tcPr>
          <w:p>
            <w:pPr>
              <w:spacing w:after="0"/>
              <w:rPr>
                <w:sz w:val="14"/>
                <w:szCs w:val="14"/>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2.7</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US Department of Energy</w:t>
            </w: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1.9</w:t>
            </w:r>
          </w:p>
        </w:tc>
        <w:tc>
          <w:tcPr>
            <w:tcW w:w="180" w:type="dxa"/>
            <w:vAlign w:val="bottom"/>
          </w:tcPr>
          <w:p>
            <w:pPr>
              <w:spacing w:after="0"/>
              <w:rPr>
                <w:sz w:val="13"/>
                <w:szCs w:val="13"/>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w w:val="88"/>
              </w:rPr>
              <w:t>0.2</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Iberdrola Cantabria</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w w:val="97"/>
              </w:rPr>
              <w:t>(0.2)</w:t>
            </w: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0.7</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UK Government’s Technical Strategy Board</w:t>
            </w: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0.9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80" w:type="dxa"/>
            <w:vAlign w:val="bottom"/>
            <w:tcBorders>
              <w:left w:val="single" w:sz="8" w:color="CCEEFF"/>
            </w:tcBorders>
            <w:shd w:val="clear" w:color="auto" w:fill="CCEEFF"/>
          </w:tcPr>
          <w:p>
            <w:pPr>
              <w:spacing w:after="0"/>
              <w:rPr>
                <w:sz w:val="13"/>
                <w:szCs w:val="13"/>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0.4</w:t>
            </w:r>
          </w:p>
        </w:tc>
      </w:tr>
      <w:tr>
        <w:trPr>
          <w:trHeight w:val="20"/>
        </w:trPr>
        <w:tc>
          <w:tcPr>
            <w:tcW w:w="8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96"/>
              </w:rPr>
              <w:t>$ 5.1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w w:val="88"/>
              </w:rPr>
              <w:t>4.0</w:t>
            </w:r>
          </w:p>
        </w:tc>
      </w:tr>
      <w:tr>
        <w:trPr>
          <w:trHeight w:val="30"/>
        </w:trPr>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During fiscal 2011, the Company reduced revenue by approximately $0.2 million due to a change in estimated revenue to be recognized in connection with the Spain construction agreement.</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revenue increase for fiscal 2011 reflected significant increase in revenue from the DOE related to our project off the coast of Reedsport, Oregon and revenue from the DOE and the UK Government’s Technology Strategy Board (TSB) in connection with development of our PB500 PowerBuoy. In addition, revenue attributable to the US Navy’s Littoral Expeditionary Autonomous PowerBuoy or LEAP, program contributed to the increase. The increased revenue was partially offset by a decrease in revenue from the US Navy related to the Hawaii project and the Deep Water Active Detection System (DWADS) project.</w:t>
      </w:r>
    </w:p>
    <w:p>
      <w:pPr>
        <w:spacing w:after="0" w:line="7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revenue increase for fiscal 2010 reflected a significant increase in revenue from the US Navy related to autonomous PowerBuoy projects and also an increase in revenue related to our project off the coast of Reedsport, Oregon. The increased revenue was partially offset by a decrease in revenue from our construction project in Spain and our Hawaii project for the US Navy.</w:t>
      </w:r>
    </w:p>
    <w:p>
      <w:pPr>
        <w:spacing w:after="0" w:line="67" w:lineRule="exact"/>
        <w:rPr>
          <w:sz w:val="20"/>
          <w:szCs w:val="20"/>
          <w:color w:val="auto"/>
        </w:rPr>
      </w:pPr>
    </w:p>
    <w:p>
      <w:pPr>
        <w:ind w:right="220" w:firstLine="399"/>
        <w:spacing w:after="0" w:line="320" w:lineRule="auto"/>
        <w:rPr>
          <w:sz w:val="20"/>
          <w:szCs w:val="20"/>
          <w:color w:val="auto"/>
        </w:rPr>
      </w:pPr>
      <w:r>
        <w:rPr>
          <w:rFonts w:ascii="Arial" w:cs="Arial" w:eastAsia="Arial" w:hAnsi="Arial"/>
          <w:sz w:val="12"/>
          <w:szCs w:val="12"/>
          <w:color w:val="auto"/>
        </w:rPr>
        <w:t>The US Navy has been our largest customer since fiscal 2002. The US Navy accounted for 52% of our revenues in fiscal 2011, 80% of our revenues in fiscal 2010 and 67% of our revenues in fiscal 2009. We anticipate that, if our commercialization efforts are successful, the relative contribution of the US Navy to our revenue may decline in the future.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4" w:name="page45"/>
    <w:bookmarkEnd w:id="44"/>
    <w:p>
      <w:pPr>
        <w:ind w:right="20" w:firstLine="399"/>
        <w:spacing w:after="0" w:line="276" w:lineRule="auto"/>
        <w:rPr>
          <w:sz w:val="20"/>
          <w:szCs w:val="20"/>
          <w:color w:val="auto"/>
        </w:rPr>
      </w:pPr>
      <w:r>
        <w:rPr>
          <w:rFonts w:ascii="Arial" w:cs="Arial" w:eastAsia="Arial" w:hAnsi="Arial"/>
          <w:sz w:val="13"/>
          <w:szCs w:val="13"/>
          <w:color w:val="auto"/>
        </w:rPr>
        <w:t>We currently focus our sales and marketing efforts on North America, the west coast of Europe, Australia and the east coast of Japan. The following table shows the percentage of our revenues by geographical location of our customers for fiscal years 2011, 2010 and 2009:</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Years Ended April 30,</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818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2011</w:t>
            </w:r>
          </w:p>
        </w:tc>
        <w:tc>
          <w:tcPr>
            <w:tcW w:w="42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20" w:type="dxa"/>
            <w:vAlign w:val="bottom"/>
          </w:tcPr>
          <w:p>
            <w:pPr>
              <w:spacing w:after="0"/>
              <w:rPr>
                <w:sz w:val="8"/>
                <w:szCs w:val="8"/>
                <w:color w:val="auto"/>
              </w:rPr>
            </w:pPr>
          </w:p>
        </w:tc>
      </w:tr>
      <w:tr>
        <w:trPr>
          <w:trHeight w:val="29"/>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84%</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8180" w:type="dxa"/>
            <w:vAlign w:val="bottom"/>
          </w:tcPr>
          <w:p>
            <w:pPr>
              <w:spacing w:after="0"/>
              <w:rPr>
                <w:sz w:val="20"/>
                <w:szCs w:val="20"/>
                <w:color w:val="auto"/>
              </w:rPr>
            </w:pPr>
            <w:r>
              <w:rPr>
                <w:rFonts w:ascii="Arial" w:cs="Arial" w:eastAsia="Arial" w:hAnsi="Arial"/>
                <w:sz w:val="13"/>
                <w:szCs w:val="13"/>
                <w:color w:val="auto"/>
              </w:rPr>
              <w:t>Europe</w:t>
            </w:r>
          </w:p>
        </w:tc>
        <w:tc>
          <w:tcPr>
            <w:tcW w:w="700" w:type="dxa"/>
            <w:vAlign w:val="bottom"/>
            <w:gridSpan w:val="2"/>
          </w:tcPr>
          <w:p>
            <w:pPr>
              <w:jc w:val="right"/>
              <w:ind w:right="248"/>
              <w:spacing w:after="0"/>
              <w:rPr>
                <w:sz w:val="20"/>
                <w:szCs w:val="20"/>
                <w:color w:val="auto"/>
              </w:rPr>
            </w:pPr>
            <w:r>
              <w:rPr>
                <w:rFonts w:ascii="Arial" w:cs="Arial" w:eastAsia="Arial" w:hAnsi="Arial"/>
                <w:sz w:val="13"/>
                <w:szCs w:val="13"/>
                <w:color w:val="auto"/>
              </w:rPr>
              <w:t>13%</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9%</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Asia and Australia</w:t>
            </w: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8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180" w:type="dxa"/>
            <w:vAlign w:val="bottom"/>
          </w:tcPr>
          <w:p>
            <w:pPr>
              <w:spacing w:after="0"/>
              <w:rPr>
                <w:sz w:val="13"/>
                <w:szCs w:val="13"/>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3"/>
                <w:szCs w:val="13"/>
                <w:color w:val="auto"/>
              </w:rPr>
              <w:t>100%</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100%</w:t>
            </w:r>
          </w:p>
        </w:tc>
      </w:tr>
      <w:tr>
        <w:trPr>
          <w:trHeight w:val="30"/>
        </w:trPr>
        <w:tc>
          <w:tcPr>
            <w:tcW w:w="8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Cost of revenues</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some contracts.</w:t>
      </w:r>
    </w:p>
    <w:p>
      <w:pPr>
        <w:spacing w:after="0" w:line="67"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We operated at a gross profit of $0.4 million in fiscal 2011, a gross profit of $0.8 million in fiscal 2010 and a gross loss of $0.8 million in fiscal 2009. Our ability to generate a gross profit will depend on the nature of future contracts, our success at increasing sales of our PowerBuoy systems and on our ability to manage costs incurred on fixed price commercial contracts. During fiscal 2011, we reduced revenue by approximately $0.2 million due to a change in estimated revenue to be recognized in connection with the Spain construction agreement, and there was no corresponding reduction in cost of revenues. Additionally, approximately $0.4 million of costs related to revenue activity during fiscal 2009 had been previously anticipated and accrued as contract loss reserves as of April 30, 2009. These loss reserves were no longer necessary and, accordingly, reversed in fiscal year 2010, contributing to the increase in gross profit.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Product development costs</w:t>
      </w:r>
    </w:p>
    <w:p>
      <w:pPr>
        <w:spacing w:after="0" w:line="96" w:lineRule="exact"/>
        <w:rPr>
          <w:sz w:val="20"/>
          <w:szCs w:val="20"/>
          <w:color w:val="auto"/>
        </w:rPr>
      </w:pPr>
    </w:p>
    <w:p>
      <w:pPr>
        <w:ind w:right="240" w:firstLine="399"/>
        <w:spacing w:after="0" w:line="285" w:lineRule="auto"/>
        <w:rPr>
          <w:sz w:val="20"/>
          <w:szCs w:val="20"/>
          <w:color w:val="auto"/>
        </w:rPr>
      </w:pPr>
      <w:r>
        <w:rPr>
          <w:rFonts w:ascii="Arial" w:cs="Arial" w:eastAsia="Arial" w:hAnsi="Arial"/>
          <w:sz w:val="12"/>
          <w:szCs w:val="12"/>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and reliability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 Patents are reviewed for impairment whenever events or changes in circumstances indicate that the carrying amount of the patent may not be recoverable.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Selling, general and administrative costs</w:t>
      </w:r>
    </w:p>
    <w:p>
      <w:pPr>
        <w:spacing w:after="0" w:line="96" w:lineRule="exact"/>
        <w:rPr>
          <w:sz w:val="20"/>
          <w:szCs w:val="20"/>
          <w:color w:val="auto"/>
        </w:rPr>
      </w:pPr>
    </w:p>
    <w:p>
      <w:pPr>
        <w:ind w:right="300" w:firstLine="399"/>
        <w:spacing w:after="0" w:line="320" w:lineRule="auto"/>
        <w:rPr>
          <w:sz w:val="20"/>
          <w:szCs w:val="20"/>
          <w:color w:val="auto"/>
        </w:rPr>
      </w:pPr>
      <w:r>
        <w:rPr>
          <w:rFonts w:ascii="Arial" w:cs="Arial" w:eastAsia="Arial" w:hAnsi="Arial"/>
          <w:sz w:val="12"/>
          <w:szCs w:val="12"/>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income, net</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Interest income consists of interest received on cash and cash equivalents, investments in commercial bank-issued certificates of deposit and US Treasury bills and notes. Total cash, cash equivalents, restricted cash, and marketable securities were $48.3 million as of April 30, 2011, $66.8 million as of April 30, 2010 and $82.7 million as of April 30, 2009. Interest income decreased due to a decline in interest rates and a decline in cash, cash equivalents and marketable securities.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p>
      <w:pPr>
        <w:ind w:left="200"/>
        <w:spacing w:after="0"/>
        <w:rPr>
          <w:sz w:val="20"/>
          <w:szCs w:val="20"/>
          <w:color w:val="auto"/>
        </w:rPr>
      </w:pPr>
      <w:r>
        <w:rPr>
          <w:rFonts w:ascii="Arial" w:cs="Arial" w:eastAsia="Arial" w:hAnsi="Arial"/>
          <w:sz w:val="13"/>
          <w:szCs w:val="13"/>
          <w:b w:val="1"/>
          <w:bCs w:val="1"/>
          <w:i w:val="1"/>
          <w:iCs w:val="1"/>
          <w:color w:val="auto"/>
        </w:rPr>
        <w:t>Foreign exchange (loss) gain</w:t>
      </w:r>
    </w:p>
    <w:p>
      <w:pPr>
        <w:spacing w:after="0" w:line="9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w:t>
      </w:r>
    </w:p>
    <w:p>
      <w:pPr>
        <w:spacing w:after="0" w:line="7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We invest in certificates of deposit and maintain cash accounts that are denominated in British pounds sterling, Euros and Australian dollars. These foreign denominated certificates of deposit and cash accounts had a balance of $4.8 million as of April 30, 2011 and $4.1 million as of April 30, 2010, compared to our total cash, cash equivalents, restricted cash, and marketable securities balances of $48.3 million as of April 30, 2011 and $66.8 million as of April 30, 2010.</w:t>
      </w:r>
    </w:p>
    <w:p>
      <w:pPr>
        <w:spacing w:after="0" w:line="67"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Our international revenues for the years ended April 30, 2011, 2010, and 2009 were recorded in Euros, British pounds sterling, Australian dollars or Japanese yen.</w:t>
      </w:r>
    </w:p>
    <w:p>
      <w:pPr>
        <w:spacing w:after="0" w:line="71"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80" w:firstLine="399"/>
        <w:spacing w:after="0" w:line="305" w:lineRule="auto"/>
        <w:rPr>
          <w:sz w:val="20"/>
          <w:szCs w:val="20"/>
          <w:color w:val="auto"/>
        </w:rPr>
      </w:pPr>
      <w:r>
        <w:rPr>
          <w:rFonts w:ascii="Arial" w:cs="Arial" w:eastAsia="Arial" w:hAnsi="Arial"/>
          <w:sz w:val="11"/>
          <w:szCs w:val="11"/>
          <w:color w:val="auto"/>
        </w:rPr>
        <w:t>As of April 30, 2011, we had federal and foreign net operating loss carryforwards of $70.5 million and $17.5 million, respectively, and federal and foreign research and development tax credits of $1.9 million and $0.7 million, respectively, which may be used to offset future taxable income. As of April 30, 2011, we had state net operating loss carryforwards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$58.1 million. If not utilized, the net operating loss carryforwards and credit carryforwards will expire at various dates through 2031. We may not achieve profitability in time to utilize the tax credit and net operating loss carryforwards in full or at all. In addition, we have determined that the future utilization of our net operating loss carryforwards is subject to limitations based upon changes in ownership including changes resulting from our initial public offering in April 2007, pursuant to regulations promulgated under the Internal Revenue Code. As discussed in Note 12 to our consolidated financial statements included in this Annual Report, we have established a valuation allowance for our net deferred tax assets, which were $39.9 million as of April 30, 2011 and $33.1 million as of April 30, 2010.</w:t>
      </w:r>
    </w:p>
    <w:p>
      <w:pPr>
        <w:spacing w:after="0" w:line="73" w:lineRule="exact"/>
        <w:rPr>
          <w:sz w:val="20"/>
          <w:szCs w:val="20"/>
          <w:color w:val="auto"/>
        </w:rPr>
      </w:pPr>
    </w:p>
    <w:p>
      <w:pPr>
        <w:jc w:val="both"/>
        <w:ind w:right="120" w:firstLine="399"/>
        <w:spacing w:after="0" w:line="276" w:lineRule="auto"/>
        <w:rPr>
          <w:sz w:val="20"/>
          <w:szCs w:val="20"/>
          <w:color w:val="auto"/>
        </w:rPr>
      </w:pPr>
      <w:r>
        <w:rPr>
          <w:rFonts w:ascii="Arial" w:cs="Arial" w:eastAsia="Arial" w:hAnsi="Arial"/>
          <w:sz w:val="13"/>
          <w:szCs w:val="13"/>
          <w:color w:val="auto"/>
        </w:rPr>
        <w:t>During the year ended April 30, 2011, we sold $4,446,000 of our New Jersey State net operating losses resulting in the recognition of an income tax benefit of $364,105 recorded in our Statement of Operations.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Outlook</w:t>
      </w:r>
    </w:p>
    <w:p>
      <w:pPr>
        <w:spacing w:after="0" w:line="96" w:lineRule="exact"/>
        <w:rPr>
          <w:sz w:val="20"/>
          <w:szCs w:val="20"/>
          <w:color w:val="auto"/>
        </w:rPr>
      </w:pPr>
    </w:p>
    <w:p>
      <w:pPr>
        <w:jc w:val="both"/>
        <w:ind w:right="100" w:firstLine="399"/>
        <w:spacing w:after="0" w:line="322" w:lineRule="auto"/>
        <w:rPr>
          <w:sz w:val="20"/>
          <w:szCs w:val="20"/>
          <w:color w:val="auto"/>
        </w:rPr>
      </w:pPr>
      <w:r>
        <w:rPr>
          <w:rFonts w:ascii="Arial" w:cs="Arial" w:eastAsia="Arial" w:hAnsi="Arial"/>
          <w:sz w:val="11"/>
          <w:szCs w:val="11"/>
          <w:color w:val="auto"/>
        </w:rPr>
        <w:t>We have incurred net losses since we began operations in 1994, including net losses attributable to Ocean Power Technologies, Inc. of $20.4 million in fiscal 2011, $19.2 million in fiscal 2010 and $18.3 million in fiscal 2009. As of April 30, 2011, we had an accumulated deficit of $110.8 million. These losses have resulted primarily from costs incurred in our research and development programs and from our selling, general and administrative costs. We expect to increase certain of our operating expenses as we continue to expand our commercialization activities. To achieve profitability, we believe we will need to increase revenues, control our fixed costs and reduce our unfunded research and development expenditures.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6" w:name="page47"/>
    <w:bookmarkEnd w:id="46"/>
    <w:p>
      <w:pPr>
        <w:ind w:right="40" w:firstLine="399"/>
        <w:spacing w:after="0" w:line="320" w:lineRule="auto"/>
        <w:rPr>
          <w:sz w:val="20"/>
          <w:szCs w:val="20"/>
          <w:color w:val="auto"/>
        </w:rPr>
      </w:pPr>
      <w:r>
        <w:rPr>
          <w:rFonts w:ascii="Arial" w:cs="Arial" w:eastAsia="Arial" w:hAnsi="Arial"/>
          <w:sz w:val="12"/>
          <w:szCs w:val="12"/>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Years Ended April 30, 2011 and 2010</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contains statement of operations information, which serves as the basis of the discussion of our results of operations for the years ended April 30, 2011 and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gridSpan w:val="4"/>
          </w:tcPr>
          <w:p>
            <w:pPr>
              <w:jc w:val="right"/>
              <w:ind w:right="940"/>
              <w:spacing w:after="0"/>
              <w:rPr>
                <w:sz w:val="20"/>
                <w:szCs w:val="20"/>
                <w:color w:val="auto"/>
              </w:rPr>
            </w:pPr>
            <w:r>
              <w:rPr>
                <w:rFonts w:ascii="Arial" w:cs="Arial" w:eastAsia="Arial" w:hAnsi="Arial"/>
                <w:sz w:val="10"/>
                <w:szCs w:val="10"/>
                <w:b w:val="1"/>
                <w:bCs w:val="1"/>
                <w:color w:val="auto"/>
              </w:rPr>
              <w:t>Fiscal Year Ended</w:t>
            </w:r>
          </w:p>
        </w:tc>
        <w:tc>
          <w:tcPr>
            <w:tcW w:w="180" w:type="dxa"/>
            <w:vAlign w:val="bottom"/>
          </w:tcPr>
          <w:p>
            <w:pPr>
              <w:spacing w:after="0"/>
              <w:rPr>
                <w:sz w:val="10"/>
                <w:szCs w:val="10"/>
                <w:color w:val="auto"/>
              </w:rPr>
            </w:pPr>
          </w:p>
        </w:tc>
        <w:tc>
          <w:tcPr>
            <w:tcW w:w="1180" w:type="dxa"/>
            <w:vAlign w:val="bottom"/>
            <w:gridSpan w:val="3"/>
          </w:tcPr>
          <w:p>
            <w:pPr>
              <w:jc w:val="center"/>
              <w:ind w:left="257"/>
              <w:spacing w:after="0"/>
              <w:rPr>
                <w:sz w:val="20"/>
                <w:szCs w:val="20"/>
                <w:color w:val="auto"/>
              </w:rPr>
            </w:pPr>
            <w:r>
              <w:rPr>
                <w:rFonts w:ascii="Arial" w:cs="Arial" w:eastAsia="Arial" w:hAnsi="Arial"/>
                <w:sz w:val="10"/>
                <w:szCs w:val="10"/>
                <w:b w:val="1"/>
                <w:bCs w:val="1"/>
                <w:color w:val="auto"/>
                <w:w w:val="95"/>
              </w:rPr>
              <w:t>Fiscal Year Ended</w:t>
            </w: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April 30, 2011</w:t>
            </w:r>
          </w:p>
        </w:tc>
        <w:tc>
          <w:tcPr>
            <w:tcW w:w="6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0"/>
                <w:szCs w:val="10"/>
                <w:b w:val="1"/>
                <w:bCs w:val="1"/>
                <w:color w:val="auto"/>
                <w:w w:val="99"/>
              </w:rPr>
              <w:t>April 30, 2010</w:t>
            </w:r>
          </w:p>
        </w:tc>
        <w:tc>
          <w:tcPr>
            <w:tcW w:w="5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Amount</w:t>
            </w:r>
          </w:p>
        </w:tc>
        <w:tc>
          <w:tcPr>
            <w:tcW w:w="640" w:type="dxa"/>
            <w:vAlign w:val="bottom"/>
          </w:tcPr>
          <w:p>
            <w:pPr>
              <w:jc w:val="right"/>
              <w:ind w:right="56"/>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16"/>
              <w:spacing w:after="0" w:line="81" w:lineRule="exact"/>
              <w:rPr>
                <w:sz w:val="20"/>
                <w:szCs w:val="20"/>
                <w:color w:val="auto"/>
              </w:rPr>
            </w:pPr>
            <w:r>
              <w:rPr>
                <w:rFonts w:ascii="Arial" w:cs="Arial" w:eastAsia="Arial" w:hAnsi="Arial"/>
                <w:sz w:val="9"/>
                <w:szCs w:val="9"/>
                <w:b w:val="1"/>
                <w:bCs w:val="1"/>
                <w:color w:val="auto"/>
              </w:rPr>
              <w:t>As a % of</w:t>
            </w: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4"/>
              </w:rPr>
              <w:t>Revenues(1)</w:t>
            </w:r>
          </w:p>
        </w:tc>
        <w:tc>
          <w:tcPr>
            <w:tcW w:w="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w w:val="88"/>
              </w:rPr>
              <w:t>Revenues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6,691,082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5,101,311</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6,255,437</w:t>
            </w:r>
          </w:p>
        </w:tc>
        <w:tc>
          <w:tcPr>
            <w:tcW w:w="34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93</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4,298,955</w:t>
            </w:r>
          </w:p>
        </w:tc>
        <w:tc>
          <w:tcPr>
            <w:tcW w:w="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435,645</w:t>
            </w:r>
          </w:p>
        </w:tc>
        <w:tc>
          <w:tcPr>
            <w:tcW w:w="340" w:type="dxa"/>
            <w:vAlign w:val="bottom"/>
            <w:tcBorders>
              <w:right w:val="single" w:sz="8" w:color="CCEEFF"/>
            </w:tcBorders>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802,356</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6"/>
        </w:trPr>
        <w:tc>
          <w:tcPr>
            <w:tcW w:w="52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 costs</w:t>
            </w:r>
          </w:p>
        </w:tc>
        <w:tc>
          <w:tcPr>
            <w:tcW w:w="200" w:type="dxa"/>
            <w:vAlign w:val="bottom"/>
            <w:shd w:val="clear" w:color="auto" w:fill="CCEEFF"/>
          </w:tcPr>
          <w:p>
            <w:pPr>
              <w:spacing w:after="0"/>
              <w:rPr>
                <w:sz w:val="13"/>
                <w:szCs w:val="13"/>
                <w:color w:val="auto"/>
              </w:rPr>
            </w:pPr>
          </w:p>
        </w:tc>
        <w:tc>
          <w:tcPr>
            <w:tcW w:w="11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13,319,110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199</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13,001,550</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7"/>
        </w:trPr>
        <w:tc>
          <w:tcPr>
            <w:tcW w:w="524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 costs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8,399,325</w:t>
            </w:r>
          </w:p>
        </w:tc>
        <w:tc>
          <w:tcPr>
            <w:tcW w:w="34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9,063,482</w:t>
            </w:r>
          </w:p>
        </w:tc>
        <w:tc>
          <w:tcPr>
            <w:tcW w:w="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21,718,435</w:t>
            </w:r>
          </w:p>
        </w:tc>
        <w:tc>
          <w:tcPr>
            <w:tcW w:w="340" w:type="dxa"/>
            <w:vAlign w:val="bottom"/>
            <w:tcBorders>
              <w:right w:val="single" w:sz="8" w:color="CCEEFF"/>
            </w:tcBorders>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325</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22,065,032</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3"/>
                <w:szCs w:val="13"/>
                <w:color w:val="auto"/>
              </w:rPr>
              <w:t>Operating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(21,282,790)</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(318)</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(21,262,676)</w:t>
            </w:r>
          </w:p>
        </w:tc>
        <w:tc>
          <w:tcPr>
            <w:tcW w:w="8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58"/>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200" w:type="dxa"/>
            <w:vAlign w:val="bottom"/>
            <w:shd w:val="clear" w:color="auto" w:fill="CCEEFF"/>
          </w:tcPr>
          <w:p>
            <w:pPr>
              <w:spacing w:after="0"/>
              <w:rPr>
                <w:sz w:val="13"/>
                <w:szCs w:val="13"/>
                <w:color w:val="auto"/>
              </w:rPr>
            </w:pPr>
          </w:p>
        </w:tc>
        <w:tc>
          <w:tcPr>
            <w:tcW w:w="11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689,276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1,032,484</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20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557,540</w:t>
            </w:r>
          </w:p>
        </w:tc>
        <w:tc>
          <w:tcPr>
            <w:tcW w:w="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exchange (loss) gain</w:t>
            </w:r>
          </w:p>
        </w:tc>
        <w:tc>
          <w:tcPr>
            <w:tcW w:w="200" w:type="dxa"/>
            <w:vAlign w:val="bottom"/>
            <w:shd w:val="clear" w:color="auto" w:fill="CCEEFF"/>
          </w:tcPr>
          <w:p>
            <w:pPr>
              <w:spacing w:after="0"/>
              <w:rPr>
                <w:sz w:val="13"/>
                <w:szCs w:val="13"/>
                <w:color w:val="auto"/>
              </w:rPr>
            </w:pP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(229,415)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540,644</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3"/>
                <w:szCs w:val="13"/>
                <w:color w:val="auto"/>
              </w:rPr>
              <w:t>Loss before income taxes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(20,822,929)</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(19,132,008)</w:t>
            </w:r>
          </w:p>
        </w:tc>
        <w:tc>
          <w:tcPr>
            <w:tcW w:w="8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8"/>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364,105</w:t>
            </w:r>
          </w:p>
        </w:tc>
        <w:tc>
          <w:tcPr>
            <w:tcW w:w="340" w:type="dxa"/>
            <w:vAlign w:val="bottom"/>
            <w:tcBorders>
              <w:right w:val="single" w:sz="8" w:color="CCEEFF"/>
            </w:tcBorders>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3"/>
                <w:szCs w:val="13"/>
                <w:color w:val="auto"/>
              </w:rPr>
              <w:t>Net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(20,458,824)</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(306)</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(19,132,008)</w:t>
            </w:r>
          </w:p>
        </w:tc>
        <w:tc>
          <w:tcPr>
            <w:tcW w:w="8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8"/>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Less: Net loss (income) attributable to the noncontrolling interest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22,950</w:t>
            </w:r>
          </w:p>
        </w:tc>
        <w:tc>
          <w:tcPr>
            <w:tcW w:w="340" w:type="dxa"/>
            <w:vAlign w:val="bottom"/>
            <w:tcBorders>
              <w:right w:val="single" w:sz="8" w:color="CCEEFF"/>
            </w:tcBorders>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(38,299)</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40" w:type="dxa"/>
            <w:vAlign w:val="bottom"/>
            <w:gridSpan w:val="2"/>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(20,435,874)</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(305)%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(19,170,307)</w:t>
            </w: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Certain subtotals may not add due to rounding.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Revenues increased by $1.6 million in fiscal 2011, or 31%, to $6.7 million as compared to $5.1 million in fiscal 2010. The change in revenues was attributable primarily to the following factors:</w:t>
      </w:r>
    </w:p>
    <w:p>
      <w:pPr>
        <w:spacing w:after="0" w:line="59" w:lineRule="exact"/>
        <w:rPr>
          <w:sz w:val="20"/>
          <w:szCs w:val="20"/>
          <w:color w:val="auto"/>
        </w:rPr>
      </w:pPr>
    </w:p>
    <w:p>
      <w:pPr>
        <w:ind w:left="600" w:right="20" w:hanging="190"/>
        <w:spacing w:after="0" w:line="260" w:lineRule="auto"/>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Revenues relating to our utility PowerBuoy system increased by $1.1 million due primarily to an increase in billable work on our PB500 PowerBuoy development project and our 150kW PowerBuoy project off the coast of Reedsport, Oregon. This was partially offset by a decrease in revenue related to our Hawaii project for the US Navy and our wave power project off the coast of Spain, as these projects were completed. Also, during fiscal 2011, there was a reduction in revenue of approximately $0.2 million due to a change in estimated revenue to be recognized in connection with the Spain construction agreement.</w:t>
      </w:r>
    </w:p>
    <w:p>
      <w:pPr>
        <w:spacing w:after="0" w:line="59" w:lineRule="exact"/>
        <w:rPr>
          <w:rFonts w:ascii="Arial" w:cs="Arial" w:eastAsia="Arial" w:hAnsi="Arial"/>
          <w:sz w:val="13"/>
          <w:szCs w:val="13"/>
          <w:color w:val="auto"/>
        </w:rPr>
      </w:pPr>
    </w:p>
    <w:p>
      <w:pPr>
        <w:ind w:left="600" w:right="20" w:hanging="190"/>
        <w:spacing w:after="0" w:line="276" w:lineRule="auto"/>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Revenues relating to our autonomous PowerBuoy system increased by $0.5 million as a result of an increase in billable work on our project to provide our PowerBuoy technology to the US Navy’s LEAP program. This was partially offset by a decrease in billable work on the US Navy’s DWADS project.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7" w:name="page48"/>
    <w:bookmarkEnd w:id="47"/>
    <w:p>
      <w:pPr>
        <w:ind w:left="200"/>
        <w:spacing w:after="0"/>
        <w:rPr>
          <w:sz w:val="20"/>
          <w:szCs w:val="20"/>
          <w:color w:val="auto"/>
        </w:rPr>
      </w:pPr>
      <w:r>
        <w:rPr>
          <w:rFonts w:ascii="Arial" w:cs="Arial" w:eastAsia="Arial" w:hAnsi="Arial"/>
          <w:sz w:val="13"/>
          <w:szCs w:val="13"/>
          <w:i w:val="1"/>
          <w:iCs w:val="1"/>
          <w:color w:val="auto"/>
        </w:rPr>
        <w:t>Cost of revenues</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Cost of revenues increased by $2.0 million, or 46%, to $6.3 million in fiscal 2011, as compared to $4.3 million in fiscal 2010. This increase in the cost of revenues reflected the increased activity related to the LEAP program, the 150kW PowerBuoy project off the coast of Reedsport, Oregon, and our PB500 PowerBuoy development project. This was partially offset by a lower level of activity on our Hawaii project for the US Navy, the US Navy’s DWADS project and our wave power project off the coast of Spain. During fiscal 2010, there was a reduction in cost of revenues resulting from the reversal of $0.4 million in the provision for loss reserves related to our project off the coast of Spain as the reserve was no longer considered necessary.</w:t>
      </w:r>
    </w:p>
    <w:p>
      <w:pPr>
        <w:spacing w:after="0" w:line="71"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We operated at a gross profit of $0.4 million and $0.8 million in fiscal 2011 and 2010, respectively. Certain of our projects in fiscal 2011 and 2010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applied to the contractual amount agreed upon with the customer. An equal amount corresponding to the revenue is recorded in cost of revenues resulting in gross profit on these contracts of zero. Our share of the costs is considered to be product development expense. During fiscal 2011, we reduced revenue by approximately $0.2 million due to a change in estimated revenue to be recognized in connection with the Spain construction agreement, and there was no corresponding reduction in cost of revenues. During fiscal 2010, there was a reduction in cost of revenues resulting from the reversal of $0.4 million in the provision for loss reserves related to our project off the coast of Spain as the reserve was no longer considered necessary. Our ability to generate a gross profit will depend on the nature of future contracts, our success at increasing sales of our PowerBuoy systems and on our ability to manage costs incurred on fixed price commercial contracts.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Product development costs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Product development costs increased by $0.3 million, or 2% to $13.3 million in fiscal 2011, as compared to $13.0 million in fiscal 2010. Product development costs were primarily attributable to our efforts to increase the power output and reliability of our utility PowerBuoy system, especially the 150kW PowerBuoy system. It is our intent to fund the majority of our research and development expenses, including cost-sharing obligations under some of our customer contracts, over the next several years with sources of external funding. If we are unable to obtain external funding, we may curtail our research and development expenses or we may decide to self-fund research and development expenses, in which case our product development costs may continue to increase.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Selling, general and administrative costs</w:t>
      </w:r>
    </w:p>
    <w:p>
      <w:pPr>
        <w:spacing w:after="0" w:line="96"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Selling, general and administrative costs decreased $0.7 million, or 7%, to $8.4 million in fiscal 2011, as compared to $9.1 million in fiscal 2010. The decrease was attributable primarily to a decrease in compensation and recruiting expenses.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income</w:t>
      </w:r>
    </w:p>
    <w:p>
      <w:pPr>
        <w:spacing w:after="0" w:line="96" w:lineRule="exact"/>
        <w:rPr>
          <w:sz w:val="20"/>
          <w:szCs w:val="20"/>
          <w:color w:val="auto"/>
        </w:rPr>
      </w:pPr>
    </w:p>
    <w:p>
      <w:pPr>
        <w:ind w:right="80" w:firstLine="399"/>
        <w:spacing w:after="0" w:line="320" w:lineRule="auto"/>
        <w:rPr>
          <w:sz w:val="20"/>
          <w:szCs w:val="20"/>
          <w:color w:val="auto"/>
        </w:rPr>
      </w:pPr>
      <w:r>
        <w:rPr>
          <w:rFonts w:ascii="Arial" w:cs="Arial" w:eastAsia="Arial" w:hAnsi="Arial"/>
          <w:sz w:val="12"/>
          <w:szCs w:val="12"/>
          <w:color w:val="auto"/>
        </w:rPr>
        <w:t>Interest income decreased by $0.3 million, or 33%, to $0.7 million in fiscal 2011, compared to $1.0 million in fiscal 2010, due to a decrease in cash, cash equivalents and marketable securities and a decrease in interest rates. The average interest yield was approximately 1.20% during fiscal 2011 and approximately 1.40% during fiscal 2010.</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Other income</w:t>
      </w:r>
    </w:p>
    <w:p>
      <w:pPr>
        <w:spacing w:after="0" w:line="96"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Other income was $0.6 million in fiscal 2010. During the first quarter of fiscal 2010, we settled a claim which we had against a supplier of engineering services, which resulted in a settlement in our favor. There was no other income in fiscal 2011.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8" w:name="page49"/>
    <w:bookmarkEnd w:id="48"/>
    <w:p>
      <w:pPr>
        <w:ind w:left="200"/>
        <w:spacing w:after="0"/>
        <w:rPr>
          <w:sz w:val="20"/>
          <w:szCs w:val="20"/>
          <w:color w:val="auto"/>
        </w:rPr>
      </w:pPr>
      <w:r>
        <w:rPr>
          <w:rFonts w:ascii="Arial" w:cs="Arial" w:eastAsia="Arial" w:hAnsi="Arial"/>
          <w:sz w:val="13"/>
          <w:szCs w:val="13"/>
          <w:i w:val="1"/>
          <w:iCs w:val="1"/>
          <w:color w:val="auto"/>
        </w:rPr>
        <w:t>Foreign exchange (loss) gain</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Foreign exchange loss was $0.2 million in fiscal 2011, compared to a foreign exchange gains of $0.5 million in fiscal 2010. The difference was attributable primarily to the relative change in value of the British pound sterling, Euro and Australian dollar compared to the US dollar during the two periods.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Income tax benefit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fiscal 2011, we sold New Jersey net operating tax loss carryforwards of $4.4 million for cash of $0.4 million which resulted in an income tax benefit of the same amount.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Years Ended April 30, 2010 and 2009</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 contains statement of operations information, which serves as the basis of the discussion of our results of operations for the years ended April 30, 2010 and 2009: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Arial" w:cs="Arial" w:eastAsia="Arial" w:hAnsi="Arial"/>
                <w:sz w:val="10"/>
                <w:szCs w:val="10"/>
                <w:b w:val="1"/>
                <w:bCs w:val="1"/>
                <w:color w:val="auto"/>
              </w:rPr>
              <w:t>Fiscal Year Ended</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2"/>
              </w:rPr>
              <w:t>Fiscal Year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April 30, 2010</w:t>
            </w: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0"/>
                <w:szCs w:val="10"/>
                <w:b w:val="1"/>
                <w:bCs w:val="1"/>
                <w:color w:val="auto"/>
                <w:w w:val="99"/>
              </w:rPr>
              <w:t>April 30, 2009</w:t>
            </w:r>
          </w:p>
        </w:tc>
        <w:tc>
          <w:tcPr>
            <w:tcW w:w="7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17"/>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As a % of</w:t>
            </w:r>
          </w:p>
        </w:tc>
        <w:tc>
          <w:tcPr>
            <w:tcW w:w="360" w:type="dxa"/>
            <w:vAlign w:val="bottom"/>
          </w:tcPr>
          <w:p>
            <w:pPr>
              <w:spacing w:after="0"/>
              <w:rPr>
                <w:sz w:val="7"/>
                <w:szCs w:val="7"/>
                <w:color w:val="auto"/>
              </w:rPr>
            </w:pPr>
          </w:p>
        </w:tc>
        <w:tc>
          <w:tcPr>
            <w:tcW w:w="110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2010 Period to</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88"/>
              </w:rPr>
              <w:t>Revenues</w:t>
            </w:r>
          </w:p>
        </w:tc>
        <w:tc>
          <w:tcPr>
            <w:tcW w:w="1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Revenues(1)</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2009 Period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5,101,311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4,049,445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20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4,298,955</w:t>
            </w:r>
          </w:p>
        </w:tc>
        <w:tc>
          <w:tcPr>
            <w:tcW w:w="36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84</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4,840,403</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120</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 (loss)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802,356</w:t>
            </w:r>
          </w:p>
        </w:tc>
        <w:tc>
          <w:tcPr>
            <w:tcW w:w="3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(790,958)</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 costs</w:t>
            </w: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13,001,550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8,372,244</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420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 costs</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9,063,482</w:t>
            </w:r>
          </w:p>
        </w:tc>
        <w:tc>
          <w:tcPr>
            <w:tcW w:w="36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178</w:t>
            </w:r>
          </w:p>
        </w:tc>
        <w:tc>
          <w:tcPr>
            <w:tcW w:w="1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9,529,071</w:t>
            </w:r>
          </w:p>
        </w:tc>
        <w:tc>
          <w:tcPr>
            <w:tcW w:w="10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235</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22,065,032</w:t>
            </w:r>
          </w:p>
        </w:tc>
        <w:tc>
          <w:tcPr>
            <w:tcW w:w="3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433</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17,901,315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3"/>
                <w:szCs w:val="13"/>
                <w:color w:val="auto"/>
              </w:rPr>
              <w:t>Operating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line="20" w:lineRule="exact"/>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(21,262,676)</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(417)</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(18,692,273)</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(462)</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1,032,484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1,672,350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420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20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557,540</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3"/>
                <w:szCs w:val="13"/>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exchange gain (loss)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540,644</w:t>
            </w:r>
          </w:p>
        </w:tc>
        <w:tc>
          <w:tcPr>
            <w:tcW w:w="36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(1,295,227)</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3"/>
                <w:szCs w:val="13"/>
                <w:color w:val="auto"/>
              </w:rPr>
              <w:t>Net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w:t>
            </w:r>
          </w:p>
        </w:tc>
        <w:tc>
          <w:tcPr>
            <w:tcW w:w="0" w:type="dxa"/>
            <w:vAlign w:val="bottom"/>
          </w:tcPr>
          <w:p>
            <w:pPr>
              <w:spacing w:after="0" w:line="20" w:lineRule="exact"/>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(19,132,008)</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(375)</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(18,315,150)</w:t>
            </w:r>
          </w:p>
        </w:tc>
        <w:tc>
          <w:tcPr>
            <w:tcW w:w="10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(452)</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Less: Net income attributable to the noncontrolling interest in Ocean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Power Technologies (Australasia) Pty Ltd.</w:t>
            </w: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(38,299)</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line="20" w:lineRule="exact"/>
              <w:rPr>
                <w:sz w:val="1"/>
                <w:szCs w:val="1"/>
                <w:color w:val="auto"/>
              </w:rPr>
            </w:pPr>
          </w:p>
        </w:tc>
      </w:tr>
      <w:tr>
        <w:trPr>
          <w:trHeight w:val="166"/>
        </w:trPr>
        <w:tc>
          <w:tcPr>
            <w:tcW w:w="4200" w:type="dxa"/>
            <w:vAlign w:val="bottom"/>
            <w:gridSpan w:val="2"/>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(19,170,307)</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(376)%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(18,315,150)</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(452)%</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Certain subtotals may not add due to rounding.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Revenues increased by $1.1 million in fiscal 2010, or 26%, to $5.1 million as compared to $4.0 million in fiscal 2009. The change in revenues was attributable primarily to the following factors:</w:t>
      </w:r>
    </w:p>
    <w:p>
      <w:pPr>
        <w:spacing w:after="0" w:line="59" w:lineRule="exact"/>
        <w:rPr>
          <w:sz w:val="20"/>
          <w:szCs w:val="20"/>
          <w:color w:val="auto"/>
        </w:rPr>
      </w:pPr>
    </w:p>
    <w:p>
      <w:pPr>
        <w:ind w:left="600" w:right="40" w:hanging="190"/>
        <w:spacing w:after="0" w:line="276" w:lineRule="auto"/>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Revenues relating to our autonomous PowerBuoy system increased by $1.8 million as a result of work on projects with the US Navy to provide our PowerBuoy technology to the US Navy’s DWADS and LEAP programs.</w:t>
      </w:r>
    </w:p>
    <w:p>
      <w:pPr>
        <w:spacing w:after="0" w:line="49" w:lineRule="exact"/>
        <w:rPr>
          <w:rFonts w:ascii="Arial" w:cs="Arial" w:eastAsia="Arial" w:hAnsi="Arial"/>
          <w:sz w:val="13"/>
          <w:szCs w:val="13"/>
          <w:color w:val="auto"/>
        </w:rPr>
      </w:pPr>
    </w:p>
    <w:p>
      <w:pPr>
        <w:ind w:left="600" w:right="240" w:hanging="190"/>
        <w:spacing w:after="0" w:line="320" w:lineRule="auto"/>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Revenues relating to our utility PowerBuoy system decreased by $0.7 million due primarily to a decrease in billable work on our wave power station off the coast of Spain, as work under this phase of the project neared completion, coupled with a reduction in the expected contract value of this project in late fiscal 2009. There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9" w:name="page50"/>
    <w:bookmarkEnd w:id="49"/>
    <w:p>
      <w:pPr>
        <w:ind w:left="600"/>
        <w:spacing w:after="0"/>
        <w:rPr>
          <w:sz w:val="20"/>
          <w:szCs w:val="20"/>
          <w:color w:val="auto"/>
        </w:rPr>
      </w:pPr>
      <w:r>
        <w:rPr>
          <w:rFonts w:ascii="Arial" w:cs="Arial" w:eastAsia="Arial" w:hAnsi="Arial"/>
          <w:sz w:val="12"/>
          <w:szCs w:val="12"/>
          <w:color w:val="auto"/>
        </w:rPr>
        <w:t>was also a decrease in revenue related to our Hawaii project for the US Navy, partially offset by an increase in revenue related to our project off the coast of Reedsport, Oregon.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Cost of revenues</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Cost of revenues decreased by $0.5 million, or 11%, to $4.3 million in fiscal 2010, as compared to $4.8 million in fiscal 2009. This decrease in cost of revenues reflected the lower level of activity on our project off the coast of Spain, offset by increased activity related to our autonomous PowerBuoy projects for the US Navy.</w:t>
      </w:r>
    </w:p>
    <w:p>
      <w:pPr>
        <w:spacing w:after="0" w:line="59" w:lineRule="exact"/>
        <w:rPr>
          <w:sz w:val="20"/>
          <w:szCs w:val="20"/>
          <w:color w:val="auto"/>
        </w:rPr>
      </w:pPr>
    </w:p>
    <w:p>
      <w:pPr>
        <w:ind w:right="80" w:firstLine="399"/>
        <w:spacing w:after="0" w:line="281" w:lineRule="auto"/>
        <w:rPr>
          <w:sz w:val="20"/>
          <w:szCs w:val="20"/>
          <w:color w:val="auto"/>
        </w:rPr>
      </w:pPr>
      <w:r>
        <w:rPr>
          <w:rFonts w:ascii="Arial" w:cs="Arial" w:eastAsia="Arial" w:hAnsi="Arial"/>
          <w:sz w:val="12"/>
          <w:szCs w:val="12"/>
          <w:color w:val="auto"/>
        </w:rPr>
        <w:t>We operated at a gross profit of $0.8 million in fiscal 2010 and a gross loss of $0.8 million in fiscal 2009. Certain of our projects in fiscal 2010 and 2009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based on the amount agreed upon with the customer. An equal amount corresponding to the revenue is recorded in cost of revenues resulting in gross profit on these contracts of zero. Our share of the costs is considered to be product development expense. Approximately $0.4 million of costs related to revenue activity during fiscal 2009 had been previously anticipated and accrued as contract loss reserves as of April 30, 2009. These loss reserves were no longer necessary and, accordingly, reversed in fiscal year 2010 contributing to the increase in a gross profit. Our ability to generate a gross profit will depend on the nature of future contracts, our success at increasing sales of our PowerBuoy systems and on our ability to manage costs incurred on fixed price commercial contracts.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Product development costs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Product development costs increased by $4.6 million, or 55% to $13.0 million in fiscal 2010, as compared to $8.4 million in fiscal 2009. Product development costs were attributable primarily to our efforts to increase the power output and reliability of our utility PowerBuoy system, especially the 150kW PowerBuoy system. It is our intent to fund the majority of our research and development expenses, including cost-sharing obligations under some of our customer contracts, over the next several years with sources of external funding. If we are unable to obtain external funding, we may curtail our research and development expenses or we may decide to self-fund research and development expenses, in which case our product development costs may continue to increase.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Selling, general and administrative costs</w:t>
      </w:r>
    </w:p>
    <w:p>
      <w:pPr>
        <w:spacing w:after="0" w:line="96"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Selling, general and administrative costs decreased $0.4 million, or 5%, to $9.1 million in fiscal 2010, as compared to $9.5 million in fiscal 2009. The decrease was attributable primarily to a decrease in consulting, legal, accounting and investor relations expenses partially offset by increased personnel-related expenses.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income</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Interest income decreased by $0.7 million, or 38%, to $1.0 million in fiscal 2010, compared to $1.7 million in fiscal 2009, due to a decrease in cash, cash equivalents and marketable securities. In addition, the average yield decreased to approximately 1.40% during fiscal 2010 from approximately 1.86% during fiscal 2009.</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Other income</w:t>
      </w:r>
    </w:p>
    <w:p>
      <w:pPr>
        <w:spacing w:after="0" w:line="96" w:lineRule="exact"/>
        <w:rPr>
          <w:sz w:val="20"/>
          <w:szCs w:val="20"/>
          <w:color w:val="auto"/>
        </w:rPr>
      </w:pPr>
    </w:p>
    <w:p>
      <w:pPr>
        <w:ind w:right="520" w:firstLine="399"/>
        <w:spacing w:after="0" w:line="276" w:lineRule="auto"/>
        <w:rPr>
          <w:sz w:val="20"/>
          <w:szCs w:val="20"/>
          <w:color w:val="auto"/>
        </w:rPr>
      </w:pPr>
      <w:r>
        <w:rPr>
          <w:rFonts w:ascii="Arial" w:cs="Arial" w:eastAsia="Arial" w:hAnsi="Arial"/>
          <w:sz w:val="13"/>
          <w:szCs w:val="13"/>
          <w:color w:val="auto"/>
        </w:rPr>
        <w:t>Other income was $0.6 million in fiscal 2010, compared to none for fiscal 2009. During the first quarter of fiscal 2010, we settled a claim which we had against a supplier of engineering services, which resulted in a settlement in our favor.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Foreign exchange gain (loss)</w:t>
      </w:r>
    </w:p>
    <w:p>
      <w:pPr>
        <w:spacing w:after="0" w:line="96"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Foreign exchange gain was $0.5 million in fiscal 2010, compared to a foreign exchange loss of $1.3 million in fiscal 2009. The difference was attributable primarily to the relative change in value of the British pound sterling, Euro and Australian dollar compared to the US dollar during the two periods.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Since our inception, the cash flows from customer revenues have not been sufficient to fund our operations and provide the capital resources for the planned growth of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For the three years ended April 30, 2011, our revenues were $15.8 million, our net losses were $57.9 million and our net cash used in operating activities was $51.2 million.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Year Ended April 30,</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7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(20,458,824)</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(19,132,008)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Adjustments for noncash operating items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2,112,952</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1,181,318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operating loss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(18,345,872)</w:t>
            </w:r>
          </w:p>
        </w:tc>
        <w:tc>
          <w:tcPr>
            <w:tcW w:w="3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(17,950,690)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Net change in assets and liabilities</w:t>
            </w:r>
          </w:p>
        </w:tc>
        <w:tc>
          <w:tcPr>
            <w:tcW w:w="26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(424,230)</w:t>
            </w:r>
          </w:p>
        </w:tc>
        <w:tc>
          <w:tcPr>
            <w:tcW w:w="3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2,180,006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operating activities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(18,770,102)</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(15,770,684)</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provided by investing activities</w:t>
            </w: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18,431,358</w:t>
            </w:r>
          </w:p>
        </w:tc>
        <w:tc>
          <w:tcPr>
            <w:tcW w:w="400" w:type="dxa"/>
            <w:vAlign w:val="bottom"/>
          </w:tcPr>
          <w:p>
            <w:pPr>
              <w:spacing w:after="0"/>
              <w:rPr>
                <w:sz w:val="14"/>
                <w:szCs w:val="14"/>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7,309,086</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207,701</w:t>
            </w: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(99,841)</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Effect of exchange rates on cash and cash equivalents</w:t>
            </w: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270,582</w:t>
            </w:r>
          </w:p>
        </w:tc>
        <w:tc>
          <w:tcPr>
            <w:tcW w:w="400" w:type="dxa"/>
            <w:vAlign w:val="bottom"/>
          </w:tcPr>
          <w:p>
            <w:pPr>
              <w:spacing w:after="0"/>
              <w:rPr>
                <w:sz w:val="14"/>
                <w:szCs w:val="14"/>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530,206</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cash used in operating activities</w:t>
      </w:r>
    </w:p>
    <w:p>
      <w:pPr>
        <w:spacing w:after="0" w:line="100" w:lineRule="exact"/>
        <w:rPr>
          <w:sz w:val="20"/>
          <w:szCs w:val="20"/>
          <w:color w:val="auto"/>
        </w:rPr>
      </w:pPr>
    </w:p>
    <w:p>
      <w:pPr>
        <w:ind w:right="280" w:firstLine="399"/>
        <w:spacing w:after="0" w:line="320" w:lineRule="auto"/>
        <w:rPr>
          <w:sz w:val="20"/>
          <w:szCs w:val="20"/>
          <w:color w:val="auto"/>
        </w:rPr>
      </w:pPr>
      <w:r>
        <w:rPr>
          <w:rFonts w:ascii="Arial" w:cs="Arial" w:eastAsia="Arial" w:hAnsi="Arial"/>
          <w:sz w:val="12"/>
          <w:szCs w:val="12"/>
          <w:color w:val="auto"/>
        </w:rPr>
        <w:t>Net cash used in operating activities was $18.8 million for fiscal 2011 and $15.8 million for fiscal 2010. The change was the result of an increase in net loss of $1.3 million and a decrease in cash provided by operating assets and liabilities of $2.6 million, offset by an increase in cash provided by non-cash charges of $0.9 million.</w:t>
      </w:r>
    </w:p>
    <w:p>
      <w:pPr>
        <w:spacing w:after="0" w:line="35"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The change in non-cash charges was due primarily to a change in foreign exchange gains (losses) of $0.8 million due to the relative change in the value of the British pound against the US dollar, an increase in stock compensation expense of $0.3 million, a decrease in loss on disposal of equipment of $0.1 million and a decrease in Treasury note amortization of $0.1 million.</w:t>
      </w:r>
    </w:p>
    <w:p>
      <w:pPr>
        <w:spacing w:after="0" w:line="67" w:lineRule="exact"/>
        <w:rPr>
          <w:sz w:val="20"/>
          <w:szCs w:val="20"/>
          <w:color w:val="auto"/>
        </w:rPr>
      </w:pPr>
    </w:p>
    <w:p>
      <w:pPr>
        <w:ind w:right="420" w:firstLine="399"/>
        <w:spacing w:after="0" w:line="305" w:lineRule="auto"/>
        <w:rPr>
          <w:sz w:val="20"/>
          <w:szCs w:val="20"/>
          <w:color w:val="auto"/>
        </w:rPr>
      </w:pPr>
      <w:r>
        <w:rPr>
          <w:rFonts w:ascii="Arial" w:cs="Arial" w:eastAsia="Arial" w:hAnsi="Arial"/>
          <w:sz w:val="11"/>
          <w:szCs w:val="11"/>
          <w:color w:val="auto"/>
        </w:rPr>
        <w:t>The decrease in cash provided by operating assets and liabilities was primarily the result of a decrease in cash provided by accounts payable of $1.9 million, a decrease in cash provided by unearned revenues of $1.6 million, a decrease in cash provided by unbilled receivables of $0.6 million and a decrease in cash provided by other noncurrent liabilities of</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$0.3 million, partially offset by an increase in cash provided by other non-current assets of $1.1 million and an increase in cash provided by accounts receivable of $0.8 million. The change in accounts payable reflects a decrease in payables to the steel fabricator for our Reedsport, Oregon project. The changes in unearned revenue and receivables were primarily due to the timing of billings to customers.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cash provided by investing activities</w:t>
      </w:r>
    </w:p>
    <w:p>
      <w:pPr>
        <w:spacing w:after="0" w:line="10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Net cash provided by investing activities was $18.4 million and $7.3 million for fiscal 2011 and 2010, respectively. The change was primarily the result of a net decrease in purchases of marketable securities during fiscal 2011.</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00" w:lineRule="exact"/>
        <w:rPr>
          <w:sz w:val="20"/>
          <w:szCs w:val="20"/>
          <w:color w:val="auto"/>
        </w:rPr>
      </w:pPr>
    </w:p>
    <w:p>
      <w:pPr>
        <w:jc w:val="both"/>
        <w:ind w:right="80" w:firstLine="399"/>
        <w:spacing w:after="0" w:line="371" w:lineRule="auto"/>
        <w:rPr>
          <w:sz w:val="20"/>
          <w:szCs w:val="20"/>
          <w:color w:val="auto"/>
        </w:rPr>
      </w:pPr>
      <w:r>
        <w:rPr>
          <w:rFonts w:ascii="Arial" w:cs="Arial" w:eastAsia="Arial" w:hAnsi="Arial"/>
          <w:sz w:val="11"/>
          <w:szCs w:val="11"/>
          <w:color w:val="auto"/>
        </w:rPr>
        <w:t>Net cash provided by financing activities was $0.2 million in fiscal 2011 and net cash used in financing activities was $0.1 million in fiscal 2010, reflecting a net change in our loans from the State of New Jersey. During fiscal 2011, we received a $0.25 million loan under the New Jersey Board of Public Utilities Renewable Energy Business Venture Assistance Program.</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Effect of exchange rates on cash and cash equivalents</w:t>
      </w:r>
    </w:p>
    <w:p>
      <w:pPr>
        <w:spacing w:after="0" w:line="100"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Effect of exchange rates on cash and cash equivalents was an increase in cash of $0.3 million and $0.5 million in fiscal 2011 and 2010, respectively. The change was primarily the result of gains on consolidation of foreign subsidiaries and foreign denominated cash and cash equivalents.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Outlook</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59" w:lineRule="exact"/>
        <w:rPr>
          <w:sz w:val="20"/>
          <w:szCs w:val="20"/>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cost of development efforts for our PowerBuoy systems;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success of our commercial relationships with major customers;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cost of manufacturing activities;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cost of commercialization activities, including demonstration projects, product marketing and sales;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ability to establish and maintain additional commercial relationships;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implementation of our expansion plans, including the hiring of new employees;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potential acquisitions of other products or technologies;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costs involved in preparing, filing, prosecuting, maintaining and enforcing patent claims and other patent-related costs.</w:t>
      </w:r>
    </w:p>
    <w:p>
      <w:pPr>
        <w:spacing w:after="0" w:line="96"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We believe that our current cash, cash equivalents and investments will be sufficient to meet our anticipated cash needs for working capital and capital expenditures at least through fiscal 2013.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necessary financing, we may be required to reduce the scope of our planned product development and marketing efforts, which could harm our financial condition and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major outstanding contractual obligations relate primarily to our facilities leases. We have summarized in the table below our fixed contractual cash obligations as of April 30,</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2011.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w w:val="98"/>
              </w:rPr>
              <w:t>Payments Due by Period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restart"/>
          </w:tcPr>
          <w:p>
            <w:pPr>
              <w:jc w:val="right"/>
              <w:ind w:right="76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Less than</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jc w:val="right"/>
              <w:ind w:right="700"/>
              <w:spacing w:after="0" w:line="81" w:lineRule="exact"/>
              <w:rPr>
                <w:sz w:val="20"/>
                <w:szCs w:val="20"/>
                <w:color w:val="auto"/>
              </w:rPr>
            </w:pPr>
            <w:r>
              <w:rPr>
                <w:rFonts w:ascii="Arial" w:cs="Arial" w:eastAsia="Arial" w:hAnsi="Arial"/>
                <w:sz w:val="9"/>
                <w:szCs w:val="9"/>
                <w:b w:val="1"/>
                <w:bCs w:val="1"/>
                <w:color w:val="auto"/>
              </w:rPr>
              <w:t>One to</w:t>
            </w:r>
          </w:p>
        </w:tc>
        <w:tc>
          <w:tcPr>
            <w:tcW w:w="80" w:type="dxa"/>
            <w:vAlign w:val="bottom"/>
          </w:tcPr>
          <w:p>
            <w:pPr>
              <w:spacing w:after="0"/>
              <w:rPr>
                <w:sz w:val="7"/>
                <w:szCs w:val="7"/>
                <w:color w:val="auto"/>
              </w:rPr>
            </w:pPr>
          </w:p>
        </w:tc>
        <w:tc>
          <w:tcPr>
            <w:tcW w:w="100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Three to</w:t>
            </w:r>
          </w:p>
        </w:tc>
        <w:tc>
          <w:tcPr>
            <w:tcW w:w="80" w:type="dxa"/>
            <w:vAlign w:val="bottom"/>
          </w:tcPr>
          <w:p>
            <w:pPr>
              <w:spacing w:after="0"/>
              <w:rPr>
                <w:sz w:val="7"/>
                <w:szCs w:val="7"/>
                <w:color w:val="auto"/>
              </w:rPr>
            </w:pPr>
          </w:p>
        </w:tc>
        <w:tc>
          <w:tcPr>
            <w:tcW w:w="60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One Year</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7"/>
              </w:rPr>
              <w:t>Three Years</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5"/>
              </w:rPr>
              <w:t>Five Years</w:t>
            </w:r>
          </w:p>
        </w:tc>
        <w:tc>
          <w:tcPr>
            <w:tcW w:w="80" w:type="dxa"/>
            <w:vAlign w:val="bottom"/>
          </w:tcPr>
          <w:p>
            <w:pPr>
              <w:spacing w:after="0"/>
              <w:rPr>
                <w:sz w:val="10"/>
                <w:szCs w:val="10"/>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Five Years</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589,000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Operating leases</w:t>
            </w:r>
          </w:p>
        </w:tc>
        <w:tc>
          <w:tcPr>
            <w:tcW w:w="2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574,000</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326,000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248,000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1,163,000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465,000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Our long-term debt consists of a recoverable grant award from the New Jersey Board of Public Utilities. Under the recoverable grant award, the amount to be repaid is a fixed monthly amount of principal only, repayable over a five-year period beginning in November 2011.</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Since inception, we have not engaged in any off-balance sheet financing activities.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right="40" w:firstLine="399"/>
        <w:spacing w:after="0" w:line="316" w:lineRule="auto"/>
        <w:rPr>
          <w:sz w:val="20"/>
          <w:szCs w:val="20"/>
          <w:color w:val="auto"/>
        </w:rPr>
      </w:pPr>
      <w:r>
        <w:rPr>
          <w:rFonts w:ascii="Arial" w:cs="Arial" w:eastAsia="Arial" w:hAnsi="Arial"/>
          <w:sz w:val="11"/>
          <w:szCs w:val="11"/>
          <w:color w:val="auto"/>
        </w:rPr>
        <w:t>The discussion and analysis of our financial condition and results of operations set forth above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believe the following accounting policies require significant judgment and estimates by us in the preparation of our consolidated financial statements.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 recognition and unearned revenues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estimate or delays in meeting performance criteria or in completing projects may have a significant effect on our revenue for the periods involved.</w:t>
      </w:r>
    </w:p>
    <w:p>
      <w:pPr>
        <w:spacing w:after="0" w:line="71" w:lineRule="exact"/>
        <w:rPr>
          <w:sz w:val="20"/>
          <w:szCs w:val="20"/>
          <w:color w:val="auto"/>
        </w:rPr>
      </w:pPr>
    </w:p>
    <w:p>
      <w:pPr>
        <w:ind w:right="80" w:firstLine="399"/>
        <w:spacing w:after="0" w:line="255" w:lineRule="auto"/>
        <w:rPr>
          <w:sz w:val="20"/>
          <w:szCs w:val="20"/>
          <w:color w:val="auto"/>
        </w:rPr>
      </w:pPr>
      <w:r>
        <w:rPr>
          <w:rFonts w:ascii="Arial" w:cs="Arial" w:eastAsia="Arial" w:hAnsi="Arial"/>
          <w:sz w:val="13"/>
          <w:szCs w:val="13"/>
          <w:color w:val="auto"/>
        </w:rPr>
        <w:t>Upon anticipating a loss on a contract, we recognize the full amount of the anticipated loss in the current period. We had loss reserves of $0.8 million as of April 30, 2011 and 2010 related to one contract. In fiscal 2009, we recognized a loss of $0.8 million on our contract for a wave power station off the coast of Spain. The additional anticipated loss in 2009 was recognized based on changes in estimated costs associated with this contract, a reduction in the expected contract value, and our decision in the fourth quarter of fiscal 2008 to absorb an additional $1.9 million in costs beyond our obligation for initial cost overruns and certain other costs as set forth in the agreement. Approximately $0.4 million of loss reserves related to the Spanish contract were no longer necessary and, accordingly, were reversed in fiscal 2010, contributing to the increase in gross profit. In fiscal 2011, we reduced revenues by approximately $0.2 million due to a change in estimated revenue to be recognized in connection with the Spain construction agreement, and there was no corresponding reduction in cost of revenues. Modifications to contract provisions, such as those in connection with the Company’s Spain construction agreement, as well as modifications in contract loss estimates, may require changes in reserves established for anticipated contract losses.</w:t>
      </w:r>
    </w:p>
    <w:p>
      <w:pPr>
        <w:spacing w:after="0" w:line="7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Determining the appropriate fair-value model and calculating the fair value of stock-based awards at the date of grant using any valuation model requires judgment. We use the Black-Scholes option pricing model to estimate the fair value of employee stock options. Option pricing models, including the Black-Scholes model, require the use of input assumptions, including expected volatility, expected term and the expected dividend rate. Because our stock has been publicly traded in the United States only since April 2007, we do not have a significant observable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53" w:name="page54"/>
    <w:bookmarkEnd w:id="53"/>
    <w:p>
      <w:pPr>
        <w:spacing w:after="0" w:line="278" w:lineRule="auto"/>
        <w:rPr>
          <w:sz w:val="20"/>
          <w:szCs w:val="20"/>
          <w:color w:val="auto"/>
        </w:rPr>
      </w:pPr>
      <w:r>
        <w:rPr>
          <w:rFonts w:ascii="Arial" w:cs="Arial" w:eastAsia="Arial" w:hAnsi="Arial"/>
          <w:sz w:val="12"/>
          <w:szCs w:val="12"/>
          <w:color w:val="auto"/>
        </w:rPr>
        <w:t xml:space="preserve">share-price volatility for the United States capital markets; therefore, we estimate our expected volatility based on that of what we consider to be similar publicly-traded companies and expect to continue to do so until such time as we have adequate historical data from our traded share price in the United States. We did not estimate our expected volatility based on the price of our common stock on the AIM market of the London Stock Exchange on which our shares traded from October 2003 to January 2011, because we do not believe, based on the historically low trading volume of our shares on that market, that the volatility of our common stock on the AIM market is an appropriate indicator of the expected volatility of our common stock. We voluntarily delisted from the AIM market effective January 14, 2011. Prior to fiscal 2007, we estimated the expected term of our options using our best estimate of the period of time from the grant date that we expect the options to remain outstanding. Beginning in fiscal 2007, we estimate the expected term using the average midpoint between the vesting terms and the contractual terms of our options as permitted by the Securities and Exchange Commission’s Staff Accounting Bulletin No. 107, </w:t>
      </w:r>
      <w:r>
        <w:rPr>
          <w:rFonts w:ascii="Arial" w:cs="Arial" w:eastAsia="Arial" w:hAnsi="Arial"/>
          <w:sz w:val="12"/>
          <w:szCs w:val="12"/>
          <w:i w:val="1"/>
          <w:iCs w:val="1"/>
          <w:color w:val="auto"/>
        </w:rPr>
        <w:t>Share-Based Payment</w:t>
      </w:r>
      <w:r>
        <w:rPr>
          <w:rFonts w:ascii="Arial" w:cs="Arial" w:eastAsia="Arial" w:hAnsi="Arial"/>
          <w:sz w:val="12"/>
          <w:szCs w:val="12"/>
          <w:color w:val="auto"/>
        </w:rPr>
        <w:t>. If we determine another method to estimate expected volatility or expected term is more reasonable than our current methods, or if another method for calculating these input assumptions is prescribed by authoritative guidance, the fair value calculated for future stock-based awards could change significantly. Higher volatility and longer expected terms have a significant impact on the value of stock-based compensation determined at the date of grant. The expected dividend rate is not as significant to the calculation of the fair value of our stock-based awards.</w:t>
      </w:r>
    </w:p>
    <w:p>
      <w:pPr>
        <w:spacing w:after="0" w:line="63"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In addition, we are required to develop an estimate of the number of stock-based awards that will be forfeited due to employee turnover. 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73"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The aggregate share-based compensation expense, related to all share-based transactions related to employees was approximately $1.4 million, $1.1 million and $1.5 million in fiscal 2011, 2010 and 2009, respectively.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in this Annual Report, we have established a valuation allowance for our net deferred tax assets, which was $39.9 million as of April 30, 2011 and $33.1 million as of April 30, 2010. We recognized a tax benefit in fiscal 2011 of $0.4 million related to the sale of $4.4 million of New Jersey state net operating losses.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May 2011, the Financial Accounting Standards Board (FASB) issued further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 We are currently assessing the impact of the guidance.</w:t>
      </w:r>
    </w:p>
    <w:p>
      <w:pPr>
        <w:spacing w:after="0" w:line="14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We generally place our investments in money market funds, Treasury notes, Treasury bills and certificates of deposit with maturities of less than one year. We actively manage our portfolio of cash equivalents and investments,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71"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color w:val="auto"/>
        </w:rPr>
        <w:t>Management estimates that had the average yield on our cash, cash equivalents, and investments decreased by 100 basis points, our interest income for the year ended April 30, 2011 would have decreased by $0.6 million. This estimate assumes that the decrease occurred on the first day of fiscal 2011 and reduced the yield of each investment by 100 basis points. The impact on our future interest income of future changes in investment yields will depend largely on the gross amount of our cash, cash equivalents, and investments.</w:t>
      </w:r>
    </w:p>
    <w:p>
      <w:pPr>
        <w:spacing w:after="0" w:line="50"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w:t>
      </w:r>
    </w:p>
    <w:p>
      <w:pPr>
        <w:spacing w:after="0" w:line="70"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We maintain cash accounts that are denominated in British pounds sterling, Euros and Australian dollars. These foreign-denominated cash accounts had a balance of $4.8 million as of April 30, 2011 and $4.1 million as of April 30, 2010, compared to our total cash, cash equivalents, marketable securities and restricted cash account balances of $48.3 million as of April 30, 2011 and $66.8 million as of April 30, 2010. These foreign currency balances are translated at each month end to our functional currency, the US dollar, and any resulting gain or loss is recognized in our results of operations. If the foreign currency exchange rates had fluctuated by 10% as of April 30, 2011, the impact on our foreign exchange gains and losses would have been $0.5 million.</w:t>
      </w:r>
    </w:p>
    <w:p>
      <w:pPr>
        <w:spacing w:after="0" w:line="71"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year ended April 30, 2011 were recorded in Euros, British pounds sterling or Australian dollars.</w:t>
      </w:r>
    </w:p>
    <w:p>
      <w:pPr>
        <w:spacing w:after="0" w:line="53"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We currently do not hedge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5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have limited potential exposure to fluctuations in prices of commodities used in the production of our buoys, such as steel. Currently, we believe our exposure is minimal since we contract for the components of our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55" w:name="page56"/>
    <w:bookmarkEnd w:id="55"/>
    <w:p>
      <w:pPr>
        <w:ind w:right="200"/>
        <w:spacing w:after="0" w:line="276" w:lineRule="auto"/>
        <w:rPr>
          <w:sz w:val="20"/>
          <w:szCs w:val="20"/>
          <w:color w:val="auto"/>
        </w:rPr>
      </w:pPr>
      <w:r>
        <w:rPr>
          <w:rFonts w:ascii="Arial" w:cs="Arial" w:eastAsia="Arial" w:hAnsi="Arial"/>
          <w:sz w:val="13"/>
          <w:szCs w:val="13"/>
          <w:color w:val="auto"/>
        </w:rPr>
        <w:t>buoys on a project-by-project basis and do not yet produce in large unit volumes. We do not use long-term supply agreements nor do we use derivative instruments to hedge any potential exposure.</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financial statements and supplementary data required by this item are listed in Item 15 — “Exhibits and Financial Statement Schedules” of this Annual Report.</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An evaluation of the effectiveness of the design and operation of our disclosure controls and procedures was performed as of the end of the period covered by this report. This evaluation was performed under the supervision and with the participation of management, including our Chief Executive Officer and Chief Financial Officer. Based upon that evaluation, our Chief Executive Officer and Chief Financial Officer concluded that our disclosure controls and procedures are effective in providing reasonable assurance that information required to be disclosed by the Company in the reports that it files or submits under the Securities Exchange Act of 1934, as amended, is accumulated and communicated to management, including our Chief Executive Officer and Chief Financial Officer, as appropriate, to allow timely decisions regarding required disclosure and are effective in providing reasonable assurance that such information is recorded, processed, summarized and reported within the time periods specified by the rules and forms of the US Securities and Exchange Commission (SEC).</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annual report of management on the Company’s internal control over financial reporting is provided under “Reports of Management” on page F-2.</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attestation report of KPMG LLP, the Company’s independent registered public accounting firm, regarding the Company’s internal control over financial reporting is provided under “Report of Independent Registered Public Accounting Firm” on page F-3.</w:t>
      </w:r>
    </w:p>
    <w:p>
      <w:pPr>
        <w:spacing w:after="0" w:line="59"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During the quarter ended April 30, 2011, there were no changes in the Company’s internal control over financial reporting that materially affected, or are reasonably likely to materially affect, such internal control over financial reporting.</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0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Information with respect to this item is set forth in the Proxy Statement for the 2011 Annual Meeting of Stockholders (the “Proxy Statement”) under the headings “Election of Directors,” “Executive Officers,” “Section 16(a) Beneficial Ownership Reporting Compliance,” “Code of Ethics” and “Corporate Governance” and is incorporated herein by reference. The Proxy Statement will be filed with the SEC within 120 days after the end of the fiscal year covered by this Form 10-K.</w:t>
      </w:r>
    </w:p>
    <w:p>
      <w:pPr>
        <w:spacing w:after="0" w:line="142"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Information with respect to this item is set forth in the Proxy Statement under the headings “Executive Compensation” and “Director Compensation,” and is incorporated herein by reference. The Proxy Statement will be filed with the SEC within 120 days after the end of the fiscal year covered by this Form 10-K.</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1" w:right="1059" w:bottom="1440" w:gutter="0" w:footer="0" w:header="0"/>
        </w:sectPr>
      </w:pPr>
    </w:p>
    <w:bookmarkStart w:id="56" w:name="page57"/>
    <w:bookmarkEnd w:id="56"/>
    <w:p>
      <w:pPr>
        <w:spacing w:after="0"/>
        <w:tabs>
          <w:tab w:leader="none" w:pos="9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right="120" w:firstLine="399"/>
        <w:spacing w:after="0" w:line="320" w:lineRule="auto"/>
        <w:rPr>
          <w:sz w:val="20"/>
          <w:szCs w:val="20"/>
          <w:color w:val="auto"/>
        </w:rPr>
      </w:pPr>
      <w:r>
        <w:rPr>
          <w:rFonts w:ascii="Arial" w:cs="Arial" w:eastAsia="Arial" w:hAnsi="Arial"/>
          <w:sz w:val="12"/>
          <w:szCs w:val="12"/>
          <w:color w:val="auto"/>
        </w:rPr>
        <w:t>Information with respect to this item is set forth in the Proxy Statement under the headings “Security Ownership of Certain Beneficial Owners and Management” and “Executive Compensation,” and is incorporated herein by reference. The Proxy Statement will be filed with the SEC within 120 days after the end of the fiscal year covered by this Form 10-K.</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00"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Information with respect to this item is set forth in the Proxy Statement under the headings “Certain Relationships and Related Party Transactions” and “Corporate Governance and Board Matters,” and is incorporated herein by reference. The Proxy Statement will be filed with the SEC within 120 days after the end of the fiscal year covered by this Form 10-K.</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Information with respect to this item is set forth in the Proxy Statement under the heading “Ratification of the Selection of Independent Registered Public Accounting Firm,” and is incorporated herein by reference. The Proxy Statement will be filed with the SEC within 120 days after the end of the fiscal year covered by this Form 10-K.</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580" w:hanging="174"/>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(1) Financial Statements: See Index to Consolidated Financial Statements on page F-1.</w:t>
      </w:r>
    </w:p>
    <w:p>
      <w:pPr>
        <w:spacing w:after="0" w:line="96"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(3) Exhibits: See Exhibits Index on pages 59 to 60.</w:t>
      </w: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20"/>
          </w:cols>
          <w:pgMar w:left="900" w:top="717" w:right="1179" w:bottom="1440" w:gutter="0" w:footer="0" w:header="0"/>
        </w:sectPr>
      </w:pPr>
    </w:p>
    <w:bookmarkStart w:id="57" w:name="page58"/>
    <w:bookmarkEnd w:id="57"/>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OCEAN POWER TECHNOLOGIES, INC.</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July 14, 2011</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C</w:t>
      </w:r>
      <w:r>
        <w:rPr>
          <w:rFonts w:ascii="Arial" w:cs="Arial" w:eastAsia="Arial" w:hAnsi="Arial"/>
          <w:sz w:val="8"/>
          <w:szCs w:val="8"/>
          <w:color w:val="auto"/>
        </w:rPr>
        <w:t>HARLES</w:t>
      </w:r>
      <w:r>
        <w:rPr>
          <w:rFonts w:ascii="Arial" w:cs="Arial" w:eastAsia="Arial" w:hAnsi="Arial"/>
          <w:sz w:val="13"/>
          <w:szCs w:val="13"/>
          <w:color w:val="auto"/>
        </w:rPr>
        <w:t xml:space="preserve"> F. D</w:t>
      </w:r>
      <w:r>
        <w:rPr>
          <w:rFonts w:ascii="Arial" w:cs="Arial" w:eastAsia="Arial" w:hAnsi="Arial"/>
          <w:sz w:val="8"/>
          <w:szCs w:val="8"/>
          <w:color w:val="auto"/>
        </w:rPr>
        <w:t>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Chief Executive Officer</w:t>
      </w:r>
    </w:p>
    <w:p>
      <w:pPr>
        <w:spacing w:after="0" w:line="89"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80"/>
        <w:spacing w:after="0"/>
        <w:tabs>
          <w:tab w:leader="none" w:pos="7200" w:val="left"/>
          <w:tab w:leader="none" w:pos="101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6421755</wp:posOffset>
            </wp:positionH>
            <wp:positionV relativeFrom="paragraph">
              <wp:posOffset>12700</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HARLES</w:t>
            </w:r>
            <w:r>
              <w:rPr>
                <w:rFonts w:ascii="Arial" w:cs="Arial" w:eastAsia="Arial" w:hAnsi="Arial"/>
                <w:sz w:val="13"/>
                <w:szCs w:val="13"/>
                <w:color w:val="auto"/>
              </w:rPr>
              <w:t xml:space="preserve"> F. D</w:t>
            </w:r>
            <w:r>
              <w:rPr>
                <w:rFonts w:ascii="Arial" w:cs="Arial" w:eastAsia="Arial" w:hAnsi="Arial"/>
                <w:sz w:val="8"/>
                <w:szCs w:val="8"/>
                <w:color w:val="auto"/>
              </w:rPr>
              <w:t>UNLEAVY</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5"/>
              </w:rPr>
              <w:t>Director, Chief Executive Officer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9"/>
              </w:rPr>
              <w:t>Charles F. Dunleavy</w:t>
            </w:r>
          </w:p>
        </w:tc>
        <w:tc>
          <w:tcPr>
            <w:tcW w:w="4200" w:type="dxa"/>
            <w:vAlign w:val="bottom"/>
          </w:tcPr>
          <w:p>
            <w:pPr>
              <w:jc w:val="center"/>
              <w:ind w:left="414"/>
              <w:spacing w:after="0" w:line="145" w:lineRule="exact"/>
              <w:rPr>
                <w:sz w:val="20"/>
                <w:szCs w:val="20"/>
                <w:color w:val="auto"/>
              </w:rPr>
            </w:pPr>
            <w:r>
              <w:rPr>
                <w:rFonts w:ascii="Arial" w:cs="Arial" w:eastAsia="Arial" w:hAnsi="Arial"/>
                <w:sz w:val="13"/>
                <w:szCs w:val="13"/>
                <w:color w:val="auto"/>
                <w:w w:val="94"/>
              </w:rPr>
              <w:t>(Principal Executive Officer)</w:t>
            </w: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W. T</w:t>
            </w:r>
            <w:r>
              <w:rPr>
                <w:rFonts w:ascii="Arial" w:cs="Arial" w:eastAsia="Arial" w:hAnsi="Arial"/>
                <w:sz w:val="8"/>
                <w:szCs w:val="8"/>
                <w:color w:val="auto"/>
              </w:rPr>
              <w:t>AYLOR</w:t>
            </w:r>
          </w:p>
        </w:tc>
        <w:tc>
          <w:tcPr>
            <w:tcW w:w="4200" w:type="dxa"/>
            <w:vAlign w:val="bottom"/>
          </w:tcPr>
          <w:p>
            <w:pPr>
              <w:jc w:val="center"/>
              <w:ind w:left="394"/>
              <w:spacing w:after="0"/>
              <w:rPr>
                <w:sz w:val="20"/>
                <w:szCs w:val="20"/>
                <w:color w:val="auto"/>
              </w:rPr>
            </w:pPr>
            <w:r>
              <w:rPr>
                <w:rFonts w:ascii="Arial" w:cs="Arial" w:eastAsia="Arial" w:hAnsi="Arial"/>
                <w:sz w:val="13"/>
                <w:szCs w:val="13"/>
                <w:color w:val="auto"/>
                <w:w w:val="92"/>
              </w:rPr>
              <w:t>Executive Chairman of the Board of Directors</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George W. Taylor</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RIAN</w:t>
            </w:r>
            <w:r>
              <w:rPr>
                <w:rFonts w:ascii="Arial" w:cs="Arial" w:eastAsia="Arial" w:hAnsi="Arial"/>
                <w:sz w:val="13"/>
                <w:szCs w:val="13"/>
                <w:color w:val="auto"/>
              </w:rPr>
              <w:t xml:space="preserve"> M. P</w:t>
            </w:r>
            <w:r>
              <w:rPr>
                <w:rFonts w:ascii="Arial" w:cs="Arial" w:eastAsia="Arial" w:hAnsi="Arial"/>
                <w:sz w:val="8"/>
                <w:szCs w:val="8"/>
                <w:color w:val="auto"/>
              </w:rPr>
              <w:t>OSNER</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4"/>
              </w:rPr>
              <w:t>Chief Financial Officer,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30"/>
        </w:trPr>
        <w:tc>
          <w:tcPr>
            <w:tcW w:w="680" w:type="dxa"/>
            <w:vAlign w:val="bottom"/>
          </w:tcPr>
          <w:p>
            <w:pPr>
              <w:spacing w:after="0"/>
              <w:rPr>
                <w:sz w:val="11"/>
                <w:szCs w:val="11"/>
                <w:color w:val="auto"/>
              </w:rPr>
            </w:pPr>
          </w:p>
        </w:tc>
        <w:tc>
          <w:tcPr>
            <w:tcW w:w="4220" w:type="dxa"/>
            <w:vAlign w:val="bottom"/>
          </w:tcPr>
          <w:p>
            <w:pPr>
              <w:jc w:val="center"/>
              <w:spacing w:after="0" w:line="130" w:lineRule="exact"/>
              <w:rPr>
                <w:sz w:val="20"/>
                <w:szCs w:val="20"/>
                <w:color w:val="auto"/>
              </w:rPr>
            </w:pPr>
            <w:r>
              <w:rPr>
                <w:rFonts w:ascii="Arial" w:cs="Arial" w:eastAsia="Arial" w:hAnsi="Arial"/>
                <w:sz w:val="13"/>
                <w:szCs w:val="13"/>
                <w:color w:val="auto"/>
                <w:w w:val="92"/>
              </w:rPr>
              <w:t>Brian M. Posner</w:t>
            </w:r>
          </w:p>
        </w:tc>
        <w:tc>
          <w:tcPr>
            <w:tcW w:w="4200" w:type="dxa"/>
            <w:vAlign w:val="bottom"/>
          </w:tcPr>
          <w:p>
            <w:pPr>
              <w:jc w:val="center"/>
              <w:ind w:left="414"/>
              <w:spacing w:after="0" w:line="130" w:lineRule="exact"/>
              <w:rPr>
                <w:sz w:val="20"/>
                <w:szCs w:val="20"/>
                <w:color w:val="auto"/>
              </w:rPr>
            </w:pPr>
            <w:r>
              <w:rPr>
                <w:rFonts w:ascii="Arial" w:cs="Arial" w:eastAsia="Arial" w:hAnsi="Arial"/>
                <w:sz w:val="13"/>
                <w:szCs w:val="13"/>
                <w:color w:val="auto"/>
                <w:w w:val="87"/>
              </w:rPr>
              <w:t>Secretary and Treasurer</w:t>
            </w:r>
          </w:p>
        </w:tc>
        <w:tc>
          <w:tcPr>
            <w:tcW w:w="236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4"/>
              </w:rPr>
              <w:t>(Principal Financial Officer</w:t>
            </w:r>
          </w:p>
        </w:tc>
        <w:tc>
          <w:tcPr>
            <w:tcW w:w="236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5"/>
              </w:rPr>
              <w:t>and Principal Accounting Officer)</w:t>
            </w:r>
          </w:p>
        </w:tc>
        <w:tc>
          <w:tcPr>
            <w:tcW w:w="23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EYMOUR</w:t>
            </w:r>
            <w:r>
              <w:rPr>
                <w:rFonts w:ascii="Arial" w:cs="Arial" w:eastAsia="Arial" w:hAnsi="Arial"/>
                <w:sz w:val="13"/>
                <w:szCs w:val="13"/>
                <w:color w:val="auto"/>
              </w:rPr>
              <w:t xml:space="preserve"> S. P</w:t>
            </w:r>
            <w:r>
              <w:rPr>
                <w:rFonts w:ascii="Arial" w:cs="Arial" w:eastAsia="Arial" w:hAnsi="Arial"/>
                <w:sz w:val="8"/>
                <w:szCs w:val="8"/>
                <w:color w:val="auto"/>
              </w:rPr>
              <w:t>RESTON</w:t>
            </w:r>
            <w:r>
              <w:rPr>
                <w:rFonts w:ascii="Arial" w:cs="Arial" w:eastAsia="Arial" w:hAnsi="Arial"/>
                <w:sz w:val="13"/>
                <w:szCs w:val="13"/>
                <w:color w:val="auto"/>
              </w:rPr>
              <w:t xml:space="preserve"> III</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Seymour S. Preston III</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J. M</w:t>
            </w:r>
            <w:r>
              <w:rPr>
                <w:rFonts w:ascii="Arial" w:cs="Arial" w:eastAsia="Arial" w:hAnsi="Arial"/>
                <w:sz w:val="8"/>
                <w:szCs w:val="8"/>
                <w:color w:val="auto"/>
              </w:rPr>
              <w:t>EANEY</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8"/>
              </w:rPr>
              <w:t>Thomas J. Meaney</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F. L</w:t>
            </w:r>
            <w:r>
              <w:rPr>
                <w:rFonts w:ascii="Arial" w:cs="Arial" w:eastAsia="Arial" w:hAnsi="Arial"/>
                <w:sz w:val="8"/>
                <w:szCs w:val="8"/>
                <w:color w:val="auto"/>
              </w:rPr>
              <w:t>OZIER</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Paul F. Lozier</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 V</w:t>
            </w:r>
            <w:r>
              <w:rPr>
                <w:rFonts w:ascii="Arial" w:cs="Arial" w:eastAsia="Arial" w:hAnsi="Arial"/>
                <w:sz w:val="8"/>
                <w:szCs w:val="8"/>
                <w:color w:val="auto"/>
              </w:rPr>
              <w:t>ICTOR</w:t>
            </w:r>
            <w:r>
              <w:rPr>
                <w:rFonts w:ascii="Arial" w:cs="Arial" w:eastAsia="Arial" w:hAnsi="Arial"/>
                <w:sz w:val="13"/>
                <w:szCs w:val="13"/>
                <w:color w:val="auto"/>
              </w:rPr>
              <w:t xml:space="preserve"> C</w:t>
            </w:r>
            <w:r>
              <w:rPr>
                <w:rFonts w:ascii="Arial" w:cs="Arial" w:eastAsia="Arial" w:hAnsi="Arial"/>
                <w:sz w:val="8"/>
                <w:szCs w:val="8"/>
                <w:color w:val="auto"/>
              </w:rPr>
              <w:t>HATIGNY</w:t>
            </w:r>
          </w:p>
        </w:tc>
        <w:tc>
          <w:tcPr>
            <w:tcW w:w="42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360" w:type="dxa"/>
            <w:vAlign w:val="bottom"/>
          </w:tcPr>
          <w:p>
            <w:pPr>
              <w:ind w:left="660"/>
              <w:spacing w:after="0"/>
              <w:rPr>
                <w:sz w:val="20"/>
                <w:szCs w:val="20"/>
                <w:color w:val="auto"/>
              </w:rPr>
            </w:pPr>
            <w:r>
              <w:rPr>
                <w:rFonts w:ascii="Arial" w:cs="Arial" w:eastAsia="Arial" w:hAnsi="Arial"/>
                <w:sz w:val="13"/>
                <w:szCs w:val="13"/>
                <w:color w:val="auto"/>
              </w:rPr>
              <w:t>July 14, 2011</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J. Victor Chatigny</w:t>
            </w:r>
          </w:p>
        </w:tc>
        <w:tc>
          <w:tcPr>
            <w:tcW w:w="420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0" w:type="dxa"/>
            <w:vAlign w:val="bottom"/>
          </w:tcPr>
          <w:p>
            <w:pPr>
              <w:jc w:val="right"/>
              <w:ind w:right="3294"/>
              <w:spacing w:after="0"/>
              <w:rPr>
                <w:sz w:val="20"/>
                <w:szCs w:val="20"/>
                <w:color w:val="auto"/>
              </w:rPr>
            </w:pPr>
            <w:r>
              <w:rPr>
                <w:rFonts w:ascii="Arial" w:cs="Arial" w:eastAsia="Arial" w:hAnsi="Arial"/>
                <w:sz w:val="13"/>
                <w:szCs w:val="13"/>
                <w:color w:val="auto"/>
              </w:rPr>
              <w:t>58</w:t>
            </w:r>
          </w:p>
        </w:tc>
        <w:tc>
          <w:tcPr>
            <w:tcW w:w="23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2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3260" w:type="dxa"/>
            <w:vAlign w:val="bottom"/>
            <w:gridSpan w:val="3"/>
          </w:tcPr>
          <w:p>
            <w:pPr>
              <w:ind w:left="1920"/>
              <w:spacing w:after="0"/>
              <w:rPr>
                <w:sz w:val="20"/>
                <w:szCs w:val="20"/>
                <w:color w:val="auto"/>
              </w:rPr>
            </w:pPr>
            <w:r>
              <w:rPr>
                <w:rFonts w:ascii="Arial" w:cs="Arial" w:eastAsia="Arial" w:hAnsi="Arial"/>
                <w:sz w:val="13"/>
                <w:szCs w:val="13"/>
                <w:b w:val="1"/>
                <w:bCs w:val="1"/>
                <w:color w:val="auto"/>
              </w:rPr>
              <w:t>Exhibits Index</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7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0"/>
              </w:rPr>
              <w:t>Description</w:t>
            </w:r>
          </w:p>
        </w:tc>
        <w:tc>
          <w:tcPr>
            <w:tcW w:w="0" w:type="dxa"/>
            <w:vAlign w:val="bottom"/>
          </w:tcPr>
          <w:p>
            <w:pPr>
              <w:spacing w:after="0"/>
              <w:rPr>
                <w:sz w:val="1"/>
                <w:szCs w:val="1"/>
                <w:color w:val="auto"/>
              </w:rPr>
            </w:pPr>
          </w:p>
        </w:tc>
      </w:tr>
      <w:tr>
        <w:trPr>
          <w:trHeight w:val="135"/>
        </w:trPr>
        <w:tc>
          <w:tcPr>
            <w:tcW w:w="24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7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-5715</wp:posOffset>
            </wp:positionV>
            <wp:extent cx="63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Restated Certificate of Incorporation of the registrant (incorporated by reference from Exhibit 3.1 to Form 10-Q filed September 14, 2007)</w:t>
      </w:r>
    </w:p>
    <w:p>
      <w:pPr>
        <w:spacing w:after="0" w:line="15"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 of the registrant (incorporated by reference from Exhibit 3.2 to Form 10-Q filed September 14, 2007)</w:t>
      </w:r>
    </w:p>
    <w:p>
      <w:pPr>
        <w:spacing w:after="0" w:line="8"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certificate of common stock (incorporated by reference from Exhibit 4.1 to Form S-1/A filed March 19, 2007)</w:t>
      </w:r>
    </w:p>
    <w:p>
      <w:pPr>
        <w:spacing w:after="0" w:line="8" w:lineRule="exact"/>
        <w:rPr>
          <w:sz w:val="20"/>
          <w:szCs w:val="20"/>
          <w:color w:val="auto"/>
        </w:rPr>
      </w:pPr>
    </w:p>
    <w:p>
      <w:pPr>
        <w:ind w:left="720" w:right="260" w:hanging="622"/>
        <w:spacing w:after="0" w:line="273" w:lineRule="auto"/>
        <w:tabs>
          <w:tab w:leader="none" w:pos="7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Engineering, Procurement and Construction of a Wave Energy Power Plant at “Punta del Pescador” (Santoña, Spain), dated July 27, 2006, between Iberdrola Energias Marinas de Cantabria, S.A. and Ocean Power Technologies Limited (incorporated by reference from Exhibit 10.1 to Form S-1 filed November 13, 2006)</w:t>
      </w:r>
    </w:p>
    <w:p>
      <w:pPr>
        <w:spacing w:after="0" w:line="1" w:lineRule="exact"/>
        <w:rPr>
          <w:sz w:val="20"/>
          <w:szCs w:val="20"/>
          <w:color w:val="auto"/>
        </w:rPr>
      </w:pPr>
    </w:p>
    <w:p>
      <w:pPr>
        <w:ind w:left="720" w:right="280" w:hanging="622"/>
        <w:spacing w:after="0" w:line="252" w:lineRule="auto"/>
        <w:tabs>
          <w:tab w:leader="none" w:pos="7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Option Agreement for Purchase of Emissions Credits, dated November 24, 2000 between Ocean Power Technologies, Inc. and its affiliates and Woodside Sustainable Energy Solutions Pty. Ltd. (incorporated by reference from Exhibit 10.4 to Form S-1 filed November 13, 2006)</w:t>
      </w:r>
    </w:p>
    <w:p>
      <w:pPr>
        <w:spacing w:after="0" w:line="1"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1994 Stock Option Plan (incorporated by reference from Exhibit 10.5 to Form S-1 filed November 13, 2006)*</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Incentive Stock Option Plan (incorporated by reference from Exhibit 10.6 to Form S-1 filed November 13, 2006)*</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2001 Stock Plan (incorporated by reference from Exhibit 10.7 to Form S-1 filed November 13, 2006)*</w:t>
      </w:r>
    </w:p>
    <w:p>
      <w:pPr>
        <w:spacing w:after="0" w:line="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2006 Stock Incentive Plan (incorporated by reference from Exhibit 10.8 to Form S-1/A filed March 19, 2007)*</w:t>
      </w:r>
    </w:p>
    <w:p>
      <w:pPr>
        <w:spacing w:after="0" w:line="8" w:lineRule="exact"/>
        <w:rPr>
          <w:sz w:val="20"/>
          <w:szCs w:val="20"/>
          <w:color w:val="auto"/>
        </w:rPr>
      </w:pPr>
    </w:p>
    <w:p>
      <w:pPr>
        <w:ind w:left="720" w:right="200" w:hanging="622"/>
        <w:spacing w:after="0" w:line="252" w:lineRule="auto"/>
        <w:tabs>
          <w:tab w:leader="none" w:pos="7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Amended and Restated Voting and Right of First Refusal Agreement, dated April 18, 2005, between Ocean Power Technologies, Inc., George W. Taylor and JoAnne E. Burns (incorporated by reference from Exhibit 10.9 to Form S-1 filed November 13, 2006)</w:t>
      </w:r>
    </w:p>
    <w:p>
      <w:pPr>
        <w:spacing w:after="0" w:line="1" w:lineRule="exact"/>
        <w:rPr>
          <w:sz w:val="20"/>
          <w:szCs w:val="20"/>
          <w:color w:val="auto"/>
        </w:rPr>
      </w:pPr>
    </w:p>
    <w:p>
      <w:pPr>
        <w:ind w:left="720" w:hanging="622"/>
        <w:spacing w:after="0" w:line="252" w:lineRule="auto"/>
        <w:tabs>
          <w:tab w:leader="none" w:pos="7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Agreement to Refinance, dated November 14, 1993 between Joseph R. Burns, Michael Y. Epstein, George W. Taylor and Ocean Power Technologies, Inc. (incorporated by reference from Exhibit 10.10 to Form S-1 filed November 13, 2006)</w:t>
      </w:r>
    </w:p>
    <w:p>
      <w:pPr>
        <w:spacing w:after="0" w:line="1" w:lineRule="exact"/>
        <w:rPr>
          <w:sz w:val="20"/>
          <w:szCs w:val="20"/>
          <w:color w:val="auto"/>
        </w:rPr>
      </w:pPr>
    </w:p>
    <w:p>
      <w:pPr>
        <w:ind w:left="720" w:right="80" w:hanging="622"/>
        <w:spacing w:after="0" w:line="252" w:lineRule="auto"/>
        <w:tabs>
          <w:tab w:leader="none" w:pos="7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Amended and Restated Employment Agreement, dated April 8, 2009, between Charles F. Dunleavy and Ocean Power Technologies, Inc. (incorporated by reference from Exhibit 10.2 to Form 8-K filed April 13, 2009)*</w:t>
      </w:r>
    </w:p>
    <w:p>
      <w:pPr>
        <w:spacing w:after="0" w:line="1" w:lineRule="exact"/>
        <w:rPr>
          <w:sz w:val="20"/>
          <w:szCs w:val="20"/>
          <w:color w:val="auto"/>
        </w:rPr>
      </w:pPr>
    </w:p>
    <w:p>
      <w:pPr>
        <w:ind w:left="720" w:right="220" w:hanging="622"/>
        <w:spacing w:after="0" w:line="252" w:lineRule="auto"/>
        <w:tabs>
          <w:tab w:leader="none" w:pos="7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Amended and Restated Employment Agreement, dated April 8, 2009, between George W. Taylor and Ocean Power Technologies, Inc. (incorporated by reference from Exhibit 10.1 to Form 8-K filed April 13, 2009)*</w:t>
      </w:r>
    </w:p>
    <w:p>
      <w:pPr>
        <w:spacing w:after="0" w:line="1" w:lineRule="exact"/>
        <w:rPr>
          <w:sz w:val="20"/>
          <w:szCs w:val="20"/>
          <w:color w:val="auto"/>
        </w:rPr>
      </w:pPr>
    </w:p>
    <w:p>
      <w:pPr>
        <w:ind w:left="720" w:hanging="622"/>
        <w:spacing w:after="0" w:line="252" w:lineRule="auto"/>
        <w:tabs>
          <w:tab w:leader="none" w:pos="7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Consultant Agreement, dated August 1, 1999, between Thomas J. Meaney and Ocean Power Technologies, Inc. (incorporated by reference from Exhibit 10.13 to Form S-1 filed November 13, 2006)</w:t>
      </w:r>
    </w:p>
    <w:p>
      <w:pPr>
        <w:spacing w:after="0" w:line="1" w:lineRule="exact"/>
        <w:rPr>
          <w:sz w:val="20"/>
          <w:szCs w:val="20"/>
          <w:color w:val="auto"/>
        </w:rPr>
      </w:pPr>
    </w:p>
    <w:p>
      <w:pPr>
        <w:ind w:left="720" w:right="420" w:hanging="622"/>
        <w:spacing w:after="0" w:line="252" w:lineRule="auto"/>
        <w:tabs>
          <w:tab w:leader="none" w:pos="7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Employment Agreement, dated September 9, 2004, between Mark R. Draper and Ocean Power Technologies Ltd. (incorporated by reference from Exhibit 10.14 to Form S-1 filed November 13, 2006)*</w:t>
      </w:r>
    </w:p>
    <w:p>
      <w:pPr>
        <w:spacing w:after="0" w:line="1" w:lineRule="exact"/>
        <w:rPr>
          <w:sz w:val="20"/>
          <w:szCs w:val="20"/>
          <w:color w:val="auto"/>
        </w:rPr>
      </w:pPr>
    </w:p>
    <w:p>
      <w:pPr>
        <w:ind w:left="720" w:hanging="622"/>
        <w:spacing w:after="0" w:line="252" w:lineRule="auto"/>
        <w:tabs>
          <w:tab w:leader="none" w:pos="7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Lease Agreement, dated August 30, 2005 between Ocean Power Technologies, Inc. and Reed Road Industrial Park LLC #1, as amended on January 27, 2006 (incorporated by reference from Exhibit 10.16 to Form S-1 filed November 13, 2006)</w:t>
      </w:r>
    </w:p>
    <w:p>
      <w:pPr>
        <w:spacing w:after="0" w:line="1" w:lineRule="exact"/>
        <w:rPr>
          <w:sz w:val="20"/>
          <w:szCs w:val="20"/>
          <w:color w:val="auto"/>
        </w:rPr>
      </w:pPr>
    </w:p>
    <w:p>
      <w:pPr>
        <w:ind w:left="720" w:right="160" w:hanging="622"/>
        <w:spacing w:after="0" w:line="252" w:lineRule="auto"/>
        <w:tabs>
          <w:tab w:leader="none" w:pos="7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Lease, dated January 15, 2007, between University of Warwick Science Park Innovation Centre Limited and Ocean Power Technologies Ltd. (incorporated by reference from Exhibit 10.17 to Form S-1/A filed March 19, 2007)</w:t>
      </w:r>
    </w:p>
    <w:p>
      <w:pPr>
        <w:spacing w:after="0" w:line="1" w:lineRule="exact"/>
        <w:rPr>
          <w:sz w:val="20"/>
          <w:szCs w:val="20"/>
          <w:color w:val="auto"/>
        </w:rPr>
      </w:pPr>
    </w:p>
    <w:p>
      <w:pPr>
        <w:ind w:left="720" w:right="280" w:hanging="622"/>
        <w:spacing w:after="0" w:line="252" w:lineRule="auto"/>
        <w:tabs>
          <w:tab w:leader="none" w:pos="7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Agreement for Renewable Energy Economic Development Grants, dated November 3, 2003, between State of New Jersey Board of Public Utilities and Ocean Power Technologies, Inc. (incorporated by reference from Exhibit 10.18 to Form S-1/A filed March 19, 2007)</w:t>
      </w:r>
    </w:p>
    <w:p>
      <w:pPr>
        <w:spacing w:after="0" w:line="1" w:lineRule="exact"/>
        <w:rPr>
          <w:sz w:val="20"/>
          <w:szCs w:val="20"/>
          <w:color w:val="auto"/>
        </w:rPr>
      </w:pPr>
    </w:p>
    <w:p>
      <w:pPr>
        <w:ind w:left="720" w:right="180" w:hanging="622"/>
        <w:spacing w:after="0" w:line="264" w:lineRule="auto"/>
        <w:tabs>
          <w:tab w:leader="none" w:pos="7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Contract Number DM259735, dated September 17, 2005 between Lockheed Martin Corporation Maritime Systems and Sensors (MS2) and Ocean Power Technologies, Inc., as modified (incorporated by reference from Exhibit 10.20 to Form S-1/A filed March 19, 2007)</w:t>
      </w: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00"/>
          </w:cols>
          <w:pgMar w:left="1100" w:top="716" w:right="1099" w:bottom="1440" w:gutter="0" w:footer="0" w:header="0"/>
        </w:sectPr>
      </w:pPr>
    </w:p>
    <w:bookmarkStart w:id="59" w:name="page60"/>
    <w:bookmarkEnd w:id="59"/>
    <w:tbl>
      <w:tblPr>
        <w:tblLayout w:type="fixed"/>
        <w:tblInd w:w="193"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0</wp:posOffset>
            </wp:positionV>
            <wp:extent cx="63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913" w:right="100" w:hanging="622"/>
        <w:spacing w:after="0" w:line="258" w:lineRule="auto"/>
        <w:tabs>
          <w:tab w:leader="none" w:pos="893"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Marketing Cooperation Agreement, dated September 9, 2006, between Ocean Power Technologies, Inc. and Lockheed Martin Corporation through its Maritime Systems and Sensors business unit (incorporated by reference from Exhibit 10.21 to Form S-1/A filed April 10, 2007)</w:t>
      </w:r>
    </w:p>
    <w:p>
      <w:pPr>
        <w:spacing w:after="0" w:line="1" w:lineRule="exact"/>
        <w:rPr>
          <w:sz w:val="20"/>
          <w:szCs w:val="20"/>
          <w:color w:val="auto"/>
        </w:rPr>
      </w:pPr>
    </w:p>
    <w:p>
      <w:pPr>
        <w:ind w:left="913" w:right="340" w:hanging="622"/>
        <w:spacing w:after="0" w:line="252" w:lineRule="auto"/>
        <w:tabs>
          <w:tab w:leader="none" w:pos="893"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Contract Number N00014-07-C-0617, dated May 24, 2007, between the Office of Naval Research, U.S. Navy and Ocean Power Technologies, Inc. (incorporated by reference from Exhibit 99.1 to Form 8-K filed June 8, 2007)</w:t>
      </w:r>
    </w:p>
    <w:p>
      <w:pPr>
        <w:spacing w:after="0" w:line="1" w:lineRule="exact"/>
        <w:rPr>
          <w:sz w:val="20"/>
          <w:szCs w:val="20"/>
          <w:color w:val="auto"/>
        </w:rPr>
      </w:pPr>
    </w:p>
    <w:p>
      <w:pPr>
        <w:jc w:val="both"/>
        <w:ind w:left="913" w:right="400" w:hanging="622"/>
        <w:spacing w:after="0" w:line="252" w:lineRule="auto"/>
        <w:tabs>
          <w:tab w:leader="none" w:pos="893"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Addendum to the Agreement for the Engineering, Procurement and Construction of a Wave Energy Power Plant at “Punta del Pescador” (Santoña, Spain), between Iberdrola Energias Marinas de Cantabria, S.A. and Ocean Power Technologies Limited, dated February 18, 2008 (incorporated by reference from Exhibit 10.27 to Form 10-K filed July 14, 2008)</w:t>
      </w:r>
    </w:p>
    <w:p>
      <w:pPr>
        <w:spacing w:after="0" w:line="1" w:lineRule="exact"/>
        <w:rPr>
          <w:sz w:val="20"/>
          <w:szCs w:val="20"/>
          <w:color w:val="auto"/>
        </w:rPr>
      </w:pPr>
    </w:p>
    <w:p>
      <w:pPr>
        <w:ind w:left="913" w:right="140" w:hanging="622"/>
        <w:spacing w:after="0" w:line="252" w:lineRule="auto"/>
        <w:tabs>
          <w:tab w:leader="none" w:pos="893"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Lease, dated February 1, 2008, between KUC Properties Limited and Ocean Power Technologies Ltd. (incorporated by reference from Exhibit 10.28 to Form 10-K filed July 14, 2008)</w:t>
      </w:r>
    </w:p>
    <w:p>
      <w:pPr>
        <w:spacing w:after="0" w:line="1" w:lineRule="exact"/>
        <w:rPr>
          <w:sz w:val="20"/>
          <w:szCs w:val="20"/>
          <w:color w:val="auto"/>
        </w:rPr>
      </w:pPr>
    </w:p>
    <w:p>
      <w:pPr>
        <w:ind w:left="913" w:right="60" w:hanging="622"/>
        <w:spacing w:after="0" w:line="252" w:lineRule="auto"/>
        <w:tabs>
          <w:tab w:leader="none" w:pos="893"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Financial Assistance Award agreement between Ocean Power Technologies, Inc. and US Department of Energy date September 23, 2008 (incorporated by reference from Exhibit 10.1 to Form 10-Q filed December 10, 2008)</w:t>
      </w:r>
    </w:p>
    <w:p>
      <w:pPr>
        <w:spacing w:after="0" w:line="1" w:lineRule="exact"/>
        <w:rPr>
          <w:sz w:val="20"/>
          <w:szCs w:val="20"/>
          <w:color w:val="auto"/>
        </w:rPr>
      </w:pPr>
    </w:p>
    <w:p>
      <w:pPr>
        <w:ind w:left="913" w:right="80" w:hanging="622"/>
        <w:spacing w:after="0" w:line="252" w:lineRule="auto"/>
        <w:tabs>
          <w:tab w:leader="none" w:pos="893"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Modification of Financial Assistance Award agreement between Ocean Power Technologies, Inc. and US Department of Energy dated October 16, 2008 (incorporated by reference from Exhibit 10.2 to Form 10-Q filed December 10, 2008)</w:t>
      </w:r>
    </w:p>
    <w:p>
      <w:pPr>
        <w:spacing w:after="0" w:line="1" w:lineRule="exact"/>
        <w:rPr>
          <w:sz w:val="20"/>
          <w:szCs w:val="20"/>
          <w:color w:val="auto"/>
        </w:rPr>
      </w:pPr>
    </w:p>
    <w:p>
      <w:pPr>
        <w:ind w:left="913" w:right="580" w:hanging="622"/>
        <w:spacing w:after="0" w:line="252" w:lineRule="auto"/>
        <w:tabs>
          <w:tab w:leader="none" w:pos="893"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Agreement between Ocean Power Technologies, Inc. and the Office of Naval Research of the US Navy dated October 31, 2008 (incorporated by reference from Exhibit 10.3 to Form 10-Q filed December 10, 2008)</w:t>
      </w:r>
    </w:p>
    <w:p>
      <w:pPr>
        <w:spacing w:after="0" w:line="1" w:lineRule="exact"/>
        <w:rPr>
          <w:sz w:val="20"/>
          <w:szCs w:val="20"/>
          <w:color w:val="auto"/>
        </w:rPr>
      </w:pPr>
    </w:p>
    <w:p>
      <w:pPr>
        <w:ind w:left="913" w:hanging="622"/>
        <w:spacing w:after="0" w:line="252" w:lineRule="auto"/>
        <w:tabs>
          <w:tab w:leader="none" w:pos="893"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Employment Agreement, dated May 19, 2010, between Brian M. Posner and Ocean Power Technologies, Inc. (incorporated by reference from Exhibit 10.28 to Form 10-K filed July 14, 2010)*</w:t>
      </w:r>
    </w:p>
    <w:p>
      <w:pPr>
        <w:spacing w:after="0" w:line="1"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Form of Restricted Stock Agreement (incorporated by reference from Exhibit 10.1 to Form 10-Q filed March 14, 2011)*</w:t>
      </w:r>
    </w:p>
    <w:p>
      <w:pPr>
        <w:spacing w:after="0" w:line="8"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Subsidiaries of the registrant</w:t>
      </w:r>
    </w:p>
    <w:p>
      <w:pPr>
        <w:spacing w:after="0" w:line="8"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KPMG LLP</w:t>
      </w:r>
    </w:p>
    <w:p>
      <w:pPr>
        <w:spacing w:after="0" w:line="8"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w:t>
      </w:r>
    </w:p>
    <w:p>
      <w:pPr>
        <w:spacing w:after="0" w:line="8"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w:t>
      </w:r>
    </w:p>
    <w:p>
      <w:pPr>
        <w:spacing w:after="0" w:line="8"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of Chief Executive Officer pursuant to Section 906 of Sarbanes-Oxley Act of 2002</w:t>
      </w:r>
    </w:p>
    <w:p>
      <w:pPr>
        <w:spacing w:after="0" w:line="8" w:lineRule="exact"/>
        <w:rPr>
          <w:sz w:val="20"/>
          <w:szCs w:val="20"/>
          <w:color w:val="auto"/>
        </w:rPr>
      </w:pPr>
    </w:p>
    <w:p>
      <w:pPr>
        <w:ind w:left="293"/>
        <w:spacing w:after="0"/>
        <w:tabs>
          <w:tab w:leader="none" w:pos="893"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Certification of Chief Financial Officer pursuant to Section 906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82359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213" w:hanging="213"/>
        <w:spacing w:after="0"/>
        <w:tabs>
          <w:tab w:leader="none" w:pos="213"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136" w:lineRule="exact"/>
        <w:rPr>
          <w:sz w:val="20"/>
          <w:szCs w:val="20"/>
          <w:color w:val="auto"/>
        </w:rPr>
      </w:pPr>
    </w:p>
    <w:p>
      <w:pPr>
        <w:jc w:val="center"/>
        <w:ind w:right="-92"/>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73"/>
          </w:cols>
          <w:pgMar w:left="907" w:top="715" w:right="1119" w:bottom="1440" w:gutter="0" w:footer="0" w:header="0"/>
        </w:sectPr>
      </w:pPr>
    </w:p>
    <w:bookmarkStart w:id="60" w:name="page61"/>
    <w:bookmarkEnd w:id="60"/>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034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78"/>
        </w:trPr>
        <w:tc>
          <w:tcPr>
            <w:tcW w:w="10340" w:type="dxa"/>
            <w:vAlign w:val="bottom"/>
          </w:tcPr>
          <w:p>
            <w:pPr>
              <w:ind w:left="680"/>
              <w:spacing w:after="0"/>
              <w:rPr>
                <w:sz w:val="20"/>
                <w:szCs w:val="20"/>
                <w:color w:val="auto"/>
              </w:rPr>
            </w:pPr>
            <w:r>
              <w:rPr>
                <w:rFonts w:ascii="Arial" w:cs="Arial" w:eastAsia="Arial" w:hAnsi="Arial"/>
                <w:sz w:val="13"/>
                <w:szCs w:val="13"/>
                <w:color w:val="auto"/>
              </w:rPr>
              <w:t>Reports of Management</w:t>
            </w: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5"/>
                <w:szCs w:val="15"/>
                <w:color w:val="auto"/>
              </w:rPr>
            </w:pPr>
          </w:p>
        </w:tc>
      </w:tr>
      <w:tr>
        <w:trPr>
          <w:trHeight w:val="157"/>
        </w:trPr>
        <w:tc>
          <w:tcPr>
            <w:tcW w:w="10340" w:type="dxa"/>
            <w:vAlign w:val="bottom"/>
          </w:tcPr>
          <w:p>
            <w:pPr>
              <w:ind w:left="680"/>
              <w:spacing w:after="0"/>
              <w:rPr>
                <w:sz w:val="20"/>
                <w:szCs w:val="20"/>
                <w:color w:val="auto"/>
              </w:rPr>
            </w:pPr>
            <w:r>
              <w:rPr>
                <w:rFonts w:ascii="Arial" w:cs="Arial" w:eastAsia="Arial" w:hAnsi="Arial"/>
                <w:sz w:val="13"/>
                <w:szCs w:val="13"/>
                <w:color w:val="auto"/>
              </w:rPr>
              <w:t>Reports of Independent Registered Public Accounting Firm</w:t>
            </w:r>
          </w:p>
        </w:tc>
        <w:tc>
          <w:tcPr>
            <w:tcW w:w="320" w:type="dxa"/>
            <w:vAlign w:val="bottom"/>
          </w:tcPr>
          <w:p>
            <w:pPr>
              <w:ind w:left="100"/>
              <w:spacing w:after="0"/>
              <w:rPr>
                <w:sz w:val="20"/>
                <w:szCs w:val="20"/>
                <w:color w:val="auto"/>
              </w:rPr>
            </w:pPr>
            <w:r>
              <w:rPr>
                <w:rFonts w:ascii="Arial" w:cs="Arial" w:eastAsia="Arial" w:hAnsi="Arial"/>
                <w:sz w:val="13"/>
                <w:szCs w:val="13"/>
                <w:color w:val="auto"/>
              </w:rPr>
              <w:t>F-3</w:t>
            </w:r>
          </w:p>
        </w:tc>
        <w:tc>
          <w:tcPr>
            <w:tcW w:w="800" w:type="dxa"/>
            <w:vAlign w:val="bottom"/>
          </w:tcPr>
          <w:p>
            <w:pPr>
              <w:spacing w:after="0"/>
              <w:rPr>
                <w:sz w:val="13"/>
                <w:szCs w:val="13"/>
                <w:color w:val="auto"/>
              </w:rPr>
            </w:pPr>
          </w:p>
        </w:tc>
      </w:tr>
      <w:tr>
        <w:trPr>
          <w:trHeight w:val="157"/>
        </w:trPr>
        <w:tc>
          <w:tcPr>
            <w:tcW w:w="10340" w:type="dxa"/>
            <w:vAlign w:val="bottom"/>
          </w:tcPr>
          <w:p>
            <w:pPr>
              <w:ind w:left="680"/>
              <w:spacing w:after="0"/>
              <w:rPr>
                <w:sz w:val="20"/>
                <w:szCs w:val="20"/>
                <w:color w:val="auto"/>
              </w:rPr>
            </w:pPr>
            <w:r>
              <w:rPr>
                <w:rFonts w:ascii="Arial" w:cs="Arial" w:eastAsia="Arial" w:hAnsi="Arial"/>
                <w:sz w:val="13"/>
                <w:szCs w:val="13"/>
                <w:color w:val="auto"/>
              </w:rPr>
              <w:t>Consolidated Balance Sheets, April 30, 2011 and 2010</w:t>
            </w:r>
          </w:p>
        </w:tc>
        <w:tc>
          <w:tcPr>
            <w:tcW w:w="320" w:type="dxa"/>
            <w:vAlign w:val="bottom"/>
          </w:tcPr>
          <w:p>
            <w:pPr>
              <w:ind w:left="100"/>
              <w:spacing w:after="0"/>
              <w:rPr>
                <w:sz w:val="20"/>
                <w:szCs w:val="20"/>
                <w:color w:val="auto"/>
              </w:rPr>
            </w:pPr>
            <w:r>
              <w:rPr>
                <w:rFonts w:ascii="Arial" w:cs="Arial" w:eastAsia="Arial" w:hAnsi="Arial"/>
                <w:sz w:val="13"/>
                <w:szCs w:val="13"/>
                <w:color w:val="auto"/>
              </w:rPr>
              <w:t>F-5</w:t>
            </w:r>
          </w:p>
        </w:tc>
        <w:tc>
          <w:tcPr>
            <w:tcW w:w="800" w:type="dxa"/>
            <w:vAlign w:val="bottom"/>
          </w:tcPr>
          <w:p>
            <w:pPr>
              <w:spacing w:after="0"/>
              <w:rPr>
                <w:sz w:val="13"/>
                <w:szCs w:val="13"/>
                <w:color w:val="auto"/>
              </w:rPr>
            </w:pPr>
          </w:p>
        </w:tc>
      </w:tr>
      <w:tr>
        <w:trPr>
          <w:trHeight w:val="157"/>
        </w:trPr>
        <w:tc>
          <w:tcPr>
            <w:tcW w:w="10340" w:type="dxa"/>
            <w:vAlign w:val="bottom"/>
          </w:tcPr>
          <w:p>
            <w:pPr>
              <w:ind w:left="680"/>
              <w:spacing w:after="0"/>
              <w:rPr>
                <w:sz w:val="20"/>
                <w:szCs w:val="20"/>
                <w:color w:val="auto"/>
              </w:rPr>
            </w:pPr>
            <w:r>
              <w:rPr>
                <w:rFonts w:ascii="Arial" w:cs="Arial" w:eastAsia="Arial" w:hAnsi="Arial"/>
                <w:sz w:val="13"/>
                <w:szCs w:val="13"/>
                <w:color w:val="auto"/>
              </w:rPr>
              <w:t>Consolidated Statements of Operations, Years ended April 30, 2011, 2010 and 2009</w:t>
            </w:r>
          </w:p>
        </w:tc>
        <w:tc>
          <w:tcPr>
            <w:tcW w:w="320" w:type="dxa"/>
            <w:vAlign w:val="bottom"/>
          </w:tcPr>
          <w:p>
            <w:pPr>
              <w:ind w:left="100"/>
              <w:spacing w:after="0"/>
              <w:rPr>
                <w:sz w:val="20"/>
                <w:szCs w:val="20"/>
                <w:color w:val="auto"/>
              </w:rPr>
            </w:pPr>
            <w:r>
              <w:rPr>
                <w:rFonts w:ascii="Arial" w:cs="Arial" w:eastAsia="Arial" w:hAnsi="Arial"/>
                <w:sz w:val="13"/>
                <w:szCs w:val="13"/>
                <w:color w:val="auto"/>
              </w:rPr>
              <w:t>F-6</w:t>
            </w:r>
          </w:p>
        </w:tc>
        <w:tc>
          <w:tcPr>
            <w:tcW w:w="800" w:type="dxa"/>
            <w:vAlign w:val="bottom"/>
          </w:tcPr>
          <w:p>
            <w:pPr>
              <w:spacing w:after="0"/>
              <w:rPr>
                <w:sz w:val="13"/>
                <w:szCs w:val="13"/>
                <w:color w:val="auto"/>
              </w:rPr>
            </w:pPr>
          </w:p>
        </w:tc>
      </w:tr>
      <w:tr>
        <w:trPr>
          <w:trHeight w:val="157"/>
        </w:trPr>
        <w:tc>
          <w:tcPr>
            <w:tcW w:w="10340" w:type="dxa"/>
            <w:vAlign w:val="bottom"/>
          </w:tcPr>
          <w:p>
            <w:pPr>
              <w:ind w:left="680"/>
              <w:spacing w:after="0"/>
              <w:rPr>
                <w:sz w:val="20"/>
                <w:szCs w:val="20"/>
                <w:color w:val="auto"/>
              </w:rPr>
            </w:pPr>
            <w:r>
              <w:rPr>
                <w:rFonts w:ascii="Arial" w:cs="Arial" w:eastAsia="Arial" w:hAnsi="Arial"/>
                <w:sz w:val="13"/>
                <w:szCs w:val="13"/>
                <w:color w:val="auto"/>
              </w:rPr>
              <w:t>Consolidated Statements of Stockholders’ Equity and Comprehensive Loss, Years ended April 30, 2011, 2010 and 2009</w:t>
            </w:r>
          </w:p>
        </w:tc>
        <w:tc>
          <w:tcPr>
            <w:tcW w:w="320" w:type="dxa"/>
            <w:vAlign w:val="bottom"/>
          </w:tcPr>
          <w:p>
            <w:pPr>
              <w:ind w:left="100"/>
              <w:spacing w:after="0"/>
              <w:rPr>
                <w:sz w:val="20"/>
                <w:szCs w:val="20"/>
                <w:color w:val="auto"/>
              </w:rPr>
            </w:pPr>
            <w:r>
              <w:rPr>
                <w:rFonts w:ascii="Arial" w:cs="Arial" w:eastAsia="Arial" w:hAnsi="Arial"/>
                <w:sz w:val="13"/>
                <w:szCs w:val="13"/>
                <w:color w:val="auto"/>
              </w:rPr>
              <w:t>F-7</w:t>
            </w:r>
          </w:p>
        </w:tc>
        <w:tc>
          <w:tcPr>
            <w:tcW w:w="800" w:type="dxa"/>
            <w:vAlign w:val="bottom"/>
          </w:tcPr>
          <w:p>
            <w:pPr>
              <w:spacing w:after="0"/>
              <w:rPr>
                <w:sz w:val="13"/>
                <w:szCs w:val="13"/>
                <w:color w:val="auto"/>
              </w:rPr>
            </w:pPr>
          </w:p>
        </w:tc>
      </w:tr>
      <w:tr>
        <w:trPr>
          <w:trHeight w:val="157"/>
        </w:trPr>
        <w:tc>
          <w:tcPr>
            <w:tcW w:w="10340" w:type="dxa"/>
            <w:vAlign w:val="bottom"/>
          </w:tcPr>
          <w:p>
            <w:pPr>
              <w:ind w:left="680"/>
              <w:spacing w:after="0"/>
              <w:rPr>
                <w:sz w:val="20"/>
                <w:szCs w:val="20"/>
                <w:color w:val="auto"/>
              </w:rPr>
            </w:pPr>
            <w:r>
              <w:rPr>
                <w:rFonts w:ascii="Arial" w:cs="Arial" w:eastAsia="Arial" w:hAnsi="Arial"/>
                <w:sz w:val="13"/>
                <w:szCs w:val="13"/>
                <w:color w:val="auto"/>
              </w:rPr>
              <w:t>Consolidated Statements of Cash Flows, Years ended April 30, 2011, 2010 and 2009</w:t>
            </w:r>
          </w:p>
        </w:tc>
        <w:tc>
          <w:tcPr>
            <w:tcW w:w="320" w:type="dxa"/>
            <w:vAlign w:val="bottom"/>
          </w:tcPr>
          <w:p>
            <w:pPr>
              <w:ind w:left="100"/>
              <w:spacing w:after="0"/>
              <w:rPr>
                <w:sz w:val="20"/>
                <w:szCs w:val="20"/>
                <w:color w:val="auto"/>
              </w:rPr>
            </w:pPr>
            <w:r>
              <w:rPr>
                <w:rFonts w:ascii="Arial" w:cs="Arial" w:eastAsia="Arial" w:hAnsi="Arial"/>
                <w:sz w:val="13"/>
                <w:szCs w:val="13"/>
                <w:color w:val="auto"/>
              </w:rPr>
              <w:t>F-8</w:t>
            </w:r>
          </w:p>
        </w:tc>
        <w:tc>
          <w:tcPr>
            <w:tcW w:w="800" w:type="dxa"/>
            <w:vAlign w:val="bottom"/>
          </w:tcPr>
          <w:p>
            <w:pPr>
              <w:spacing w:after="0"/>
              <w:rPr>
                <w:sz w:val="13"/>
                <w:szCs w:val="13"/>
                <w:color w:val="auto"/>
              </w:rPr>
            </w:pPr>
          </w:p>
        </w:tc>
      </w:tr>
      <w:tr>
        <w:trPr>
          <w:trHeight w:val="165"/>
        </w:trPr>
        <w:tc>
          <w:tcPr>
            <w:tcW w:w="10340" w:type="dxa"/>
            <w:vAlign w:val="bottom"/>
          </w:tcPr>
          <w:p>
            <w:pPr>
              <w:ind w:left="680"/>
              <w:spacing w:after="0"/>
              <w:rPr>
                <w:sz w:val="20"/>
                <w:szCs w:val="20"/>
                <w:color w:val="auto"/>
              </w:rPr>
            </w:pPr>
            <w:r>
              <w:rPr>
                <w:rFonts w:ascii="Arial" w:cs="Arial" w:eastAsia="Arial" w:hAnsi="Arial"/>
                <w:sz w:val="13"/>
                <w:szCs w:val="13"/>
                <w:color w:val="auto"/>
              </w:rPr>
              <w:t>Notes to Consolidated Financial Statements</w:t>
            </w:r>
          </w:p>
        </w:tc>
        <w:tc>
          <w:tcPr>
            <w:tcW w:w="320" w:type="dxa"/>
            <w:vAlign w:val="bottom"/>
          </w:tcPr>
          <w:p>
            <w:pPr>
              <w:ind w:left="100"/>
              <w:spacing w:after="0"/>
              <w:rPr>
                <w:sz w:val="20"/>
                <w:szCs w:val="20"/>
                <w:color w:val="auto"/>
              </w:rPr>
            </w:pPr>
            <w:r>
              <w:rPr>
                <w:rFonts w:ascii="Arial" w:cs="Arial" w:eastAsia="Arial" w:hAnsi="Arial"/>
                <w:sz w:val="13"/>
                <w:szCs w:val="13"/>
                <w:color w:val="auto"/>
              </w:rPr>
              <w:t>F-9</w:t>
            </w:r>
          </w:p>
        </w:tc>
        <w:tc>
          <w:tcPr>
            <w:tcW w:w="800" w:type="dxa"/>
            <w:vAlign w:val="bottom"/>
          </w:tcPr>
          <w:p>
            <w:pPr>
              <w:spacing w:after="0"/>
              <w:rPr>
                <w:sz w:val="14"/>
                <w:szCs w:val="14"/>
                <w:color w:val="auto"/>
              </w:rPr>
            </w:pPr>
          </w:p>
        </w:tc>
      </w:tr>
      <w:tr>
        <w:trPr>
          <w:trHeight w:val="452"/>
        </w:trPr>
        <w:tc>
          <w:tcPr>
            <w:tcW w:w="10340" w:type="dxa"/>
            <w:vAlign w:val="bottom"/>
          </w:tcPr>
          <w:p>
            <w:pPr>
              <w:ind w:left="558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103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t>Reports of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Consolidated Financial Statements</w:t>
      </w:r>
    </w:p>
    <w:p>
      <w:pPr>
        <w:spacing w:after="0" w:line="71"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52"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81" w:lineRule="exact"/>
        <w:rPr>
          <w:sz w:val="20"/>
          <w:szCs w:val="20"/>
          <w:color w:val="auto"/>
        </w:rPr>
      </w:pPr>
    </w:p>
    <w:p>
      <w:pPr>
        <w:ind w:right="180" w:firstLine="399"/>
        <w:spacing w:after="0" w:line="296"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20" w:lineRule="exact"/>
        <w:rPr>
          <w:sz w:val="20"/>
          <w:szCs w:val="20"/>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56" w:lineRule="exact"/>
        <w:rPr>
          <w:rFonts w:ascii="Arial" w:cs="Arial" w:eastAsia="Arial" w:hAnsi="Arial"/>
          <w:sz w:val="13"/>
          <w:szCs w:val="13"/>
          <w:color w:val="auto"/>
        </w:rPr>
      </w:pPr>
    </w:p>
    <w:p>
      <w:pPr>
        <w:ind w:left="600" w:hanging="190"/>
        <w:spacing w:after="0" w:line="316" w:lineRule="auto"/>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600" w:right="60" w:hanging="190"/>
        <w:spacing w:after="0" w:line="276"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30" w:lineRule="exact"/>
        <w:rPr>
          <w:sz w:val="20"/>
          <w:szCs w:val="20"/>
          <w:color w:val="auto"/>
        </w:rPr>
      </w:pPr>
    </w:p>
    <w:p>
      <w:pPr>
        <w:ind w:right="260" w:firstLine="399"/>
        <w:spacing w:after="0" w:line="363"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 xml:space="preserve">The Company’s management assessed the effectiveness of the Company’s internal control over financial reporting as of April 30, 2011. In making this assessment, management used the criteria set forth by the Committee of Sponsoring Organizations of the Treadway Commission (COSO)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Based on this assessment using those criteria, management concluded that the Company’s internal control over financial reporting was effective as of April 30, 2011.</w:t>
      </w:r>
    </w:p>
    <w:p>
      <w:pPr>
        <w:spacing w:after="0" w:line="37"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The effectiveness of the Company’s internal control over financial reporting as of April 30, 2011 has been audited by KPMG LLP, an independent registered public accounting firm, as stated in their report, which appears herein.</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47142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142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47142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714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Brian M. Posner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62" w:name="page63"/>
    <w:bookmarkEnd w:id="62"/>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Ocean Power Technologies, Inc.:</w:t>
      </w:r>
    </w:p>
    <w:p>
      <w:pPr>
        <w:spacing w:after="0" w:line="89"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 xml:space="preserve">We have audited Ocean Power Technologies, Inc.’s internal control over financial reporting as of April 30, 2011,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issued by the Committee of Sponsoring Organizations of the Treadway Commission (COSO). Ocean Power Technologies, Inc.’s management is responsible for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color w:val="auto"/>
        </w:rPr>
        <w:t xml:space="preserve">In our opinion, Ocean Power Technologies, Inc. maintained, in all material respects, effective internal control over financial reporting as of April 30, 2011,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w:t>
      </w:r>
    </w:p>
    <w:p>
      <w:pPr>
        <w:spacing w:after="0" w:line="59" w:lineRule="exact"/>
        <w:rPr>
          <w:sz w:val="20"/>
          <w:szCs w:val="20"/>
          <w:color w:val="auto"/>
        </w:rPr>
      </w:pPr>
    </w:p>
    <w:p>
      <w:pPr>
        <w:ind w:right="26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Ocean Power Technologies, Inc. and subsidiaries as of April 30, 2011 and 2010, and the related consolidated statements of operations, stockholders’ equity and comprehensive loss, and cash flows for each of the years in the three-year period ended April 30, 2011, and our report dated July 14, 2011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14, 2011</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Ocean Power Technologies, Inc.:</w:t>
      </w:r>
    </w:p>
    <w:p>
      <w:pPr>
        <w:spacing w:after="0" w:line="89" w:lineRule="exact"/>
        <w:rPr>
          <w:sz w:val="20"/>
          <w:szCs w:val="20"/>
          <w:color w:val="auto"/>
        </w:rPr>
      </w:pPr>
    </w:p>
    <w:p>
      <w:pPr>
        <w:jc w:val="both"/>
        <w:ind w:right="340" w:firstLine="399"/>
        <w:spacing w:after="0" w:line="334" w:lineRule="auto"/>
        <w:rPr>
          <w:sz w:val="20"/>
          <w:szCs w:val="20"/>
          <w:color w:val="auto"/>
        </w:rPr>
      </w:pPr>
      <w:r>
        <w:rPr>
          <w:rFonts w:ascii="Arial" w:cs="Arial" w:eastAsia="Arial" w:hAnsi="Arial"/>
          <w:sz w:val="11"/>
          <w:szCs w:val="11"/>
          <w:color w:val="auto"/>
        </w:rPr>
        <w:t>We have audited the accompanying consolidated balance sheets of Ocean Power Technologies, Inc. and subsidiaries as of April 30, 2011 and 2010, and the related consolidated statements of operations, stockholders’ equity and comprehensive loss, and cash flows for each of the years in the three-year period ended April 30, 2011. These consolidated financial statements are the responsibility of the Company’s management. Our responsibility is to express an opinion on these consolidated financial statements based on our audits.</w:t>
      </w:r>
    </w:p>
    <w:p>
      <w:pPr>
        <w:spacing w:after="0" w:line="32"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Ocean Power Technologies, Inc. and subsidiaries as of April 30, 2011 and 2010, and the results of their operations and their cash flows for each of the years in the three-year period ended April 30, 2011, in conformity with U.S. generally accepted accounting principles.</w:t>
      </w:r>
    </w:p>
    <w:p>
      <w:pPr>
        <w:spacing w:after="0" w:line="67"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Ocean Power Technologies, Inc.’s internal control over financial reporting as of April 30,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and our report dated July 14, 2011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14, 2011</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8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4,376,136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4,236,597</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26,018,594</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32,536,001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1,285,000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1,474,600</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Unbilled receivables</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456,316</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448,686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832,142</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1,005,885</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32,968,188</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39,701,769</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792,092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710,563</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Patents, net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1,222,368</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1,036,881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1,624,669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1,205,288</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Marketable securities</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16,323,016</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28,865,046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622,245</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1,458,646</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vMerge w:val="continue"/>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53,552,578</w:t>
            </w:r>
          </w:p>
        </w:tc>
        <w:tc>
          <w:tcPr>
            <w:tcW w:w="4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72,978,193</w:t>
            </w:r>
          </w:p>
        </w:tc>
        <w:tc>
          <w:tcPr>
            <w:tcW w:w="0" w:type="dxa"/>
            <w:vAlign w:val="bottom"/>
          </w:tcPr>
          <w:p>
            <w:pPr>
              <w:spacing w:after="0"/>
              <w:rPr>
                <w:sz w:val="1"/>
                <w:szCs w:val="1"/>
                <w:color w:val="auto"/>
              </w:rPr>
            </w:pPr>
          </w:p>
        </w:tc>
      </w:tr>
      <w:tr>
        <w:trPr>
          <w:trHeight w:val="128"/>
        </w:trPr>
        <w:tc>
          <w:tcPr>
            <w:tcW w:w="75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1,224,728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1,843,378</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4,302,952</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4,092,113</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Unearned revenues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344,022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1,101,541</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139,378</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95,386</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6,011,080</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7,132,418</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Long-term debt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450,000</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credits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600,000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140,685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7,061,080</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8,123,103</w:t>
            </w:r>
          </w:p>
        </w:tc>
        <w:tc>
          <w:tcPr>
            <w:tcW w:w="0" w:type="dxa"/>
            <w:vAlign w:val="bottom"/>
          </w:tcPr>
          <w:p>
            <w:pPr>
              <w:spacing w:after="0"/>
              <w:rPr>
                <w:sz w:val="1"/>
                <w:szCs w:val="1"/>
                <w:color w:val="auto"/>
              </w:rPr>
            </w:pPr>
          </w:p>
        </w:tc>
      </w:tr>
      <w:tr>
        <w:trPr>
          <w:trHeight w:val="156"/>
        </w:trPr>
        <w:tc>
          <w:tcPr>
            <w:tcW w:w="7500" w:type="dxa"/>
            <w:vAlign w:val="bottom"/>
          </w:tcPr>
          <w:p>
            <w:pPr>
              <w:spacing w:after="0"/>
              <w:rPr>
                <w:sz w:val="20"/>
                <w:szCs w:val="20"/>
                <w:color w:val="auto"/>
              </w:rPr>
            </w:pPr>
            <w:r>
              <w:rPr>
                <w:rFonts w:ascii="Arial" w:cs="Arial" w:eastAsia="Arial" w:hAnsi="Arial"/>
                <w:sz w:val="13"/>
                <w:szCs w:val="13"/>
                <w:color w:val="auto"/>
              </w:rPr>
              <w:t>Commitments and contingencies (note 13)</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Ocean Power Technologies, Inc. 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Preferred stock, $0.001 par value; authorized 5,000,000 shares, none issued or outstanding</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$0.001 par value; authorized 105,000,000 shares, issued 10,419,183 and 10,390,563 shares, respectively</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10,391</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Treasury stock, at cost; 7,685 and 1,072 shares, respectively</w:t>
            </w:r>
          </w:p>
        </w:tc>
        <w:tc>
          <w:tcPr>
            <w:tcW w:w="2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(42,734)</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(6,443)</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157,174,930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155,726,672</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(110,848,972)</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(90,413,098)</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175,907</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(503,322)</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80"/>
              <w:spacing w:after="0"/>
              <w:rPr>
                <w:sz w:val="20"/>
                <w:szCs w:val="20"/>
                <w:color w:val="auto"/>
              </w:rPr>
            </w:pPr>
            <w:r>
              <w:rPr>
                <w:rFonts w:ascii="Arial" w:cs="Arial" w:eastAsia="Arial" w:hAnsi="Arial"/>
                <w:sz w:val="13"/>
                <w:szCs w:val="13"/>
                <w:color w:val="auto"/>
              </w:rPr>
              <w:t>Total Ocean Power Technologies, Inc. stockholders’ equity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46,469,550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64,814,200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 in Ocean Power Technologies (Australasia) Pty Ltd</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21,948</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40,890</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140"/>
              <w:spacing w:after="0"/>
              <w:rPr>
                <w:sz w:val="20"/>
                <w:szCs w:val="20"/>
                <w:color w:val="auto"/>
              </w:rPr>
            </w:pPr>
            <w:r>
              <w:rPr>
                <w:rFonts w:ascii="Arial" w:cs="Arial" w:eastAsia="Arial" w:hAnsi="Arial"/>
                <w:sz w:val="13"/>
                <w:szCs w:val="13"/>
                <w:color w:val="auto"/>
              </w:rPr>
              <w:t>Total equity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46,491,498</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64,855,090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53,552,578</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72,978,193</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5" w:name="page66"/>
    <w:bookmarkEnd w:id="65"/>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Year Ended 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jc w:val="right"/>
              <w:ind w:right="315"/>
              <w:spacing w:after="0" w:line="98" w:lineRule="exact"/>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8"/>
                <w:szCs w:val="8"/>
                <w:color w:val="auto"/>
              </w:rPr>
            </w:pPr>
          </w:p>
        </w:tc>
        <w:tc>
          <w:tcPr>
            <w:tcW w:w="112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880" w:type="dxa"/>
            <w:vAlign w:val="bottom"/>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6,691,082</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5,101,311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4,049,445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Cost of revenues</w:t>
            </w:r>
          </w:p>
        </w:tc>
        <w:tc>
          <w:tcPr>
            <w:tcW w:w="3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6,255,437</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4,298,955</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4,840,403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Gross profit (loss)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435,645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802,356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(790,958)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Operating expenses:</w:t>
            </w: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development costs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13,319,110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13,001,550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8,372,244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tcPr>
          <w:p>
            <w:pPr>
              <w:ind w:left="140"/>
              <w:spacing w:after="0"/>
              <w:rPr>
                <w:sz w:val="20"/>
                <w:szCs w:val="20"/>
                <w:color w:val="auto"/>
              </w:rPr>
            </w:pPr>
            <w:r>
              <w:rPr>
                <w:rFonts w:ascii="Arial" w:cs="Arial" w:eastAsia="Arial" w:hAnsi="Arial"/>
                <w:sz w:val="13"/>
                <w:szCs w:val="13"/>
                <w:color w:val="auto"/>
              </w:rPr>
              <w:t>Selling, general and administrative costs</w:t>
            </w:r>
          </w:p>
        </w:tc>
        <w:tc>
          <w:tcPr>
            <w:tcW w:w="3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8,399,325</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9,063,482</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9,529,071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21,718,435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22,065,032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17,901,315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Operating loss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(21,282,790)</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(21,262,676)</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(18,692,273)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 net</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689,276</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1,032,484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1,672,350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Other income</w:t>
            </w:r>
          </w:p>
        </w:tc>
        <w:tc>
          <w:tcPr>
            <w:tcW w:w="3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557,540</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(loss) gain</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(229,415)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540,644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(1,295,227)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Loss before income taxes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(20,822,929)</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(19,132,008)</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(18,315,150)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364,105</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ind w:left="400"/>
              <w:spacing w:after="0"/>
              <w:rPr>
                <w:sz w:val="20"/>
                <w:szCs w:val="20"/>
                <w:color w:val="auto"/>
              </w:rPr>
            </w:pPr>
            <w:r>
              <w:rPr>
                <w:rFonts w:ascii="Arial" w:cs="Arial" w:eastAsia="Arial" w:hAnsi="Arial"/>
                <w:sz w:val="13"/>
                <w:szCs w:val="13"/>
                <w:color w:val="auto"/>
              </w:rPr>
              <w:t>Net loss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(20,458,824)</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(19,132,008)</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(18,315,150)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4"/>
              </w:rPr>
              <w:t>Less: Net loss (income) attributable to the noncontrolling interest in Ocean Power Technologies (Australasia) Pty</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Ltd.</w:t>
            </w:r>
          </w:p>
        </w:tc>
        <w:tc>
          <w:tcPr>
            <w:tcW w:w="3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22,950</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(38,299)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vMerge w:val="continue"/>
          </w:tcPr>
          <w:p>
            <w:pPr>
              <w:spacing w:after="0"/>
              <w:rPr>
                <w:sz w:val="13"/>
                <w:szCs w:val="13"/>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(20,435,874)</w:t>
            </w:r>
          </w:p>
        </w:tc>
        <w:tc>
          <w:tcPr>
            <w:tcW w:w="1520" w:type="dxa"/>
            <w:vAlign w:val="bottom"/>
            <w:gridSpan w:val="3"/>
          </w:tcPr>
          <w:p>
            <w:pPr>
              <w:jc w:val="right"/>
              <w:ind w:right="360"/>
              <w:spacing w:after="0"/>
              <w:rPr>
                <w:sz w:val="20"/>
                <w:szCs w:val="20"/>
                <w:color w:val="auto"/>
              </w:rPr>
            </w:pPr>
            <w:r>
              <w:rPr>
                <w:rFonts w:ascii="Arial" w:cs="Arial" w:eastAsia="Arial" w:hAnsi="Arial"/>
                <w:sz w:val="13"/>
                <w:szCs w:val="13"/>
                <w:color w:val="auto"/>
              </w:rPr>
              <w:t>(19,170,307)</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(18,315,150)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(1.99)</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(1.88)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300" w:type="dxa"/>
            <w:vAlign w:val="bottom"/>
            <w:vMerge w:val="restart"/>
          </w:tcPr>
          <w:p>
            <w:pPr>
              <w:spacing w:after="0"/>
              <w:rPr>
                <w:sz w:val="20"/>
                <w:szCs w:val="20"/>
                <w:color w:val="auto"/>
              </w:rPr>
            </w:pPr>
            <w:r>
              <w:rPr>
                <w:rFonts w:ascii="Arial" w:cs="Arial" w:eastAsia="Arial" w:hAnsi="Arial"/>
                <w:sz w:val="13"/>
                <w:szCs w:val="13"/>
                <w:color w:val="auto"/>
              </w:rPr>
              <w:t>Weighted average shares used to compute basic and diluted net loss per share</w:t>
            </w: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10,246,921</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10,217,003</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10,210,354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6640" w:type="dxa"/>
            <w:vAlign w:val="bottom"/>
            <w:gridSpan w:val="2"/>
          </w:tcPr>
          <w:p>
            <w:pPr>
              <w:ind w:left="3380"/>
              <w:spacing w:after="0"/>
              <w:rPr>
                <w:sz w:val="20"/>
                <w:szCs w:val="20"/>
                <w:color w:val="auto"/>
              </w:rPr>
            </w:pPr>
            <w:r>
              <w:rPr>
                <w:rFonts w:ascii="Arial" w:cs="Arial" w:eastAsia="Arial" w:hAnsi="Arial"/>
                <w:sz w:val="13"/>
                <w:szCs w:val="13"/>
                <w:color w:val="auto"/>
                <w:w w:val="90"/>
              </w:rPr>
              <w:t>See accompanying notes to consolidated financial statements.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300" w:type="dxa"/>
            <w:vAlign w:val="bottom"/>
          </w:tcPr>
          <w:p>
            <w:pPr>
              <w:ind w:left="4900"/>
              <w:spacing w:after="0"/>
              <w:rPr>
                <w:sz w:val="20"/>
                <w:szCs w:val="20"/>
                <w:color w:val="auto"/>
              </w:rPr>
            </w:pPr>
            <w:r>
              <w:rPr>
                <w:rFonts w:ascii="Arial" w:cs="Arial" w:eastAsia="Arial" w:hAnsi="Arial"/>
                <w:sz w:val="13"/>
                <w:szCs w:val="13"/>
                <w:color w:val="auto"/>
              </w:rPr>
              <w:t>F-6</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3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Stockholders’ Equity and Comprehensive Loss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7"/>
              </w:rPr>
              <w:t>Total Ocean</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87"/>
              </w:rPr>
              <w:t>Accumulated</w:t>
            </w:r>
          </w:p>
        </w:tc>
        <w:tc>
          <w:tcPr>
            <w:tcW w:w="108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1"/>
              </w:rPr>
              <w:t>Power</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860" w:type="dxa"/>
            <w:vAlign w:val="bottom"/>
          </w:tcPr>
          <w:p>
            <w:pPr>
              <w:spacing w:after="0"/>
              <w:rPr>
                <w:sz w:val="8"/>
                <w:szCs w:val="8"/>
                <w:color w:val="auto"/>
              </w:rPr>
            </w:pPr>
          </w:p>
        </w:tc>
        <w:tc>
          <w:tcPr>
            <w:tcW w:w="1160" w:type="dxa"/>
            <w:vAlign w:val="bottom"/>
            <w:gridSpan w:val="5"/>
            <w:vMerge w:val="restart"/>
          </w:tcPr>
          <w:p>
            <w:pPr>
              <w:jc w:val="right"/>
              <w:ind w:right="400"/>
              <w:spacing w:after="0"/>
              <w:rPr>
                <w:sz w:val="20"/>
                <w:szCs w:val="20"/>
                <w:color w:val="auto"/>
              </w:rPr>
            </w:pPr>
            <w:r>
              <w:rPr>
                <w:rFonts w:ascii="Arial" w:cs="Arial" w:eastAsia="Arial" w:hAnsi="Arial"/>
                <w:sz w:val="8"/>
                <w:szCs w:val="8"/>
                <w:b w:val="1"/>
                <w:bCs w:val="1"/>
                <w:color w:val="auto"/>
              </w:rPr>
              <w:t>Common Shares</w:t>
            </w:r>
          </w:p>
        </w:tc>
        <w:tc>
          <w:tcPr>
            <w:tcW w:w="1040" w:type="dxa"/>
            <w:vAlign w:val="bottom"/>
            <w:gridSpan w:val="5"/>
            <w:vMerge w:val="restart"/>
          </w:tcPr>
          <w:p>
            <w:pPr>
              <w:jc w:val="right"/>
              <w:ind w:right="340"/>
              <w:spacing w:after="0"/>
              <w:rPr>
                <w:sz w:val="20"/>
                <w:szCs w:val="20"/>
                <w:color w:val="auto"/>
              </w:rPr>
            </w:pPr>
            <w:r>
              <w:rPr>
                <w:rFonts w:ascii="Arial" w:cs="Arial" w:eastAsia="Arial" w:hAnsi="Arial"/>
                <w:sz w:val="8"/>
                <w:szCs w:val="8"/>
                <w:b w:val="1"/>
                <w:bCs w:val="1"/>
                <w:color w:val="auto"/>
              </w:rPr>
              <w:t>Treasury Shares</w:t>
            </w:r>
          </w:p>
        </w:tc>
        <w:tc>
          <w:tcPr>
            <w:tcW w:w="6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1"/>
              </w:rPr>
              <w:t>Additional</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Other</w:t>
            </w:r>
          </w:p>
        </w:tc>
        <w:tc>
          <w:tcPr>
            <w:tcW w:w="10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5"/>
              </w:rPr>
              <w:t>Technologies, Inc,</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680" w:type="dxa"/>
            <w:vAlign w:val="bottom"/>
            <w:gridSpan w:val="2"/>
          </w:tcPr>
          <w:p>
            <w:pPr>
              <w:jc w:val="center"/>
              <w:ind w:right="180"/>
              <w:spacing w:after="0" w:line="88" w:lineRule="exact"/>
              <w:rPr>
                <w:sz w:val="20"/>
                <w:szCs w:val="20"/>
                <w:color w:val="auto"/>
              </w:rPr>
            </w:pPr>
            <w:r>
              <w:rPr>
                <w:rFonts w:ascii="Arial" w:cs="Arial" w:eastAsia="Arial" w:hAnsi="Arial"/>
                <w:sz w:val="8"/>
                <w:szCs w:val="8"/>
                <w:b w:val="1"/>
                <w:bCs w:val="1"/>
                <w:color w:val="auto"/>
                <w:w w:val="97"/>
              </w:rPr>
              <w:t>Paid-In</w:t>
            </w:r>
          </w:p>
        </w:tc>
        <w:tc>
          <w:tcPr>
            <w:tcW w:w="80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99"/>
              </w:rPr>
              <w:t>Accumulated</w:t>
            </w:r>
          </w:p>
        </w:tc>
        <w:tc>
          <w:tcPr>
            <w:tcW w:w="88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86"/>
              </w:rPr>
              <w:t>Comprehensive</w:t>
            </w:r>
          </w:p>
        </w:tc>
        <w:tc>
          <w:tcPr>
            <w:tcW w:w="108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86"/>
              </w:rPr>
              <w:t>Stockholders</w:t>
            </w:r>
          </w:p>
        </w:tc>
        <w:tc>
          <w:tcPr>
            <w:tcW w:w="900" w:type="dxa"/>
            <w:vAlign w:val="bottom"/>
            <w:gridSpan w:val="2"/>
          </w:tcPr>
          <w:p>
            <w:pPr>
              <w:jc w:val="right"/>
              <w:ind w:right="300"/>
              <w:spacing w:after="0" w:line="88" w:lineRule="exact"/>
              <w:rPr>
                <w:sz w:val="20"/>
                <w:szCs w:val="20"/>
                <w:color w:val="auto"/>
              </w:rPr>
            </w:pPr>
            <w:r>
              <w:rPr>
                <w:rFonts w:ascii="Arial" w:cs="Arial" w:eastAsia="Arial" w:hAnsi="Arial"/>
                <w:sz w:val="8"/>
                <w:szCs w:val="8"/>
                <w:b w:val="1"/>
                <w:bCs w:val="1"/>
                <w:color w:val="auto"/>
              </w:rPr>
              <w:t>Noncontrolling</w:t>
            </w:r>
          </w:p>
        </w:tc>
        <w:tc>
          <w:tcPr>
            <w:tcW w:w="580" w:type="dxa"/>
            <w:vAlign w:val="bottom"/>
            <w:gridSpan w:val="2"/>
          </w:tcPr>
          <w:p>
            <w:pPr>
              <w:jc w:val="right"/>
              <w:ind w:right="260"/>
              <w:spacing w:after="0" w:line="88"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78"/>
        </w:trPr>
        <w:tc>
          <w:tcPr>
            <w:tcW w:w="2860" w:type="dxa"/>
            <w:vAlign w:val="bottom"/>
          </w:tcPr>
          <w:p>
            <w:pPr>
              <w:spacing w:after="0"/>
              <w:rPr>
                <w:sz w:val="6"/>
                <w:szCs w:val="6"/>
                <w:color w:val="auto"/>
              </w:rPr>
            </w:pPr>
          </w:p>
        </w:tc>
        <w:tc>
          <w:tcPr>
            <w:tcW w:w="640" w:type="dxa"/>
            <w:vAlign w:val="bottom"/>
            <w:tcBorders>
              <w:top w:val="single" w:sz="8" w:color="auto"/>
            </w:tcBorders>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Shares</w:t>
            </w:r>
          </w:p>
        </w:tc>
        <w:tc>
          <w:tcPr>
            <w:tcW w:w="32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50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89"/>
              </w:rPr>
              <w:t>Shares</w:t>
            </w:r>
          </w:p>
        </w:tc>
        <w:tc>
          <w:tcPr>
            <w:tcW w:w="340" w:type="dxa"/>
            <w:vAlign w:val="bottom"/>
            <w:tcBorders>
              <w:top w:val="single" w:sz="8" w:color="auto"/>
            </w:tcBorders>
            <w:gridSpan w:val="2"/>
          </w:tcPr>
          <w:p>
            <w:pPr>
              <w:jc w:val="right"/>
              <w:ind w:right="1"/>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68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97"/>
              </w:rPr>
              <w:t>Capital</w:t>
            </w:r>
          </w:p>
        </w:tc>
        <w:tc>
          <w:tcPr>
            <w:tcW w:w="800" w:type="dxa"/>
            <w:vAlign w:val="bottom"/>
            <w:gridSpan w:val="2"/>
          </w:tcPr>
          <w:p>
            <w:pPr>
              <w:jc w:val="right"/>
              <w:ind w:right="380"/>
              <w:spacing w:after="0" w:line="79" w:lineRule="exact"/>
              <w:rPr>
                <w:sz w:val="20"/>
                <w:szCs w:val="20"/>
                <w:color w:val="auto"/>
              </w:rPr>
            </w:pPr>
            <w:r>
              <w:rPr>
                <w:rFonts w:ascii="Arial" w:cs="Arial" w:eastAsia="Arial" w:hAnsi="Arial"/>
                <w:sz w:val="8"/>
                <w:szCs w:val="8"/>
                <w:b w:val="1"/>
                <w:bCs w:val="1"/>
                <w:color w:val="auto"/>
              </w:rPr>
              <w:t>Deficit</w:t>
            </w:r>
          </w:p>
        </w:tc>
        <w:tc>
          <w:tcPr>
            <w:tcW w:w="880" w:type="dxa"/>
            <w:vAlign w:val="bottom"/>
            <w:gridSpan w:val="2"/>
          </w:tcPr>
          <w:p>
            <w:pPr>
              <w:jc w:val="center"/>
              <w:ind w:right="200"/>
              <w:spacing w:after="0" w:line="79" w:lineRule="exact"/>
              <w:rPr>
                <w:sz w:val="20"/>
                <w:szCs w:val="20"/>
                <w:color w:val="auto"/>
              </w:rPr>
            </w:pPr>
            <w:r>
              <w:rPr>
                <w:rFonts w:ascii="Arial" w:cs="Arial" w:eastAsia="Arial" w:hAnsi="Arial"/>
                <w:sz w:val="8"/>
                <w:szCs w:val="8"/>
                <w:b w:val="1"/>
                <w:bCs w:val="1"/>
                <w:color w:val="auto"/>
                <w:w w:val="85"/>
              </w:rPr>
              <w:t>Loss</w:t>
            </w:r>
          </w:p>
        </w:tc>
        <w:tc>
          <w:tcPr>
            <w:tcW w:w="1080" w:type="dxa"/>
            <w:vAlign w:val="bottom"/>
            <w:gridSpan w:val="2"/>
          </w:tcPr>
          <w:p>
            <w:pPr>
              <w:jc w:val="center"/>
              <w:ind w:right="180"/>
              <w:spacing w:after="0" w:line="79" w:lineRule="exact"/>
              <w:rPr>
                <w:sz w:val="20"/>
                <w:szCs w:val="20"/>
                <w:color w:val="auto"/>
              </w:rPr>
            </w:pPr>
            <w:r>
              <w:rPr>
                <w:rFonts w:ascii="Arial" w:cs="Arial" w:eastAsia="Arial" w:hAnsi="Arial"/>
                <w:sz w:val="8"/>
                <w:szCs w:val="8"/>
                <w:b w:val="1"/>
                <w:bCs w:val="1"/>
                <w:color w:val="auto"/>
                <w:w w:val="89"/>
              </w:rPr>
              <w:t>Equity</w:t>
            </w:r>
          </w:p>
        </w:tc>
        <w:tc>
          <w:tcPr>
            <w:tcW w:w="900" w:type="dxa"/>
            <w:vAlign w:val="bottom"/>
            <w:gridSpan w:val="2"/>
          </w:tcPr>
          <w:p>
            <w:pPr>
              <w:jc w:val="right"/>
              <w:ind w:right="420"/>
              <w:spacing w:after="0" w:line="79" w:lineRule="exact"/>
              <w:rPr>
                <w:sz w:val="20"/>
                <w:szCs w:val="20"/>
                <w:color w:val="auto"/>
              </w:rPr>
            </w:pPr>
            <w:r>
              <w:rPr>
                <w:rFonts w:ascii="Arial" w:cs="Arial" w:eastAsia="Arial" w:hAnsi="Arial"/>
                <w:sz w:val="8"/>
                <w:szCs w:val="8"/>
                <w:b w:val="1"/>
                <w:bCs w:val="1"/>
                <w:color w:val="auto"/>
              </w:rPr>
              <w:t>Interest</w:t>
            </w:r>
          </w:p>
        </w:tc>
        <w:tc>
          <w:tcPr>
            <w:tcW w:w="580" w:type="dxa"/>
            <w:vAlign w:val="bottom"/>
            <w:gridSpan w:val="2"/>
          </w:tcPr>
          <w:p>
            <w:pPr>
              <w:jc w:val="right"/>
              <w:ind w:right="220"/>
              <w:spacing w:after="0" w:line="79"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May 1, 2008</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10,210,354</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10,210</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153,057,265</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(52,927,641)</w:t>
            </w: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(41,225)</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100,098,609</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100,098,609</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Arial" w:cs="Arial" w:eastAsia="Arial" w:hAnsi="Arial"/>
                <w:sz w:val="8"/>
                <w:szCs w:val="8"/>
                <w:color w:val="auto"/>
              </w:rPr>
              <w:t>Net loss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8"/>
                <w:szCs w:val="8"/>
                <w:color w:val="auto"/>
              </w:rPr>
              <w:t>(18,315,150)</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(18,315,150)</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(18,315,150)</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Foreign currency translation adjustment</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(512,098)</w:t>
            </w: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(512,098)</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(512,098)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60" w:type="dxa"/>
            <w:vAlign w:val="bottom"/>
          </w:tcPr>
          <w:p>
            <w:pPr>
              <w:ind w:left="80"/>
              <w:spacing w:after="0"/>
              <w:rPr>
                <w:sz w:val="20"/>
                <w:szCs w:val="20"/>
                <w:color w:val="auto"/>
              </w:rPr>
            </w:pPr>
            <w:r>
              <w:rPr>
                <w:rFonts w:ascii="Arial" w:cs="Arial" w:eastAsia="Arial" w:hAnsi="Arial"/>
                <w:sz w:val="8"/>
                <w:szCs w:val="8"/>
                <w:color w:val="auto"/>
              </w:rPr>
              <w:t>Total comprehensive loss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(18,827,248)</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(18,827,248)</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1,453,350</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1,453,350</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1,453,350</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20"/>
                <w:szCs w:val="20"/>
                <w:color w:val="auto"/>
              </w:rPr>
            </w:pPr>
            <w:r>
              <w:rPr>
                <w:rFonts w:ascii="Arial" w:cs="Arial" w:eastAsia="Arial" w:hAnsi="Arial"/>
                <w:sz w:val="8"/>
                <w:szCs w:val="8"/>
                <w:color w:val="auto"/>
              </w:rPr>
              <w:t>Issuance of restricted stock</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58,316</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58,316</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58,316</w:t>
            </w: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April 30, 2009</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10,210,354</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10,210</w:t>
            </w: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154,568,931</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(71,242,791)</w:t>
            </w: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(553,323)</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82,783,027</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82,783,027</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Arial" w:cs="Arial" w:eastAsia="Arial" w:hAnsi="Arial"/>
                <w:sz w:val="8"/>
                <w:szCs w:val="8"/>
                <w:color w:val="auto"/>
              </w:rPr>
              <w:t>Net loss</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8"/>
                <w:szCs w:val="8"/>
                <w:color w:val="auto"/>
              </w:rPr>
              <w:t>(19,170,307)</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(19,170,307)</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38,299</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(19,132,008)</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Foreign currency translation adjustment</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50,001</w:t>
            </w:r>
          </w:p>
        </w:tc>
        <w:tc>
          <w:tcPr>
            <w:tcW w:w="9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50,001</w:t>
            </w: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2,591</w:t>
            </w:r>
          </w:p>
        </w:tc>
        <w:tc>
          <w:tcPr>
            <w:tcW w:w="2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52,592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60" w:type="dxa"/>
            <w:vAlign w:val="bottom"/>
          </w:tcPr>
          <w:p>
            <w:pPr>
              <w:ind w:left="80"/>
              <w:spacing w:after="0"/>
              <w:rPr>
                <w:sz w:val="20"/>
                <w:szCs w:val="20"/>
                <w:color w:val="auto"/>
              </w:rPr>
            </w:pPr>
            <w:r>
              <w:rPr>
                <w:rFonts w:ascii="Arial" w:cs="Arial" w:eastAsia="Arial" w:hAnsi="Arial"/>
                <w:sz w:val="8"/>
                <w:szCs w:val="8"/>
                <w:color w:val="auto"/>
              </w:rPr>
              <w:t>Total comprehensive loss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(19,120,306)</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40,890</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(19,079,416)</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918,235</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918,235</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918,235</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Arial" w:cs="Arial" w:eastAsia="Arial" w:hAnsi="Arial"/>
                <w:sz w:val="8"/>
                <w:szCs w:val="8"/>
                <w:color w:val="auto"/>
              </w:rPr>
              <w:t>Issuance of restricted stock</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180,209</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181</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239,506</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239,687</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239,687</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Acquisition of treasury stock</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(1,072)</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(6,443)</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(6,443)</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(6,443)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60" w:type="dxa"/>
            <w:vAlign w:val="bottom"/>
          </w:tcPr>
          <w:p>
            <w:pPr>
              <w:spacing w:after="0"/>
              <w:rPr>
                <w:sz w:val="20"/>
                <w:szCs w:val="20"/>
                <w:color w:val="auto"/>
              </w:rPr>
            </w:pPr>
            <w:r>
              <w:rPr>
                <w:rFonts w:ascii="Arial" w:cs="Arial" w:eastAsia="Arial" w:hAnsi="Arial"/>
                <w:sz w:val="8"/>
                <w:szCs w:val="8"/>
                <w:color w:val="auto"/>
              </w:rPr>
              <w:t>Balance, April 30, 2010</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10,390,563</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w w:val="89"/>
              </w:rPr>
              <w:t>10,391</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(1,072)</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8"/>
                <w:szCs w:val="8"/>
                <w:color w:val="auto"/>
              </w:rPr>
              <w:t>(6,443)</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155,726,672</w:t>
            </w:r>
          </w:p>
        </w:tc>
        <w:tc>
          <w:tcPr>
            <w:tcW w:w="800" w:type="dxa"/>
            <w:vAlign w:val="bottom"/>
            <w:gridSpan w:val="2"/>
          </w:tcPr>
          <w:p>
            <w:pPr>
              <w:jc w:val="right"/>
              <w:ind w:right="180"/>
              <w:spacing w:after="0"/>
              <w:rPr>
                <w:sz w:val="20"/>
                <w:szCs w:val="20"/>
                <w:color w:val="auto"/>
              </w:rPr>
            </w:pPr>
            <w:r>
              <w:rPr>
                <w:rFonts w:ascii="Arial" w:cs="Arial" w:eastAsia="Arial" w:hAnsi="Arial"/>
                <w:sz w:val="8"/>
                <w:szCs w:val="8"/>
                <w:color w:val="auto"/>
              </w:rPr>
              <w:t>(90,413,098)</w:t>
            </w:r>
          </w:p>
        </w:tc>
        <w:tc>
          <w:tcPr>
            <w:tcW w:w="880" w:type="dxa"/>
            <w:vAlign w:val="bottom"/>
            <w:gridSpan w:val="2"/>
          </w:tcPr>
          <w:p>
            <w:pPr>
              <w:jc w:val="right"/>
              <w:ind w:right="180"/>
              <w:spacing w:after="0"/>
              <w:rPr>
                <w:sz w:val="20"/>
                <w:szCs w:val="20"/>
                <w:color w:val="auto"/>
              </w:rPr>
            </w:pPr>
            <w:r>
              <w:rPr>
                <w:rFonts w:ascii="Arial" w:cs="Arial" w:eastAsia="Arial" w:hAnsi="Arial"/>
                <w:sz w:val="8"/>
                <w:szCs w:val="8"/>
                <w:color w:val="auto"/>
              </w:rPr>
              <w:t>(503,322)</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64,814,200</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40,890</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64,855,090</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loss</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(20,435,874)</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(20,435,874)</w:t>
            </w: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(22,950)</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(20,458,824)</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20"/>
                <w:szCs w:val="20"/>
                <w:color w:val="auto"/>
              </w:rPr>
            </w:pPr>
            <w:r>
              <w:rPr>
                <w:rFonts w:ascii="Arial" w:cs="Arial" w:eastAsia="Arial" w:hAnsi="Arial"/>
                <w:sz w:val="8"/>
                <w:szCs w:val="8"/>
                <w:color w:val="auto"/>
              </w:rPr>
              <w:t>Foreign currency translation adjustment</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679,229</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679,229</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4,009</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683,238</w:t>
            </w: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Total comprehensive loss</w:t>
            </w: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(19,756,645)</w:t>
            </w: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(18,942)</w:t>
            </w:r>
          </w:p>
        </w:tc>
        <w:tc>
          <w:tcPr>
            <w:tcW w:w="58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(19,775,587)</w:t>
            </w:r>
          </w:p>
        </w:tc>
        <w:tc>
          <w:tcPr>
            <w:tcW w:w="0" w:type="dxa"/>
            <w:vAlign w:val="bottom"/>
          </w:tcPr>
          <w:p>
            <w:pPr>
              <w:spacing w:after="0"/>
              <w:rPr>
                <w:sz w:val="1"/>
                <w:szCs w:val="1"/>
                <w:color w:val="auto"/>
              </w:rPr>
            </w:pPr>
          </w:p>
        </w:tc>
      </w:tr>
      <w:tr>
        <w:trPr>
          <w:trHeight w:val="130"/>
        </w:trPr>
        <w:tc>
          <w:tcPr>
            <w:tcW w:w="2860" w:type="dxa"/>
            <w:vAlign w:val="bottom"/>
          </w:tcPr>
          <w:p>
            <w:pPr>
              <w:spacing w:after="0"/>
              <w:rPr>
                <w:sz w:val="20"/>
                <w:szCs w:val="20"/>
                <w:color w:val="auto"/>
              </w:rPr>
            </w:pPr>
            <w:r>
              <w:rPr>
                <w:rFonts w:ascii="Arial" w:cs="Arial" w:eastAsia="Arial" w:hAnsi="Arial"/>
                <w:sz w:val="8"/>
                <w:szCs w:val="8"/>
                <w:color w:val="auto"/>
              </w:rPr>
              <w:t>Stock-based compensation</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964,000</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8"/>
                <w:szCs w:val="8"/>
                <w:color w:val="auto"/>
              </w:rPr>
              <w:t>964,000</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964,000</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restricted stock</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28,620</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484,258</w:t>
            </w:r>
          </w:p>
        </w:tc>
        <w:tc>
          <w:tcPr>
            <w:tcW w:w="8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484,286</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484,286</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20"/>
                <w:szCs w:val="20"/>
                <w:color w:val="auto"/>
              </w:rPr>
            </w:pPr>
            <w:r>
              <w:rPr>
                <w:rFonts w:ascii="Arial" w:cs="Arial" w:eastAsia="Arial" w:hAnsi="Arial"/>
                <w:sz w:val="8"/>
                <w:szCs w:val="8"/>
                <w:color w:val="auto"/>
              </w:rPr>
              <w:t>Acquisition of treasury stock</w:t>
            </w:r>
          </w:p>
        </w:tc>
        <w:tc>
          <w:tcPr>
            <w:tcW w:w="6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(6,613)</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8"/>
                <w:szCs w:val="8"/>
                <w:color w:val="auto"/>
                <w:w w:val="93"/>
              </w:rPr>
              <w:t>(36,291)</w:t>
            </w:r>
          </w:p>
        </w:tc>
        <w:tc>
          <w:tcPr>
            <w:tcW w:w="68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8"/>
                <w:szCs w:val="8"/>
                <w:color w:val="auto"/>
              </w:rPr>
              <w:t>(36,291)</w:t>
            </w:r>
          </w:p>
        </w:tc>
        <w:tc>
          <w:tcPr>
            <w:tcW w:w="9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8"/>
                <w:szCs w:val="8"/>
                <w:color w:val="auto"/>
              </w:rPr>
              <w:t>(36,291)</w:t>
            </w: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8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April 30, 2011</w:t>
            </w:r>
          </w:p>
        </w:tc>
        <w:tc>
          <w:tcPr>
            <w:tcW w:w="6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10,419,183</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10,419</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(7,685)</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3"/>
              </w:rPr>
              <w:t>(42,734)</w:t>
            </w:r>
          </w:p>
        </w:tc>
        <w:tc>
          <w:tcPr>
            <w:tcW w:w="6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157,174,930</w:t>
            </w:r>
          </w:p>
        </w:tc>
        <w:tc>
          <w:tcPr>
            <w:tcW w:w="8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(110,848,972)</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175,907</w:t>
            </w:r>
          </w:p>
        </w:tc>
        <w:tc>
          <w:tcPr>
            <w:tcW w:w="10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46,469,550</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21,948</w:t>
            </w:r>
          </w:p>
        </w:tc>
        <w:tc>
          <w:tcPr>
            <w:tcW w:w="58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46,491,498</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Year Ended 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right"/>
              <w:ind w:right="281"/>
              <w:spacing w:after="0" w:line="98" w:lineRule="exact"/>
              <w:rPr>
                <w:sz w:val="20"/>
                <w:szCs w:val="20"/>
                <w:color w:val="auto"/>
              </w:rPr>
            </w:pPr>
            <w:r>
              <w:rPr>
                <w:rFonts w:ascii="Arial" w:cs="Arial" w:eastAsia="Arial" w:hAnsi="Arial"/>
                <w:sz w:val="10"/>
                <w:szCs w:val="10"/>
                <w:b w:val="1"/>
                <w:bCs w:val="1"/>
                <w:color w:val="auto"/>
              </w:rPr>
              <w:t>2011</w:t>
            </w:r>
          </w:p>
        </w:tc>
        <w:tc>
          <w:tcPr>
            <w:tcW w:w="80" w:type="dxa"/>
            <w:vAlign w:val="bottom"/>
          </w:tcPr>
          <w:p>
            <w:pPr>
              <w:spacing w:after="0"/>
              <w:rPr>
                <w:sz w:val="8"/>
                <w:szCs w:val="8"/>
                <w:color w:val="auto"/>
              </w:rPr>
            </w:pPr>
          </w:p>
        </w:tc>
        <w:tc>
          <w:tcPr>
            <w:tcW w:w="920" w:type="dxa"/>
            <w:vAlign w:val="bottom"/>
            <w:gridSpan w:val="2"/>
          </w:tcPr>
          <w:p>
            <w:pPr>
              <w:jc w:val="right"/>
              <w:ind w:right="241"/>
              <w:spacing w:after="0" w:line="98" w:lineRule="exact"/>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8"/>
                <w:szCs w:val="8"/>
                <w:color w:val="auto"/>
              </w:rPr>
            </w:pPr>
          </w:p>
        </w:tc>
        <w:tc>
          <w:tcPr>
            <w:tcW w:w="880" w:type="dxa"/>
            <w:vAlign w:val="bottom"/>
          </w:tcPr>
          <w:p>
            <w:pPr>
              <w:jc w:val="right"/>
              <w:ind w:right="281"/>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(20,458,824)</w:t>
            </w:r>
          </w:p>
        </w:tc>
        <w:tc>
          <w:tcPr>
            <w:tcW w:w="1120" w:type="dxa"/>
            <w:vAlign w:val="bottom"/>
            <w:gridSpan w:val="3"/>
          </w:tcPr>
          <w:p>
            <w:pPr>
              <w:jc w:val="right"/>
              <w:ind w:right="160"/>
              <w:spacing w:after="0"/>
              <w:rPr>
                <w:sz w:val="20"/>
                <w:szCs w:val="20"/>
                <w:color w:val="auto"/>
              </w:rPr>
            </w:pPr>
            <w:r>
              <w:rPr>
                <w:rFonts w:ascii="Arial" w:cs="Arial" w:eastAsia="Arial" w:hAnsi="Arial"/>
                <w:sz w:val="12"/>
                <w:szCs w:val="12"/>
                <w:color w:val="auto"/>
              </w:rPr>
              <w:t>(19,132,008)</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(18,315,150)</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Foreign exchange loss (gain)</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229,415</w:t>
            </w:r>
          </w:p>
        </w:tc>
        <w:tc>
          <w:tcPr>
            <w:tcW w:w="1120" w:type="dxa"/>
            <w:vAlign w:val="bottom"/>
            <w:gridSpan w:val="3"/>
          </w:tcPr>
          <w:p>
            <w:pPr>
              <w:jc w:val="right"/>
              <w:ind w:right="160"/>
              <w:spacing w:after="0"/>
              <w:rPr>
                <w:sz w:val="20"/>
                <w:szCs w:val="20"/>
                <w:color w:val="auto"/>
              </w:rPr>
            </w:pPr>
            <w:r>
              <w:rPr>
                <w:rFonts w:ascii="Arial" w:cs="Arial" w:eastAsia="Arial" w:hAnsi="Arial"/>
                <w:sz w:val="12"/>
                <w:szCs w:val="12"/>
                <w:color w:val="auto"/>
              </w:rPr>
              <w:t>(540,644)</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1,295,227</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358,722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365,755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299,405</w:t>
            </w: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Loss on disposal of equipment</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5,293</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113,087</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268,976</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Treasury note premium amortization</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71,236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146,834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288,331</w:t>
            </w: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Compensation expense related to stock option grants and restricted stock</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1,448,286</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1,117,935</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1,511,666</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rent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(21,649)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5,412</w:t>
            </w:r>
          </w:p>
        </w:tc>
        <w:tc>
          <w:tcPr>
            <w:tcW w:w="0" w:type="dxa"/>
            <w:vAlign w:val="bottom"/>
          </w:tcPr>
          <w:p>
            <w:pPr>
              <w:spacing w:after="0"/>
              <w:rPr>
                <w:sz w:val="1"/>
                <w:szCs w:val="1"/>
                <w:color w:val="auto"/>
              </w:rPr>
            </w:pPr>
          </w:p>
        </w:tc>
      </w:tr>
      <w:tr>
        <w:trPr>
          <w:trHeight w:val="147"/>
        </w:trPr>
        <w:tc>
          <w:tcPr>
            <w:tcW w:w="690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receivable</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277,115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(474,407)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472,422</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Unbilled receivables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1,396</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603,765</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(589,970)</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current assets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198,569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77,278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140,418</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Other noncurrent assets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903,729</w:t>
            </w:r>
          </w:p>
        </w:tc>
        <w:tc>
          <w:tcPr>
            <w:tcW w:w="1120" w:type="dxa"/>
            <w:vAlign w:val="bottom"/>
            <w:gridSpan w:val="3"/>
          </w:tcPr>
          <w:p>
            <w:pPr>
              <w:jc w:val="right"/>
              <w:ind w:right="160"/>
              <w:spacing w:after="0"/>
              <w:rPr>
                <w:sz w:val="20"/>
                <w:szCs w:val="20"/>
                <w:color w:val="auto"/>
              </w:rPr>
            </w:pPr>
            <w:r>
              <w:rPr>
                <w:rFonts w:ascii="Arial" w:cs="Arial" w:eastAsia="Arial" w:hAnsi="Arial"/>
                <w:sz w:val="12"/>
                <w:szCs w:val="12"/>
                <w:color w:val="auto"/>
              </w:rPr>
              <w:t>(202,731)</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(857,060)</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(891,417)</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1,047,213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(448,138)</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Accrued expenses</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(7,923)</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153,418</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(361,284)</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Unearned revenues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(761,473)</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827,786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(418,182)</w:t>
            </w:r>
          </w:p>
        </w:tc>
        <w:tc>
          <w:tcPr>
            <w:tcW w:w="0" w:type="dxa"/>
            <w:vAlign w:val="bottom"/>
          </w:tcPr>
          <w:p>
            <w:pPr>
              <w:spacing w:after="0"/>
              <w:rPr>
                <w:sz w:val="1"/>
                <w:szCs w:val="1"/>
                <w:color w:val="auto"/>
              </w:rPr>
            </w:pPr>
          </w:p>
        </w:tc>
      </w:tr>
      <w:tr>
        <w:trPr>
          <w:trHeight w:val="147"/>
        </w:trPr>
        <w:tc>
          <w:tcPr>
            <w:tcW w:w="6900" w:type="dxa"/>
            <w:vAlign w:val="bottom"/>
          </w:tcPr>
          <w:p>
            <w:pPr>
              <w:ind w:left="360"/>
              <w:spacing w:after="0"/>
              <w:rPr>
                <w:sz w:val="20"/>
                <w:szCs w:val="20"/>
                <w:color w:val="auto"/>
              </w:rPr>
            </w:pPr>
            <w:r>
              <w:rPr>
                <w:rFonts w:ascii="Arial" w:cs="Arial" w:eastAsia="Arial" w:hAnsi="Arial"/>
                <w:sz w:val="12"/>
                <w:szCs w:val="12"/>
                <w:color w:val="auto"/>
              </w:rPr>
              <w:t>Other noncurrent liabilities</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(144,226)</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147,684</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used in operating activities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(18,770,102)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(15,770,684)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(16,707,927)</w:t>
            </w:r>
          </w:p>
        </w:tc>
        <w:tc>
          <w:tcPr>
            <w:tcW w:w="0" w:type="dxa"/>
            <w:vAlign w:val="bottom"/>
          </w:tcPr>
          <w:p>
            <w:pPr>
              <w:spacing w:after="0"/>
              <w:rPr>
                <w:sz w:val="1"/>
                <w:szCs w:val="1"/>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marketable securities</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(7,993,642)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(33,884,604)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(124,675,859)</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Maturities of marketable securities</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27,059,601</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41,838,886</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67,151,702</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(302,871)</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(252,080)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Purchases of equipment</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(72,998)</w:t>
            </w:r>
          </w:p>
        </w:tc>
        <w:tc>
          <w:tcPr>
            <w:tcW w:w="1120" w:type="dxa"/>
            <w:vAlign w:val="bottom"/>
            <w:gridSpan w:val="3"/>
          </w:tcPr>
          <w:p>
            <w:pPr>
              <w:jc w:val="right"/>
              <w:ind w:right="160"/>
              <w:spacing w:after="0"/>
              <w:rPr>
                <w:sz w:val="20"/>
                <w:szCs w:val="20"/>
                <w:color w:val="auto"/>
              </w:rPr>
            </w:pPr>
            <w:r>
              <w:rPr>
                <w:rFonts w:ascii="Arial" w:cs="Arial" w:eastAsia="Arial" w:hAnsi="Arial"/>
                <w:sz w:val="12"/>
                <w:szCs w:val="12"/>
                <w:color w:val="auto"/>
              </w:rPr>
              <w:t>(239,449)</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(811,493)</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of patent costs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(258,732)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(153,667)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(243,941)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80"/>
              <w:spacing w:after="0"/>
              <w:rPr>
                <w:sz w:val="20"/>
                <w:szCs w:val="20"/>
                <w:color w:val="auto"/>
              </w:rPr>
            </w:pPr>
            <w:r>
              <w:rPr>
                <w:rFonts w:ascii="Arial" w:cs="Arial" w:eastAsia="Arial" w:hAnsi="Arial"/>
                <w:sz w:val="12"/>
                <w:szCs w:val="12"/>
                <w:color w:val="auto"/>
              </w:rPr>
              <w:t>Net cash provided by (used in) investing activities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18,431,358</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7,309,086</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(58,579,591)</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Proceeds from long-term debt</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long-term debt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(6,008)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(93,398)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(42,801)</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Acquisition of treasury stock</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(36,291)</w:t>
            </w:r>
          </w:p>
        </w:tc>
        <w:tc>
          <w:tcPr>
            <w:tcW w:w="1120" w:type="dxa"/>
            <w:vAlign w:val="bottom"/>
            <w:gridSpan w:val="3"/>
          </w:tcPr>
          <w:p>
            <w:pPr>
              <w:jc w:val="right"/>
              <w:ind w:right="160"/>
              <w:spacing w:after="0"/>
              <w:rPr>
                <w:sz w:val="20"/>
                <w:szCs w:val="20"/>
                <w:color w:val="auto"/>
              </w:rPr>
            </w:pPr>
            <w:r>
              <w:rPr>
                <w:rFonts w:ascii="Arial" w:cs="Arial" w:eastAsia="Arial" w:hAnsi="Arial"/>
                <w:sz w:val="12"/>
                <w:szCs w:val="12"/>
                <w:color w:val="auto"/>
              </w:rPr>
              <w:t>(6,443)</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(used in) financing activities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207,701</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(99,841)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207,199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270,582</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530,206</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(1,488,155)</w:t>
            </w:r>
          </w:p>
        </w:tc>
        <w:tc>
          <w:tcPr>
            <w:tcW w:w="0" w:type="dxa"/>
            <w:vAlign w:val="bottom"/>
          </w:tcPr>
          <w:p>
            <w:pPr>
              <w:spacing w:after="0"/>
              <w:rPr>
                <w:sz w:val="1"/>
                <w:szCs w:val="1"/>
                <w:color w:val="auto"/>
              </w:rPr>
            </w:pPr>
          </w:p>
        </w:tc>
      </w:tr>
      <w:tr>
        <w:trPr>
          <w:trHeight w:val="22"/>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increase (decrease) in cash and cash equivalents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139,539</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(8,031,233)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(76,568,474)</w:t>
            </w:r>
          </w:p>
        </w:tc>
        <w:tc>
          <w:tcPr>
            <w:tcW w:w="0" w:type="dxa"/>
            <w:vAlign w:val="bottom"/>
          </w:tcPr>
          <w:p>
            <w:pPr>
              <w:spacing w:after="0"/>
              <w:rPr>
                <w:sz w:val="1"/>
                <w:szCs w:val="1"/>
                <w:color w:val="auto"/>
              </w:rPr>
            </w:pPr>
          </w:p>
        </w:tc>
      </w:tr>
      <w:tr>
        <w:trPr>
          <w:trHeight w:val="147"/>
        </w:trPr>
        <w:tc>
          <w:tcPr>
            <w:tcW w:w="690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4,236,597</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12,267,830</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88,836,304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end of period</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4,376,136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4,236,597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12,267,830</w:t>
            </w:r>
          </w:p>
        </w:tc>
        <w:tc>
          <w:tcPr>
            <w:tcW w:w="0" w:type="dxa"/>
            <w:vAlign w:val="bottom"/>
          </w:tcPr>
          <w:p>
            <w:pPr>
              <w:spacing w:after="0"/>
              <w:rPr>
                <w:sz w:val="1"/>
                <w:szCs w:val="1"/>
                <w:color w:val="auto"/>
              </w:rPr>
            </w:pPr>
          </w:p>
        </w:tc>
      </w:tr>
      <w:tr>
        <w:trPr>
          <w:trHeight w:val="155"/>
        </w:trPr>
        <w:tc>
          <w:tcPr>
            <w:tcW w:w="6900" w:type="dxa"/>
            <w:vAlign w:val="bottom"/>
          </w:tcPr>
          <w:p>
            <w:pPr>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Capitalized patent costs financed through accounts payable and accrued expenses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41,722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66,513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23,255</w:t>
            </w:r>
          </w:p>
        </w:tc>
        <w:tc>
          <w:tcPr>
            <w:tcW w:w="0" w:type="dxa"/>
            <w:vAlign w:val="bottom"/>
          </w:tcPr>
          <w:p>
            <w:pPr>
              <w:spacing w:after="0"/>
              <w:rPr>
                <w:sz w:val="1"/>
                <w:szCs w:val="1"/>
                <w:color w:val="auto"/>
              </w:rPr>
            </w:pPr>
          </w:p>
        </w:tc>
      </w:tr>
      <w:tr>
        <w:trPr>
          <w:trHeight w:val="147"/>
        </w:trPr>
        <w:tc>
          <w:tcPr>
            <w:tcW w:w="6900" w:type="dxa"/>
            <w:vAlign w:val="bottom"/>
          </w:tcPr>
          <w:p>
            <w:pPr>
              <w:ind w:left="120"/>
              <w:spacing w:after="0"/>
              <w:rPr>
                <w:sz w:val="20"/>
                <w:szCs w:val="20"/>
                <w:color w:val="auto"/>
              </w:rPr>
            </w:pPr>
            <w:r>
              <w:rPr>
                <w:rFonts w:ascii="Arial" w:cs="Arial" w:eastAsia="Arial" w:hAnsi="Arial"/>
                <w:sz w:val="12"/>
                <w:szCs w:val="12"/>
                <w:color w:val="auto"/>
              </w:rPr>
              <w:t>Capitalized purchases of equipment financed through accounts payable</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314,824</w:t>
            </w:r>
          </w:p>
        </w:tc>
        <w:tc>
          <w:tcPr>
            <w:tcW w:w="1120" w:type="dxa"/>
            <w:vAlign w:val="bottom"/>
            <w:gridSpan w:val="3"/>
          </w:tcPr>
          <w:p>
            <w:pPr>
              <w:jc w:val="right"/>
              <w:ind w:right="200"/>
              <w:spacing w:after="0"/>
              <w:rPr>
                <w:sz w:val="20"/>
                <w:szCs w:val="20"/>
                <w:color w:val="auto"/>
              </w:rPr>
            </w:pPr>
            <w:r>
              <w:rPr>
                <w:rFonts w:ascii="Arial" w:cs="Arial" w:eastAsia="Arial" w:hAnsi="Arial"/>
                <w:sz w:val="12"/>
                <w:szCs w:val="12"/>
                <w:color w:val="auto"/>
              </w:rPr>
              <w:t>6,360</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96,304</w:t>
            </w:r>
          </w:p>
        </w:tc>
        <w:tc>
          <w:tcPr>
            <w:tcW w:w="0" w:type="dxa"/>
            <w:vAlign w:val="bottom"/>
          </w:tcPr>
          <w:p>
            <w:pPr>
              <w:spacing w:after="0"/>
              <w:rPr>
                <w:sz w:val="1"/>
                <w:szCs w:val="1"/>
                <w:color w:val="auto"/>
              </w:rPr>
            </w:pPr>
          </w:p>
        </w:tc>
      </w:tr>
      <w:tr>
        <w:trPr>
          <w:trHeight w:val="147"/>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 in joint ventures financed through accrued expenses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175,803</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400" w:hanging="393"/>
        <w:spacing w:after="0"/>
        <w:tabs>
          <w:tab w:leader="none" w:pos="4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Background</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Ocean Power Technologies, Inc. (the Company) was incorporated on April 19, 1984 in the State of New Jersey, commenced active operations in 1994 and re-incorporated in the State of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142" w:lineRule="exact"/>
        <w:rPr>
          <w:sz w:val="20"/>
          <w:szCs w:val="20"/>
          <w:color w:val="auto"/>
        </w:rPr>
      </w:pPr>
    </w:p>
    <w:p>
      <w:pPr>
        <w:ind w:left="400" w:hanging="393"/>
        <w:spacing w:after="0"/>
        <w:tabs>
          <w:tab w:leader="none" w:pos="4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400" w:hanging="393"/>
        <w:spacing w:after="0"/>
        <w:tabs>
          <w:tab w:leader="none" w:pos="400" w:val="left"/>
        </w:tabs>
        <w:numPr>
          <w:ilvl w:val="0"/>
          <w:numId w:val="3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Consolidation and Cost Method Investment</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 For the years presented in the accompanying consolidated financial statements, there was one noncontrolling interest, consisting of 11.8% of the Company’s Australian subsidiary.</w:t>
      </w:r>
    </w:p>
    <w:p>
      <w:pPr>
        <w:spacing w:after="0" w:line="71"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For the years presented in the accompanying consolidated financial statements, there were no such entities.</w:t>
      </w:r>
    </w:p>
    <w:p>
      <w:pPr>
        <w:spacing w:after="0" w:line="67"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Company has a 10% investment in Iberdrola Energias Marinas de Cantabria, S.A. (Iberdrola Cantabria). Revenues from Iberdrola Cantabria for the years ended April 30, 2011, 2010 and 2009 were ($242,614), $178,215, and $601,736, respectively. Additionally, aggregate accounts receivable and unbilled receivables from Iberdrola Cantabria were $341,286 and $556,491 as of April 30, 2011 and 2010, respectively. See Note 13(c).</w:t>
      </w:r>
    </w:p>
    <w:p>
      <w:pPr>
        <w:spacing w:after="0" w:line="146" w:lineRule="exact"/>
        <w:rPr>
          <w:sz w:val="20"/>
          <w:szCs w:val="20"/>
          <w:color w:val="auto"/>
        </w:rPr>
      </w:pPr>
    </w:p>
    <w:p>
      <w:pPr>
        <w:ind w:left="400" w:hanging="393"/>
        <w:spacing w:after="0"/>
        <w:tabs>
          <w:tab w:leader="none" w:pos="400" w:val="left"/>
        </w:tabs>
        <w:numPr>
          <w:ilvl w:val="0"/>
          <w:numId w:val="3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right="140" w:firstLine="399"/>
        <w:spacing w:after="0" w:line="285" w:lineRule="auto"/>
        <w:rPr>
          <w:sz w:val="20"/>
          <w:szCs w:val="20"/>
          <w:color w:val="auto"/>
        </w:rPr>
      </w:pPr>
      <w:r>
        <w:rPr>
          <w:rFonts w:ascii="Arial" w:cs="Arial" w:eastAsia="Arial" w:hAnsi="Arial"/>
          <w:sz w:val="12"/>
          <w:szCs w:val="12"/>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134" w:lineRule="exact"/>
        <w:rPr>
          <w:sz w:val="20"/>
          <w:szCs w:val="20"/>
          <w:color w:val="auto"/>
        </w:rPr>
      </w:pPr>
    </w:p>
    <w:p>
      <w:pPr>
        <w:ind w:left="400" w:hanging="393"/>
        <w:spacing w:after="0"/>
        <w:tabs>
          <w:tab w:leader="none" w:pos="400" w:val="left"/>
        </w:tabs>
        <w:numPr>
          <w:ilvl w:val="0"/>
          <w:numId w:val="3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During the year ended April 30, 2011, the Company reduced revenue by approximately $243,000 due to a change in estimated revenue to be recognized in connection with the Company’s construction agreement relating to development of a PowerBuoy system off Santoña, Spain. During the year ended April 30, 2009, the Company recorded provisions of approximately $810,000, related to anticipated losses on contracts. During the year ended April 30, 2010, the Company reversed approximately $400,000 of the loss reserves established in fiscal year 2009 as these loss reserves were no longer necessary as of April 30, 2010. During the year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ended April 30, 2009, the Company recorded reductions in the contract loss reserves of $1,728,000. Reserves related to loss contracts in the amount of approximately $785,000 are included in accrued expenses in the accompanying consolidated balance sheets as of April 30, 2011 and 2010. Modifications to contract provisions, such as those currently being discussed in connection with the Company’s Spain construction agreement (see Note 13), as well as modifications in contract loss estimates, may require changes in reserves established for anticipated contract losses.</w:t>
      </w:r>
    </w:p>
    <w:p>
      <w:pPr>
        <w:spacing w:after="0" w:line="7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72"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Generally our contracts are either cost plus or fixed price contracts. Under cost plus contracts, we bill the customer for actual expenses incurred plus an agreed-upon fee. Revenue is typically recorded using percentage-of-completion based on the maximum awarded contract amount. In certain cases we may choose to incur costs in excess of the maximum awarded contract amount resulting in a loss on the contract. Currently, we have two types of fixed price contracts, firm fixed price and cost-sharing. Under firm fixed price contracts we receive an agreed-upon amount for providing products and services specified in the contract. Revenue is typically recorded using percentage-of-completion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percentage-of-completion based on the amount agreed upon with the customer. An amount corresponding to the revenue is recorded in cost of revenues, resulting in gross profit on these contracts of zero. Our share of the costs is recorded as product development expense.</w:t>
      </w:r>
    </w:p>
    <w:p>
      <w:pPr>
        <w:spacing w:after="0" w:line="5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46" w:lineRule="exact"/>
        <w:rPr>
          <w:sz w:val="20"/>
          <w:szCs w:val="20"/>
          <w:color w:val="auto"/>
        </w:rPr>
      </w:pPr>
    </w:p>
    <w:p>
      <w:pPr>
        <w:ind w:left="400" w:hanging="393"/>
        <w:spacing w:after="0"/>
        <w:tabs>
          <w:tab w:leader="none" w:pos="400" w:val="left"/>
        </w:tabs>
        <w:numPr>
          <w:ilvl w:val="0"/>
          <w:numId w:val="3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Cash equivalents consist of investments in short-term financial instruments with original maturities of three months or less from the date of purchase. Cash and cash equivalents include $273,000 and $1,590,000 of certificates of deposit with initial maturities of less than three months at April 30, 2011 and 2010, respectively, and $482,000 and $192,000 invested in a money market fund as of April 30, 2011 and 2010, respectively.</w:t>
      </w:r>
    </w:p>
    <w:p>
      <w:pPr>
        <w:spacing w:after="0" w:line="146" w:lineRule="exact"/>
        <w:rPr>
          <w:sz w:val="20"/>
          <w:szCs w:val="20"/>
          <w:color w:val="auto"/>
        </w:rPr>
      </w:pPr>
    </w:p>
    <w:p>
      <w:pPr>
        <w:ind w:left="400" w:hanging="393"/>
        <w:spacing w:after="0"/>
        <w:tabs>
          <w:tab w:leader="none" w:pos="400" w:val="left"/>
        </w:tabs>
        <w:numPr>
          <w:ilvl w:val="0"/>
          <w:numId w:val="3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Marketable Securities</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2011 and 2010, all of the Company’s investments were classified as held-to-maturity.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70" w:name="page71"/>
    <w:bookmarkEnd w:id="70"/>
    <w:p>
      <w:pPr>
        <w:jc w:val="center"/>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hanging="393"/>
        <w:spacing w:after="0"/>
        <w:tabs>
          <w:tab w:leader="none" w:pos="400" w:val="left"/>
        </w:tabs>
        <w:numPr>
          <w:ilvl w:val="0"/>
          <w:numId w:val="3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Restricted Cash and Credit Facility</w:t>
      </w:r>
    </w:p>
    <w:p>
      <w:pPr>
        <w:spacing w:after="0" w:line="96" w:lineRule="exact"/>
        <w:rPr>
          <w:sz w:val="20"/>
          <w:szCs w:val="20"/>
          <w:color w:val="auto"/>
        </w:rPr>
      </w:pPr>
    </w:p>
    <w:p>
      <w:pPr>
        <w:ind w:right="580" w:firstLine="399"/>
        <w:spacing w:after="0" w:line="276" w:lineRule="auto"/>
        <w:rPr>
          <w:sz w:val="20"/>
          <w:szCs w:val="20"/>
          <w:color w:val="auto"/>
        </w:rPr>
      </w:pPr>
      <w:r>
        <w:rPr>
          <w:rFonts w:ascii="Arial" w:cs="Arial" w:eastAsia="Arial" w:hAnsi="Arial"/>
          <w:sz w:val="13"/>
          <w:szCs w:val="13"/>
          <w:color w:val="auto"/>
        </w:rPr>
        <w:t>The Company had $1,624,669 and $1,205,288 of restricted cash as of April 30, 2011 and April 30, 2010, respectively. The cash is restricted under the terms of two security agreements.</w:t>
      </w:r>
    </w:p>
    <w:p>
      <w:pPr>
        <w:spacing w:after="0" w:line="59" w:lineRule="exact"/>
        <w:rPr>
          <w:sz w:val="20"/>
          <w:szCs w:val="20"/>
          <w:color w:val="auto"/>
        </w:rPr>
      </w:pPr>
    </w:p>
    <w:p>
      <w:pPr>
        <w:ind w:right="280" w:firstLine="399"/>
        <w:spacing w:after="0" w:line="305" w:lineRule="auto"/>
        <w:rPr>
          <w:sz w:val="20"/>
          <w:szCs w:val="20"/>
          <w:color w:val="auto"/>
        </w:rPr>
      </w:pPr>
      <w:r>
        <w:rPr>
          <w:rFonts w:ascii="Arial" w:cs="Arial" w:eastAsia="Arial" w:hAnsi="Arial"/>
          <w:sz w:val="11"/>
          <w:szCs w:val="11"/>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($1,187,000 at April 30,</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2011) credit facility established by Barclays Bank for Ocean Power Technologies Ltd. The credit facility is for the issuance of letters of credit and bank guarantees, and carries a fee of 1% per annum of the amount of any such obligations issued by Barclays Bank. As of April 30, 2011, there were €266,000 ($395,000) in letters of credit outstanding under this agreement. The credit facility does not have an expiration date, but is cancelable at the discretion of the bank. As of April 30, 2011 and 2010, approximately €720,000 ($1,068,000 and $953,000 at April 30, 2011 and 2010, respectively) is included in restricted cash.</w:t>
      </w:r>
    </w:p>
    <w:p>
      <w:pPr>
        <w:spacing w:after="0" w:line="72" w:lineRule="exact"/>
        <w:rPr>
          <w:sz w:val="20"/>
          <w:szCs w:val="20"/>
          <w:color w:val="auto"/>
        </w:rPr>
      </w:pPr>
    </w:p>
    <w:p>
      <w:pPr>
        <w:ind w:right="20" w:firstLine="399"/>
        <w:spacing w:after="0" w:line="334" w:lineRule="auto"/>
        <w:rPr>
          <w:sz w:val="20"/>
          <w:szCs w:val="20"/>
          <w:color w:val="auto"/>
        </w:rPr>
      </w:pPr>
      <w:r>
        <w:rPr>
          <w:rFonts w:ascii="Arial" w:cs="Arial" w:eastAsia="Arial" w:hAnsi="Arial"/>
          <w:sz w:val="11"/>
          <w:szCs w:val="11"/>
          <w:color w:val="auto"/>
        </w:rPr>
        <w:t>The other agreement is between Ocean Power Technologies, Inc. and the New Jersey Board of Public Utilities (NJBPU). The Company received a $500,000 recoverable grant award from the NJBPU in two installments in fiscal year 2011 and 2010. Under this agreement, the Company is required to assign to the NJBPU a certificate of deposit in an amount equal to the outstanding grant balance. As of April 30, 2011 and 2010, the Company has assigned certificates of deposit in the amount of $500,000 and $250,000, respectively, to the NJBPU. See Note 7.</w:t>
      </w:r>
    </w:p>
    <w:p>
      <w:pPr>
        <w:spacing w:after="0" w:line="111" w:lineRule="exact"/>
        <w:rPr>
          <w:sz w:val="20"/>
          <w:szCs w:val="20"/>
          <w:color w:val="auto"/>
        </w:rPr>
      </w:pPr>
    </w:p>
    <w:p>
      <w:pPr>
        <w:ind w:left="400" w:hanging="393"/>
        <w:spacing w:after="0"/>
        <w:tabs>
          <w:tab w:leader="none" w:pos="400" w:val="left"/>
        </w:tabs>
        <w:numPr>
          <w:ilvl w:val="0"/>
          <w:numId w:val="3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Depreciation was $310,268, $324,596 and $259,696 for the years ended April 30, 2011, 2010 and 2009, respectively.</w:t>
      </w:r>
    </w:p>
    <w:p>
      <w:pPr>
        <w:spacing w:after="0" w:line="148" w:lineRule="exact"/>
        <w:rPr>
          <w:sz w:val="20"/>
          <w:szCs w:val="20"/>
          <w:color w:val="auto"/>
        </w:rPr>
      </w:pPr>
    </w:p>
    <w:p>
      <w:pPr>
        <w:ind w:left="400" w:hanging="393"/>
        <w:spacing w:after="0"/>
        <w:tabs>
          <w:tab w:leader="none" w:pos="400" w:val="left"/>
        </w:tabs>
        <w:numPr>
          <w:ilvl w:val="0"/>
          <w:numId w:val="3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Other Income</w:t>
      </w:r>
    </w:p>
    <w:p>
      <w:pPr>
        <w:spacing w:after="0" w:line="96" w:lineRule="exact"/>
        <w:rPr>
          <w:sz w:val="20"/>
          <w:szCs w:val="20"/>
          <w:color w:val="auto"/>
        </w:rPr>
      </w:pPr>
    </w:p>
    <w:p>
      <w:pPr>
        <w:ind w:right="80" w:firstLine="399"/>
        <w:spacing w:after="0" w:line="371" w:lineRule="auto"/>
        <w:rPr>
          <w:sz w:val="20"/>
          <w:szCs w:val="20"/>
          <w:color w:val="auto"/>
        </w:rPr>
      </w:pPr>
      <w:r>
        <w:rPr>
          <w:rFonts w:ascii="Arial" w:cs="Arial" w:eastAsia="Arial" w:hAnsi="Arial"/>
          <w:sz w:val="11"/>
          <w:szCs w:val="11"/>
          <w:color w:val="auto"/>
        </w:rPr>
        <w:t>Other income consists of transactions that the Company considers to be outside the normal scope of its operations and operating activities. The Company recognized other income of $557,540 during the year ended April 30, 2010, primarily in connection with the settlement of a claim that it had against a supplier that provided engineering services to the Company.</w:t>
      </w:r>
    </w:p>
    <w:p>
      <w:pPr>
        <w:spacing w:after="0" w:line="91" w:lineRule="exact"/>
        <w:rPr>
          <w:sz w:val="20"/>
          <w:szCs w:val="20"/>
          <w:color w:val="auto"/>
        </w:rPr>
      </w:pPr>
    </w:p>
    <w:p>
      <w:pPr>
        <w:ind w:left="400" w:hanging="393"/>
        <w:spacing w:after="0"/>
        <w:tabs>
          <w:tab w:leader="none" w:pos="40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Foreign Exchange Gains and Losses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The Company has invested in certain certificates of deposit and has maintained cash accounts that are denominated in British pounds sterling, Euros and Australian dollars. Such certificates of deposit and cash accounts had a balance of approximately $4,793,000 and $4,131,000 as of April 30, 2011 and 2010, respectively.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(loss) gain in the accompanying consolidated statements of operations. Foreign exchange (loss) gain was ($229,415), $540,644 and ($1,295,227) for the years ended April 30, 2011, 2010 and 2009, respectively.</w:t>
      </w:r>
    </w:p>
    <w:p>
      <w:pPr>
        <w:spacing w:after="0" w:line="134" w:lineRule="exact"/>
        <w:rPr>
          <w:sz w:val="20"/>
          <w:szCs w:val="20"/>
          <w:color w:val="auto"/>
        </w:rPr>
      </w:pPr>
    </w:p>
    <w:p>
      <w:pPr>
        <w:ind w:left="400" w:hanging="393"/>
        <w:spacing w:after="0"/>
        <w:tabs>
          <w:tab w:leader="none" w:pos="400" w:val="left"/>
        </w:tabs>
        <w:numPr>
          <w:ilvl w:val="0"/>
          <w:numId w:val="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Patents</w:t>
      </w:r>
    </w:p>
    <w:p>
      <w:pPr>
        <w:spacing w:after="0" w:line="96" w:lineRule="exact"/>
        <w:rPr>
          <w:sz w:val="20"/>
          <w:szCs w:val="20"/>
          <w:color w:val="auto"/>
        </w:rPr>
      </w:pPr>
    </w:p>
    <w:p>
      <w:pPr>
        <w:ind w:right="340" w:firstLine="399"/>
        <w:spacing w:after="0" w:line="320" w:lineRule="auto"/>
        <w:rPr>
          <w:sz w:val="20"/>
          <w:szCs w:val="20"/>
          <w:color w:val="auto"/>
        </w:rPr>
      </w:pPr>
      <w:r>
        <w:rPr>
          <w:rFonts w:ascii="Arial" w:cs="Arial" w:eastAsia="Arial" w:hAnsi="Arial"/>
          <w:sz w:val="12"/>
          <w:szCs w:val="12"/>
          <w:color w:val="auto"/>
        </w:rPr>
        <w:t>External costs related to the filing of patents, including legal and filing fees, are capitalized. Amortization is calculated using the straight-line method over the life of the patents (17 years, beginning upon issuance of the patent). Expenses for the development of technology are charged to operations as incurred. Amortization expense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40"/>
        <w:spacing w:after="0" w:line="320" w:lineRule="auto"/>
        <w:rPr>
          <w:sz w:val="20"/>
          <w:szCs w:val="20"/>
          <w:color w:val="auto"/>
        </w:rPr>
      </w:pPr>
      <w:r>
        <w:rPr>
          <w:rFonts w:ascii="Arial" w:cs="Arial" w:eastAsia="Arial" w:hAnsi="Arial"/>
          <w:sz w:val="12"/>
          <w:szCs w:val="12"/>
          <w:color w:val="auto"/>
        </w:rPr>
        <w:t>was $47,877, $41,064, and $39,613 for the years ended April 30, 2011, 2010 and 2009, respectively. Amortization expense for the next five fiscal years related to amounts capitalized for patents as of April 30, 2011 is estimated to be approximately $70,000 per year. Accumulated amortization was $333,909 and $285,454 at April 30, 2011 and 2010, respectively.</w:t>
      </w:r>
    </w:p>
    <w:p>
      <w:pPr>
        <w:spacing w:after="0" w:line="114" w:lineRule="exact"/>
        <w:rPr>
          <w:sz w:val="20"/>
          <w:szCs w:val="20"/>
          <w:color w:val="auto"/>
        </w:rPr>
      </w:pPr>
    </w:p>
    <w:p>
      <w:pPr>
        <w:ind w:left="400" w:hanging="393"/>
        <w:spacing w:after="0"/>
        <w:tabs>
          <w:tab w:leader="none" w:pos="400" w:val="left"/>
        </w:tabs>
        <w:numPr>
          <w:ilvl w:val="0"/>
          <w:numId w:val="4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years ended April 30, 2011, 2010 or 2009.</w:t>
      </w:r>
    </w:p>
    <w:p>
      <w:pPr>
        <w:spacing w:after="0" w:line="150" w:lineRule="exact"/>
        <w:rPr>
          <w:sz w:val="20"/>
          <w:szCs w:val="20"/>
          <w:color w:val="auto"/>
        </w:rPr>
      </w:pPr>
    </w:p>
    <w:p>
      <w:pPr>
        <w:ind w:left="400" w:hanging="393"/>
        <w:spacing w:after="0"/>
        <w:tabs>
          <w:tab w:leader="none" w:pos="40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 related to its cash accounts, money market fund or certificates of deposit.</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table below shows the percentage of the Company’s revenues derived from customers whose revenues accounted for at least 10% of the Company’s consolidated revenues for at least one of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36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w w:val="97"/>
              </w:rPr>
              <w:t>Years Ended April 30,</w:t>
            </w:r>
          </w:p>
        </w:tc>
        <w:tc>
          <w:tcPr>
            <w:tcW w:w="320" w:type="dxa"/>
            <w:vAlign w:val="bottom"/>
            <w:tcBorders>
              <w:bottom w:val="single" w:sz="8" w:color="auto"/>
            </w:tcBorders>
          </w:tcPr>
          <w:p>
            <w:pPr>
              <w:spacing w:after="0"/>
              <w:rPr>
                <w:sz w:val="10"/>
                <w:szCs w:val="10"/>
                <w:color w:val="auto"/>
              </w:rPr>
            </w:pPr>
          </w:p>
        </w:tc>
      </w:tr>
      <w:tr>
        <w:trPr>
          <w:trHeight w:val="98"/>
        </w:trPr>
        <w:tc>
          <w:tcPr>
            <w:tcW w:w="8300" w:type="dxa"/>
            <w:vAlign w:val="bottom"/>
          </w:tcPr>
          <w:p>
            <w:pPr>
              <w:spacing w:after="0"/>
              <w:rPr>
                <w:sz w:val="8"/>
                <w:szCs w:val="8"/>
                <w:color w:val="auto"/>
              </w:rPr>
            </w:pPr>
          </w:p>
        </w:tc>
        <w:tc>
          <w:tcPr>
            <w:tcW w:w="380" w:type="dxa"/>
            <w:vAlign w:val="bottom"/>
          </w:tcPr>
          <w:p>
            <w:pPr>
              <w:jc w:val="right"/>
              <w:ind w:right="19"/>
              <w:spacing w:after="0" w:line="98" w:lineRule="exact"/>
              <w:rPr>
                <w:sz w:val="20"/>
                <w:szCs w:val="20"/>
                <w:color w:val="auto"/>
              </w:rPr>
            </w:pPr>
            <w:r>
              <w:rPr>
                <w:rFonts w:ascii="Arial" w:cs="Arial" w:eastAsia="Arial" w:hAnsi="Arial"/>
                <w:sz w:val="10"/>
                <w:szCs w:val="10"/>
                <w:b w:val="1"/>
                <w:bCs w:val="1"/>
                <w:color w:val="auto"/>
              </w:rPr>
              <w:t>2011</w:t>
            </w:r>
          </w:p>
        </w:tc>
        <w:tc>
          <w:tcPr>
            <w:tcW w:w="660" w:type="dxa"/>
            <w:vAlign w:val="bottom"/>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2009</w:t>
            </w:r>
          </w:p>
        </w:tc>
      </w:tr>
      <w:tr>
        <w:trPr>
          <w:trHeight w:val="29"/>
        </w:trPr>
        <w:tc>
          <w:tcPr>
            <w:tcW w:w="8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US Navy</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US Department of Energy</w:t>
            </w:r>
          </w:p>
        </w:tc>
        <w:tc>
          <w:tcPr>
            <w:tcW w:w="380" w:type="dxa"/>
            <w:vAlign w:val="bottom"/>
          </w:tcPr>
          <w:p>
            <w:pPr>
              <w:jc w:val="right"/>
              <w:spacing w:after="0"/>
              <w:rPr>
                <w:sz w:val="20"/>
                <w:szCs w:val="20"/>
                <w:color w:val="auto"/>
              </w:rPr>
            </w:pPr>
            <w:r>
              <w:rPr>
                <w:rFonts w:ascii="Arial" w:cs="Arial" w:eastAsia="Arial" w:hAnsi="Arial"/>
                <w:sz w:val="13"/>
                <w:szCs w:val="13"/>
                <w:color w:val="auto"/>
              </w:rPr>
              <w:t>28%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Iberdrola Cantabria</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5"/>
        </w:trPr>
        <w:tc>
          <w:tcPr>
            <w:tcW w:w="8300" w:type="dxa"/>
            <w:vAlign w:val="bottom"/>
          </w:tcPr>
          <w:p>
            <w:pPr>
              <w:spacing w:after="0"/>
              <w:rPr>
                <w:sz w:val="20"/>
                <w:szCs w:val="20"/>
                <w:color w:val="auto"/>
              </w:rPr>
            </w:pPr>
            <w:r>
              <w:rPr>
                <w:rFonts w:ascii="Arial" w:cs="Arial" w:eastAsia="Arial" w:hAnsi="Arial"/>
                <w:sz w:val="13"/>
                <w:szCs w:val="13"/>
                <w:color w:val="auto"/>
              </w:rPr>
              <w:t>UK Government’s Technical Strategy Board</w:t>
            </w: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4"/>
                <w:szCs w:val="14"/>
                <w:color w:val="auto"/>
              </w:rPr>
            </w:pPr>
          </w:p>
        </w:tc>
        <w:tc>
          <w:tcPr>
            <w:tcW w:w="68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During fiscal 2011, the Company reduced revenue by approximately $243,000 due to a change in estimated revenue to be recognized in connection with the Spain construction agreement.</w:t>
      </w:r>
    </w:p>
    <w:p>
      <w:pPr>
        <w:spacing w:after="0" w:line="59"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138" w:lineRule="exact"/>
        <w:rPr>
          <w:sz w:val="20"/>
          <w:szCs w:val="20"/>
          <w:color w:val="auto"/>
        </w:rPr>
      </w:pPr>
    </w:p>
    <w:p>
      <w:pPr>
        <w:ind w:left="500" w:hanging="493"/>
        <w:spacing w:after="0"/>
        <w:tabs>
          <w:tab w:leader="none" w:pos="500" w:val="left"/>
        </w:tabs>
        <w:numPr>
          <w:ilvl w:val="0"/>
          <w:numId w:val="4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Net Loss per Common Share</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In computing diluted net loss per share, 1,504,888, 1,532,577 and 1,676,631 options to purchase shares of common stock, non-vested restricted stock and shares to be issued to non-employee directors were excluded from the computations for the years ended April 30, 2011, 2010 and 2009, respectively.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hanging="393"/>
        <w:spacing w:after="0"/>
        <w:tabs>
          <w:tab w:leader="none" w:pos="400" w:val="left"/>
        </w:tabs>
        <w:numPr>
          <w:ilvl w:val="0"/>
          <w:numId w:val="4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recorded in the consolidated statements of operations for the years ended April 30, 2011, 2010 and 2009 was approximately $1,448,000, $1,118,000 and $1,512,000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Valuation Assumptions for Options Granted During the Years Ended April 30, 2011, 2010 and 2009</w:t>
      </w:r>
    </w:p>
    <w:p>
      <w:pPr>
        <w:spacing w:after="0" w:line="100"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 xml:space="preserve">The fair value of each stock option granted during the years ended April 30, 2011, 2010 and 2009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Expected volatility was based on historical volatility for a peer group of companies for a period equal to the stock option’s expected life, calculated on a daily basis.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Years Ended April 30,</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1240" w:type="dxa"/>
            <w:vAlign w:val="bottom"/>
          </w:tcPr>
          <w:p>
            <w:pPr>
              <w:jc w:val="right"/>
              <w:ind w:right="457"/>
              <w:spacing w:after="0" w:line="98" w:lineRule="exact"/>
              <w:rPr>
                <w:sz w:val="20"/>
                <w:szCs w:val="20"/>
                <w:color w:val="auto"/>
              </w:rPr>
            </w:pPr>
            <w:r>
              <w:rPr>
                <w:rFonts w:ascii="Arial" w:cs="Arial" w:eastAsia="Arial" w:hAnsi="Arial"/>
                <w:sz w:val="10"/>
                <w:szCs w:val="10"/>
                <w:b w:val="1"/>
                <w:bCs w:val="1"/>
                <w:color w:val="auto"/>
              </w:rPr>
              <w:t>2011</w:t>
            </w:r>
          </w:p>
        </w:tc>
        <w:tc>
          <w:tcPr>
            <w:tcW w:w="1480" w:type="dxa"/>
            <w:vAlign w:val="bottom"/>
            <w:gridSpan w:val="2"/>
          </w:tcPr>
          <w:p>
            <w:pPr>
              <w:jc w:val="center"/>
              <w:ind w:left="198"/>
              <w:spacing w:after="0" w:line="98" w:lineRule="exact"/>
              <w:rPr>
                <w:sz w:val="20"/>
                <w:szCs w:val="20"/>
                <w:color w:val="auto"/>
              </w:rPr>
            </w:pPr>
            <w:r>
              <w:rPr>
                <w:rFonts w:ascii="Arial" w:cs="Arial" w:eastAsia="Arial" w:hAnsi="Arial"/>
                <w:sz w:val="10"/>
                <w:szCs w:val="10"/>
                <w:b w:val="1"/>
                <w:bCs w:val="1"/>
                <w:color w:val="auto"/>
                <w:w w:val="98"/>
              </w:rPr>
              <w:t>2010</w:t>
            </w:r>
          </w:p>
        </w:tc>
        <w:tc>
          <w:tcPr>
            <w:tcW w:w="1500" w:type="dxa"/>
            <w:vAlign w:val="bottom"/>
            <w:gridSpan w:val="2"/>
          </w:tcPr>
          <w:p>
            <w:pPr>
              <w:jc w:val="right"/>
              <w:ind w:right="434"/>
              <w:spacing w:after="0" w:line="98" w:lineRule="exact"/>
              <w:rPr>
                <w:sz w:val="20"/>
                <w:szCs w:val="20"/>
                <w:color w:val="auto"/>
              </w:rPr>
            </w:pPr>
            <w:r>
              <w:rPr>
                <w:rFonts w:ascii="Arial" w:cs="Arial" w:eastAsia="Arial" w:hAnsi="Arial"/>
                <w:sz w:val="10"/>
                <w:szCs w:val="10"/>
                <w:b w:val="1"/>
                <w:bCs w:val="1"/>
                <w:color w:val="auto"/>
              </w:rPr>
              <w:t>2009</w:t>
            </w:r>
          </w:p>
        </w:tc>
      </w:tr>
      <w:tr>
        <w:trPr>
          <w:trHeight w:val="29"/>
        </w:trPr>
        <w:tc>
          <w:tcPr>
            <w:tcW w:w="576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2.29%</w:t>
            </w:r>
          </w:p>
        </w:tc>
        <w:tc>
          <w:tcPr>
            <w:tcW w:w="148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2.98%</w:t>
            </w:r>
          </w:p>
        </w:tc>
        <w:tc>
          <w:tcPr>
            <w:tcW w:w="1500" w:type="dxa"/>
            <w:vAlign w:val="bottom"/>
            <w:gridSpan w:val="2"/>
            <w:shd w:val="clear" w:color="auto" w:fill="CCEEFF"/>
          </w:tcPr>
          <w:p>
            <w:pPr>
              <w:jc w:val="right"/>
              <w:ind w:right="174"/>
              <w:spacing w:after="0"/>
              <w:rPr>
                <w:sz w:val="20"/>
                <w:szCs w:val="20"/>
                <w:color w:val="auto"/>
              </w:rPr>
            </w:pPr>
            <w:r>
              <w:rPr>
                <w:rFonts w:ascii="Arial" w:cs="Arial" w:eastAsia="Arial" w:hAnsi="Arial"/>
                <w:sz w:val="13"/>
                <w:szCs w:val="13"/>
                <w:color w:val="auto"/>
              </w:rPr>
              <w:t>3.36%</w:t>
            </w: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0.0%</w:t>
            </w:r>
          </w:p>
        </w:tc>
        <w:tc>
          <w:tcPr>
            <w:tcW w:w="1480" w:type="dxa"/>
            <w:vAlign w:val="bottom"/>
            <w:gridSpan w:val="2"/>
          </w:tcPr>
          <w:p>
            <w:pPr>
              <w:jc w:val="right"/>
              <w:ind w:right="181"/>
              <w:spacing w:after="0"/>
              <w:rPr>
                <w:sz w:val="20"/>
                <w:szCs w:val="20"/>
                <w:color w:val="auto"/>
              </w:rPr>
            </w:pPr>
            <w:r>
              <w:rPr>
                <w:rFonts w:ascii="Arial" w:cs="Arial" w:eastAsia="Arial" w:hAnsi="Arial"/>
                <w:sz w:val="13"/>
                <w:szCs w:val="13"/>
                <w:color w:val="auto"/>
              </w:rPr>
              <w:t>0.0%</w:t>
            </w:r>
          </w:p>
        </w:tc>
        <w:tc>
          <w:tcPr>
            <w:tcW w:w="1500" w:type="dxa"/>
            <w:vAlign w:val="bottom"/>
            <w:gridSpan w:val="2"/>
          </w:tcPr>
          <w:p>
            <w:pPr>
              <w:jc w:val="right"/>
              <w:ind w:right="174"/>
              <w:spacing w:after="0"/>
              <w:rPr>
                <w:sz w:val="20"/>
                <w:szCs w:val="20"/>
                <w:color w:val="auto"/>
              </w:rPr>
            </w:pPr>
            <w:r>
              <w:rPr>
                <w:rFonts w:ascii="Arial" w:cs="Arial" w:eastAsia="Arial" w:hAnsi="Arial"/>
                <w:sz w:val="13"/>
                <w:szCs w:val="13"/>
                <w:color w:val="auto"/>
              </w:rPr>
              <w:t>0.0%</w:t>
            </w: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Expected life</w:t>
            </w:r>
          </w:p>
        </w:tc>
        <w:tc>
          <w:tcPr>
            <w:tcW w:w="12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6.39 years</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6.42 years</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6.29 years</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Expected volatility</w:t>
            </w:r>
          </w:p>
        </w:tc>
        <w:tc>
          <w:tcPr>
            <w:tcW w:w="1240" w:type="dxa"/>
            <w:vAlign w:val="bottom"/>
          </w:tcPr>
          <w:p>
            <w:pPr>
              <w:jc w:val="right"/>
              <w:ind w:right="177"/>
              <w:spacing w:after="0"/>
              <w:rPr>
                <w:sz w:val="20"/>
                <w:szCs w:val="20"/>
                <w:color w:val="auto"/>
              </w:rPr>
            </w:pPr>
            <w:r>
              <w:rPr>
                <w:rFonts w:ascii="Arial" w:cs="Arial" w:eastAsia="Arial" w:hAnsi="Arial"/>
                <w:sz w:val="13"/>
                <w:szCs w:val="13"/>
                <w:color w:val="auto"/>
              </w:rPr>
              <w:t>93.8%</w:t>
            </w:r>
          </w:p>
        </w:tc>
        <w:tc>
          <w:tcPr>
            <w:tcW w:w="1480" w:type="dxa"/>
            <w:vAlign w:val="bottom"/>
            <w:gridSpan w:val="2"/>
          </w:tcPr>
          <w:p>
            <w:pPr>
              <w:jc w:val="right"/>
              <w:ind w:right="181"/>
              <w:spacing w:after="0"/>
              <w:rPr>
                <w:sz w:val="20"/>
                <w:szCs w:val="20"/>
                <w:color w:val="auto"/>
              </w:rPr>
            </w:pPr>
            <w:r>
              <w:rPr>
                <w:rFonts w:ascii="Arial" w:cs="Arial" w:eastAsia="Arial" w:hAnsi="Arial"/>
                <w:sz w:val="13"/>
                <w:szCs w:val="13"/>
                <w:color w:val="auto"/>
              </w:rPr>
              <w:t>81.8%</w:t>
            </w:r>
          </w:p>
        </w:tc>
        <w:tc>
          <w:tcPr>
            <w:tcW w:w="1500" w:type="dxa"/>
            <w:vAlign w:val="bottom"/>
            <w:gridSpan w:val="2"/>
          </w:tcPr>
          <w:p>
            <w:pPr>
              <w:jc w:val="right"/>
              <w:ind w:right="174"/>
              <w:spacing w:after="0"/>
              <w:rPr>
                <w:sz w:val="20"/>
                <w:szCs w:val="20"/>
                <w:color w:val="auto"/>
              </w:rPr>
            </w:pPr>
            <w:r>
              <w:rPr>
                <w:rFonts w:ascii="Arial" w:cs="Arial" w:eastAsia="Arial" w:hAnsi="Arial"/>
                <w:sz w:val="13"/>
                <w:szCs w:val="13"/>
                <w:color w:val="auto"/>
              </w:rPr>
              <w:t>79.3%</w:t>
            </w:r>
          </w:p>
        </w:tc>
      </w:tr>
    </w:tbl>
    <w:p>
      <w:pPr>
        <w:spacing w:after="0" w:line="72"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The above assumptions were used to determine the weighted average per share fair value of $4.18, $4.42 and $6.33 for stock options granted during the years ended April 30, 2011, 2010 and 2009, respectively.</w:t>
      </w:r>
    </w:p>
    <w:p>
      <w:pPr>
        <w:spacing w:after="0" w:line="138" w:lineRule="exact"/>
        <w:rPr>
          <w:sz w:val="20"/>
          <w:szCs w:val="20"/>
          <w:color w:val="auto"/>
        </w:rPr>
      </w:pPr>
    </w:p>
    <w:p>
      <w:pPr>
        <w:ind w:left="400" w:hanging="393"/>
        <w:spacing w:after="0"/>
        <w:tabs>
          <w:tab w:leader="none" w:pos="400" w:val="left"/>
        </w:tabs>
        <w:numPr>
          <w:ilvl w:val="0"/>
          <w:numId w:val="4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220" w:firstLine="399"/>
        <w:spacing w:after="0" w:line="322" w:lineRule="auto"/>
        <w:rPr>
          <w:sz w:val="20"/>
          <w:szCs w:val="20"/>
          <w:color w:val="auto"/>
        </w:rPr>
      </w:pPr>
      <w:r>
        <w:rPr>
          <w:rFonts w:ascii="Arial" w:cs="Arial" w:eastAsia="Arial" w:hAnsi="Arial"/>
          <w:sz w:val="11"/>
          <w:szCs w:val="11"/>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39"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28" w:lineRule="exact"/>
        <w:rPr>
          <w:sz w:val="20"/>
          <w:szCs w:val="20"/>
          <w:color w:val="auto"/>
        </w:rPr>
      </w:pPr>
    </w:p>
    <w:p>
      <w:pPr>
        <w:ind w:left="400" w:hanging="393"/>
        <w:spacing w:after="0"/>
        <w:tabs>
          <w:tab w:leader="none" w:pos="400" w:val="left"/>
        </w:tabs>
        <w:numPr>
          <w:ilvl w:val="0"/>
          <w:numId w:val="4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Accumulated Other Comprehensive Loss</w:t>
      </w:r>
    </w:p>
    <w:p>
      <w:pPr>
        <w:spacing w:after="0" w:line="96"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73" w:name="page74"/>
    <w:bookmarkEnd w:id="73"/>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period. The unrealized gains or losses resulting from such translation are included in accumulated other comprehensive loss within stockholders’ equity.</w:t>
      </w:r>
    </w:p>
    <w:p>
      <w:pPr>
        <w:spacing w:after="0" w:line="175" w:lineRule="exact"/>
        <w:rPr>
          <w:sz w:val="20"/>
          <w:szCs w:val="20"/>
          <w:color w:val="auto"/>
        </w:rPr>
      </w:pPr>
    </w:p>
    <w:p>
      <w:pPr>
        <w:ind w:left="1080" w:hanging="393"/>
        <w:spacing w:after="0"/>
        <w:tabs>
          <w:tab w:leader="none" w:pos="1080" w:val="left"/>
        </w:tabs>
        <w:numPr>
          <w:ilvl w:val="0"/>
          <w:numId w:val="4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860" w:firstLine="399"/>
        <w:spacing w:after="0" w:line="260" w:lineRule="auto"/>
        <w:rPr>
          <w:sz w:val="20"/>
          <w:szCs w:val="20"/>
          <w:color w:val="auto"/>
        </w:rPr>
      </w:pPr>
      <w:r>
        <w:rPr>
          <w:rFonts w:ascii="Arial" w:cs="Arial" w:eastAsia="Arial" w:hAnsi="Arial"/>
          <w:sz w:val="13"/>
          <w:szCs w:val="13"/>
          <w:color w:val="auto"/>
        </w:rPr>
        <w:t>In May 2011, the FASB issued further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 The Company is currently assessing the impact of the guidance.</w:t>
      </w:r>
    </w:p>
    <w:p>
      <w:pPr>
        <w:spacing w:after="0" w:line="148" w:lineRule="exact"/>
        <w:rPr>
          <w:sz w:val="20"/>
          <w:szCs w:val="20"/>
          <w:color w:val="auto"/>
        </w:rPr>
      </w:pPr>
    </w:p>
    <w:p>
      <w:pPr>
        <w:ind w:left="1080" w:hanging="393"/>
        <w:spacing w:after="0"/>
        <w:tabs>
          <w:tab w:leader="none" w:pos="1080" w:val="left"/>
        </w:tabs>
        <w:numPr>
          <w:ilvl w:val="0"/>
          <w:numId w:val="4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Reclassifications</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Certain prior year amounts have been reclassified to conform to the current year presentation.</w:t>
      </w:r>
    </w:p>
    <w:p>
      <w:pPr>
        <w:spacing w:after="0" w:line="171" w:lineRule="exact"/>
        <w:rPr>
          <w:sz w:val="20"/>
          <w:szCs w:val="20"/>
          <w:color w:val="auto"/>
        </w:rPr>
      </w:pPr>
    </w:p>
    <w:p>
      <w:pPr>
        <w:ind w:left="1080" w:hanging="393"/>
        <w:spacing w:after="0"/>
        <w:tabs>
          <w:tab w:leader="none" w:pos="10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0" w:lineRule="exact"/>
        <w:rPr>
          <w:sz w:val="20"/>
          <w:szCs w:val="20"/>
          <w:color w:val="auto"/>
        </w:rPr>
      </w:pPr>
    </w:p>
    <w:p>
      <w:pPr>
        <w:ind w:left="680" w:right="1240" w:firstLine="399"/>
        <w:spacing w:after="0" w:line="276" w:lineRule="auto"/>
        <w:rPr>
          <w:sz w:val="20"/>
          <w:szCs w:val="20"/>
          <w:color w:val="auto"/>
        </w:rPr>
      </w:pPr>
      <w:r>
        <w:rPr>
          <w:rFonts w:ascii="Arial" w:cs="Arial" w:eastAsia="Arial" w:hAnsi="Arial"/>
          <w:sz w:val="13"/>
          <w:szCs w:val="13"/>
          <w:color w:val="auto"/>
        </w:rPr>
        <w:t>Marketable securities with original maturities longer than three months but that mature in less than one year from the balance sheet date are classified as current assets and are summarized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ind w:left="740"/>
              <w:spacing w:after="0"/>
              <w:rPr>
                <w:sz w:val="20"/>
                <w:szCs w:val="20"/>
                <w:color w:val="auto"/>
              </w:rPr>
            </w:pPr>
            <w:r>
              <w:rPr>
                <w:rFonts w:ascii="Arial" w:cs="Arial" w:eastAsia="Arial" w:hAnsi="Arial"/>
                <w:sz w:val="10"/>
                <w:szCs w:val="10"/>
                <w:b w:val="1"/>
                <w:bCs w:val="1"/>
                <w:color w:val="auto"/>
              </w:rPr>
              <w:t>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80"/>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88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r>
      <w:tr>
        <w:trPr>
          <w:trHeight w:val="29"/>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Certificates of deposit denominated in AUD</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491,895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519,232</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US Treasury obligations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25,526,699</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32,016,769</w:t>
            </w:r>
          </w:p>
        </w:tc>
      </w:tr>
      <w:tr>
        <w:trPr>
          <w:trHeight w:val="20"/>
        </w:trPr>
        <w:tc>
          <w:tcPr>
            <w:tcW w:w="7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26,018,594</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32,536,001</w:t>
            </w:r>
          </w:p>
        </w:tc>
      </w:tr>
      <w:tr>
        <w:trPr>
          <w:trHeight w:val="29"/>
        </w:trPr>
        <w:tc>
          <w:tcPr>
            <w:tcW w:w="7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900" w:firstLine="399"/>
        <w:spacing w:after="0" w:line="276" w:lineRule="auto"/>
        <w:rPr>
          <w:sz w:val="20"/>
          <w:szCs w:val="20"/>
          <w:color w:val="auto"/>
        </w:rPr>
      </w:pPr>
      <w:r>
        <w:rPr>
          <w:rFonts w:ascii="Arial" w:cs="Arial" w:eastAsia="Arial" w:hAnsi="Arial"/>
          <w:sz w:val="13"/>
          <w:szCs w:val="13"/>
          <w:color w:val="auto"/>
        </w:rPr>
        <w:t>The Company’s marketable securities that mature more than one year from the balance sheet date are classified as noncurrent assets and are all classified as held-to-maturity, carried at amortized cost and are summarized as follows. All non-current marketable securities mature within two years from April 30,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restart"/>
          </w:tcPr>
          <w:p>
            <w:pPr>
              <w:jc w:val="center"/>
              <w:ind w:right="600"/>
              <w:spacing w:after="0"/>
              <w:rPr>
                <w:sz w:val="20"/>
                <w:szCs w:val="20"/>
                <w:color w:val="auto"/>
              </w:rPr>
            </w:pPr>
            <w:r>
              <w:rPr>
                <w:rFonts w:ascii="Arial" w:cs="Arial" w:eastAsia="Arial" w:hAnsi="Arial"/>
                <w:sz w:val="10"/>
                <w:szCs w:val="10"/>
                <w:b w:val="1"/>
                <w:bCs w:val="1"/>
                <w:color w:val="auto"/>
                <w:w w:val="98"/>
              </w:rPr>
              <w:t>Amortized</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Gross</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Market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4"/>
              </w:rPr>
              <w:t>Unrealized</w:t>
            </w:r>
          </w:p>
        </w:tc>
        <w:tc>
          <w:tcPr>
            <w:tcW w:w="1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9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9"/>
              </w:rPr>
              <w:t>Cost</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Gains</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6"/>
              </w:rPr>
              <w:t>Losses</w:t>
            </w:r>
          </w:p>
        </w:tc>
        <w:tc>
          <w:tcPr>
            <w:tcW w:w="9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April 30, 2011</w:t>
            </w:r>
          </w:p>
        </w:tc>
        <w:tc>
          <w:tcPr>
            <w:tcW w:w="2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US Treasury obligations</w:t>
            </w:r>
          </w:p>
        </w:tc>
        <w:tc>
          <w:tcPr>
            <w:tcW w:w="242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12,516,208</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164,107</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12,680,315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Certificate of deposit</w:t>
            </w:r>
          </w:p>
        </w:tc>
        <w:tc>
          <w:tcPr>
            <w:tcW w:w="2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3,806,808</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3,806,808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16,323,016</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164,107</w:t>
            </w:r>
          </w:p>
        </w:tc>
        <w:tc>
          <w:tcPr>
            <w:tcW w:w="38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16,487,123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April 30, 2010</w:t>
            </w:r>
          </w:p>
        </w:tc>
        <w:tc>
          <w:tcPr>
            <w:tcW w:w="2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US Treasury obligations</w:t>
            </w:r>
          </w:p>
        </w:tc>
        <w:tc>
          <w:tcPr>
            <w:tcW w:w="242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25,058,238</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158,672</w:t>
            </w:r>
          </w:p>
        </w:tc>
        <w:tc>
          <w:tcPr>
            <w:tcW w:w="11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25,216,910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Certificate of deposit</w:t>
            </w:r>
          </w:p>
        </w:tc>
        <w:tc>
          <w:tcPr>
            <w:tcW w:w="2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3,806,808</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3,806,808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28,865,046</w:t>
            </w: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158,672</w:t>
            </w:r>
          </w:p>
        </w:tc>
        <w:tc>
          <w:tcPr>
            <w:tcW w:w="380" w:type="dxa"/>
            <w:vAlign w:val="bottom"/>
          </w:tcPr>
          <w:p>
            <w:pPr>
              <w:spacing w:after="0"/>
              <w:rPr>
                <w:sz w:val="15"/>
                <w:szCs w:val="15"/>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29,023,718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20" w:type="dxa"/>
            <w:vAlign w:val="bottom"/>
          </w:tcPr>
          <w:p>
            <w:pPr>
              <w:ind w:left="1800"/>
              <w:spacing w:after="0"/>
              <w:rPr>
                <w:sz w:val="20"/>
                <w:szCs w:val="20"/>
                <w:color w:val="auto"/>
              </w:rPr>
            </w:pPr>
            <w:r>
              <w:rPr>
                <w:rFonts w:ascii="Arial" w:cs="Arial" w:eastAsia="Arial" w:hAnsi="Arial"/>
                <w:sz w:val="13"/>
                <w:szCs w:val="13"/>
                <w:color w:val="auto"/>
              </w:rPr>
              <w:t>F-14</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74" w:name="page75"/>
    <w:bookmarkEnd w:id="74"/>
    <w:p>
      <w:pPr>
        <w:jc w:val="center"/>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00" w:hanging="393"/>
        <w:spacing w:after="0"/>
        <w:tabs>
          <w:tab w:leader="none" w:pos="40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Property and Equipment</w:t>
      </w:r>
    </w:p>
    <w:p>
      <w:pPr>
        <w:spacing w:after="0" w:line="100" w:lineRule="exact"/>
        <w:rPr>
          <w:rFonts w:ascii="Arial" w:cs="Arial" w:eastAsia="Arial" w:hAnsi="Arial"/>
          <w:sz w:val="13"/>
          <w:szCs w:val="13"/>
          <w:b w:val="1"/>
          <w:bCs w:val="1"/>
          <w:color w:val="auto"/>
        </w:rPr>
      </w:pPr>
    </w:p>
    <w:p>
      <w:pPr>
        <w:ind w:left="400"/>
        <w:spacing w:after="0"/>
        <w:rPr>
          <w:rFonts w:ascii="Arial" w:cs="Arial" w:eastAsia="Arial" w:hAnsi="Arial"/>
          <w:sz w:val="13"/>
          <w:szCs w:val="13"/>
          <w:b w:val="1"/>
          <w:bCs w:val="1"/>
          <w:color w:val="auto"/>
        </w:rPr>
      </w:pPr>
      <w:r>
        <w:rPr>
          <w:rFonts w:ascii="Arial" w:cs="Arial" w:eastAsia="Arial" w:hAnsi="Arial"/>
          <w:sz w:val="13"/>
          <w:szCs w:val="13"/>
          <w:color w:val="auto"/>
        </w:rPr>
        <w:t>The components of property and equipment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0"/>
                <w:szCs w:val="10"/>
                <w:b w:val="1"/>
                <w:bCs w:val="1"/>
                <w:color w:val="auto"/>
              </w:rPr>
              <w:t>Life</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April 30,</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2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jc w:val="right"/>
              <w:ind w:right="337"/>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8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Computers and software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 years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713,779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654,400</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Equipment</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 to 7 years</w:t>
            </w:r>
          </w:p>
        </w:tc>
        <w:tc>
          <w:tcPr>
            <w:tcW w:w="2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990,283</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661,120</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Office furniture and equipment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 to 7 years</w:t>
            </w: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297,612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303,918</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Leasehold improvements</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 to 8 years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149,505</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147,640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2,151,179</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1,767,078</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(1,359,087)</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(1,056,515)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792,092</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710,563</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400" w:hanging="393"/>
        <w:spacing w:after="0"/>
        <w:tabs>
          <w:tab w:leader="none" w:pos="4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Accrued Expenses</w:t>
      </w:r>
    </w:p>
    <w:p>
      <w:pPr>
        <w:spacing w:after="0" w:line="100" w:lineRule="exact"/>
        <w:rPr>
          <w:rFonts w:ascii="Arial" w:cs="Arial" w:eastAsia="Arial" w:hAnsi="Arial"/>
          <w:sz w:val="13"/>
          <w:szCs w:val="13"/>
          <w:b w:val="1"/>
          <w:bCs w:val="1"/>
          <w:color w:val="auto"/>
        </w:rPr>
      </w:pPr>
    </w:p>
    <w:p>
      <w:pPr>
        <w:ind w:left="400"/>
        <w:spacing w:after="0"/>
        <w:rPr>
          <w:rFonts w:ascii="Arial" w:cs="Arial" w:eastAsia="Arial" w:hAnsi="Arial"/>
          <w:sz w:val="13"/>
          <w:szCs w:val="13"/>
          <w:b w:val="1"/>
          <w:bCs w:val="1"/>
          <w:color w:val="auto"/>
        </w:rPr>
      </w:pPr>
      <w:r>
        <w:rPr>
          <w:rFonts w:ascii="Arial" w:cs="Arial" w:eastAsia="Arial" w:hAnsi="Arial"/>
          <w:sz w:val="13"/>
          <w:szCs w:val="13"/>
          <w:color w:val="auto"/>
        </w:rPr>
        <w:t>The components of accrued expenses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ind w:left="640"/>
              <w:spacing w:after="0"/>
              <w:rPr>
                <w:sz w:val="20"/>
                <w:szCs w:val="20"/>
                <w:color w:val="auto"/>
              </w:rPr>
            </w:pPr>
            <w:r>
              <w:rPr>
                <w:rFonts w:ascii="Arial" w:cs="Arial" w:eastAsia="Arial" w:hAnsi="Arial"/>
                <w:sz w:val="10"/>
                <w:szCs w:val="10"/>
                <w:b w:val="1"/>
                <w:bCs w:val="1"/>
                <w:color w:val="auto"/>
              </w:rPr>
              <w:t>April 30,</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2011</w:t>
            </w:r>
          </w:p>
        </w:tc>
        <w:tc>
          <w:tcPr>
            <w:tcW w:w="380" w:type="dxa"/>
            <w:vAlign w:val="bottom"/>
          </w:tcPr>
          <w:p>
            <w:pPr>
              <w:spacing w:after="0"/>
              <w:rPr>
                <w:sz w:val="8"/>
                <w:szCs w:val="8"/>
                <w:color w:val="auto"/>
              </w:rPr>
            </w:pPr>
          </w:p>
        </w:tc>
        <w:tc>
          <w:tcPr>
            <w:tcW w:w="80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r>
      <w:tr>
        <w:trPr>
          <w:trHeight w:val="29"/>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Project costs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1,505,981</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1,072,635</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Contract loss reserves</w:t>
            </w: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785,000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785,000</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Employee incentive payments</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749,464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682,400</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282,999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308,514</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364,799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491,621</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Payroll tax withholdings</w:t>
            </w: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219,632</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374,208</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Investment in joint venture</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197,318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176,121</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Legal and accounting fees</w:t>
            </w: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157,616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154,567</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Value-added tax</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40,143</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47,047</w:t>
            </w:r>
          </w:p>
        </w:tc>
      </w:tr>
      <w:tr>
        <w:trPr>
          <w:trHeight w:val="20"/>
        </w:trPr>
        <w:tc>
          <w:tcPr>
            <w:tcW w:w="7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4,302,952</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4,092,113</w:t>
            </w:r>
          </w:p>
        </w:tc>
      </w:tr>
      <w:tr>
        <w:trPr>
          <w:trHeight w:val="30"/>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400" w:hanging="393"/>
        <w:spacing w:after="0"/>
        <w:tabs>
          <w:tab w:leader="none" w:pos="4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In August 1999, the Company entered into a consulting agreement with an individual for marketing services. Currently, this agreement is at a rate of $950 per day of services provided. The individual became a member of the board of directors in June 2006. Under this consulting agreement, the Company expensed approximately $85,000, $72,000 and $61,000 during the years ended April 30, 2011, 2010 and 2009, respectively. The amount of these consulting fees payable at April 30, 2011, 2010 and 2009 was $7,000, $7,000 and $5,000, respectively. In addition, this individual is also the chief executive officer of a company that provided engineering and technical services to the Company. The Company incurred expenses of approximately $207,000 and $213,000 for such services during the years ended April 30, 2011 and 2010, respectively, of which $56,000 and $65,000 was payable at April 30, 2011 and 2010, respectively. There was no such expense incurred for the year ended April 30, 2009. The Company also provided services to the company where this individual is the chief executive officer. The Company recorded revenue of approximately $77,000 and $15,000 for such services during the years ended April 30, 2011 and 2009, respectively, of which $27,000 and $6,000 was receivable at April 30, 2011 and 2010, respectively. There was no revenue earned during the year ended April 30, 2010.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00" w:hanging="393"/>
        <w:spacing w:after="0"/>
        <w:tabs>
          <w:tab w:leader="none" w:pos="4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jc w:val="both"/>
        <w:ind w:right="60" w:firstLine="399"/>
        <w:spacing w:after="0" w:line="301" w:lineRule="auto"/>
        <w:rPr>
          <w:sz w:val="20"/>
          <w:szCs w:val="20"/>
          <w:color w:val="auto"/>
        </w:rPr>
      </w:pPr>
      <w:r>
        <w:rPr>
          <w:rFonts w:ascii="Arial" w:cs="Arial" w:eastAsia="Arial" w:hAnsi="Arial"/>
          <w:sz w:val="11"/>
          <w:szCs w:val="11"/>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with any remaining amount due on January 15, 2012.</w:t>
      </w:r>
    </w:p>
    <w:p>
      <w:pPr>
        <w:spacing w:after="0" w:line="2" w:lineRule="exact"/>
        <w:rPr>
          <w:sz w:val="20"/>
          <w:szCs w:val="20"/>
          <w:color w:val="auto"/>
        </w:rPr>
      </w:pPr>
    </w:p>
    <w:p>
      <w:pPr>
        <w:ind w:right="540"/>
        <w:spacing w:after="0" w:line="264" w:lineRule="auto"/>
        <w:rPr>
          <w:sz w:val="20"/>
          <w:szCs w:val="20"/>
          <w:color w:val="auto"/>
        </w:rPr>
      </w:pPr>
      <w:r>
        <w:rPr>
          <w:rFonts w:ascii="Arial" w:cs="Arial" w:eastAsia="Arial" w:hAnsi="Arial"/>
          <w:sz w:val="13"/>
          <w:szCs w:val="13"/>
          <w:color w:val="auto"/>
        </w:rPr>
        <w:t>Based upon the terms of the award, the Company has repaid approximately $161,000, and the remaining $89,000 due has been classified as current portion of long-term debt on the accompanying balance sheet as of April 30, 2011.</w:t>
      </w:r>
    </w:p>
    <w:p>
      <w:pPr>
        <w:spacing w:after="0" w:line="67"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April 30, 2011, $50,000 was included in current portion of long-term debt and $450,000 was included in long-term debt on the accompanying consolidated balance sheet. The terms also require the Company to assign to the NJBPU a certificate of deposit in an amount equal to the outstanding grant balance. The Company received $250,000, representing the first half of the grant during the year ended April 30, 2010 and the remaining $250,000 was received during the year ended April 30, 2011. See Note 2(f).</w:t>
      </w:r>
    </w:p>
    <w:p>
      <w:pPr>
        <w:spacing w:after="0" w:line="146" w:lineRule="exact"/>
        <w:rPr>
          <w:sz w:val="20"/>
          <w:szCs w:val="20"/>
          <w:color w:val="auto"/>
        </w:rPr>
      </w:pPr>
    </w:p>
    <w:p>
      <w:pPr>
        <w:ind w:left="400" w:hanging="393"/>
        <w:spacing w:after="0"/>
        <w:tabs>
          <w:tab w:leader="none" w:pos="4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Credits</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April 30, 2011 and 2010.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48" w:lineRule="exact"/>
        <w:rPr>
          <w:sz w:val="20"/>
          <w:szCs w:val="20"/>
          <w:color w:val="auto"/>
        </w:rPr>
      </w:pPr>
    </w:p>
    <w:p>
      <w:pPr>
        <w:ind w:left="400" w:hanging="393"/>
        <w:spacing w:after="0"/>
        <w:tabs>
          <w:tab w:leader="none" w:pos="40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On April 30, 2007, the Company completed an initial public offering in the United States on the NASDAQ Global Market by issuing 5,000,000 shares of its common stock for a purchase price of $20.00 per share, resulting in net proceeds to the Company of approximately $89,900,000.</w:t>
      </w:r>
    </w:p>
    <w:p>
      <w:pPr>
        <w:spacing w:after="0" w:line="134" w:lineRule="exact"/>
        <w:rPr>
          <w:sz w:val="20"/>
          <w:szCs w:val="20"/>
          <w:color w:val="auto"/>
        </w:rPr>
      </w:pPr>
    </w:p>
    <w:p>
      <w:pPr>
        <w:ind w:left="500" w:hanging="493"/>
        <w:spacing w:after="0"/>
        <w:tabs>
          <w:tab w:leader="none" w:pos="50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 Company has authorized 5,000,000 shares of undesignated preferred stock with a par value of $0.001 per share. At April 30, 2011 and 2010, no shares of preferred stock had been issued.</w:t>
      </w:r>
    </w:p>
    <w:p>
      <w:pPr>
        <w:spacing w:after="0" w:line="134" w:lineRule="exact"/>
        <w:rPr>
          <w:sz w:val="20"/>
          <w:szCs w:val="20"/>
          <w:color w:val="auto"/>
        </w:rPr>
      </w:pPr>
    </w:p>
    <w:p>
      <w:pPr>
        <w:ind w:left="500" w:hanging="493"/>
        <w:spacing w:after="0"/>
        <w:tabs>
          <w:tab w:leader="none" w:pos="50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Compensation</w:t>
      </w:r>
    </w:p>
    <w:p>
      <w:pPr>
        <w:spacing w:after="0" w:line="10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Prior to August 2001, the Company maintained qualified and nonqualified stock option plans. As of April 30, 2011, the Company had 90,000 shares remaining of common stock for issuance under these plans. There are no options available for future grant under these plans as of April 30, 2011.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6" w:name="page77"/>
    <w:bookmarkEnd w:id="76"/>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In August 2001, the Company approved the 2001 Stock Plan, which provides for the grant of incentive stock options and nonqualified stock options. A total of 1,000,000 shares were authorized for issuance under the 2001 Stock Plan. As of April 30, 2011, the Company had issued or reserved 430,675 shares for issuance under the 2001 Stock Plan. After the effectiveness of the 2006 Stock Incentive Plan, no further options or other awards have been or will be granted under the 2001 Stock Plan.</w:t>
      </w:r>
    </w:p>
    <w:p>
      <w:pPr>
        <w:spacing w:after="0" w:line="67" w:lineRule="exact"/>
        <w:rPr>
          <w:sz w:val="20"/>
          <w:szCs w:val="20"/>
          <w:color w:val="auto"/>
        </w:rPr>
      </w:pPr>
    </w:p>
    <w:p>
      <w:pPr>
        <w:ind w:left="680" w:right="820" w:firstLine="399"/>
        <w:spacing w:after="0" w:line="277" w:lineRule="auto"/>
        <w:rPr>
          <w:sz w:val="20"/>
          <w:szCs w:val="20"/>
          <w:color w:val="auto"/>
        </w:rPr>
      </w:pPr>
      <w:r>
        <w:rPr>
          <w:rFonts w:ascii="Arial" w:cs="Arial" w:eastAsia="Arial" w:hAnsi="Arial"/>
          <w:sz w:val="12"/>
          <w:szCs w:val="12"/>
          <w:color w:val="auto"/>
        </w:rPr>
        <w:t>On April 24, 2007, the Company’s 2006 Stock Incentive Plan became effective. A total of 803,215 shares were authorized for issuance under the 2006 Stock Incentive Plan. On October 2, 2009, an amendment to the 2006 Stock Incentive Plan was approved, increasing the aggregate number of shares authorized for issuance by 850,000 shares to 1,653,215. As of April 30, 2011, the Company had issued share-based awards for 1,042,089 shares of common stock and had reserved an additional 611,126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Members of the board of directors who are not full-time employees receive, as part of their annual compensation, a choice of either (a) shares of common stock worth $20,000, which vest proportionately over three years, starting on the first anniversary of the grant, or (b) an equivalent amount of options based on the Black-Scholes formula, to purchase shares of common stock that is fully vested at the time of grant.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all of the Company’s employees, except to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143" w:lineRule="exact"/>
        <w:rPr>
          <w:sz w:val="20"/>
          <w:szCs w:val="20"/>
          <w:color w:val="auto"/>
        </w:rPr>
      </w:pPr>
    </w:p>
    <w:p>
      <w:pPr>
        <w:ind w:left="1080" w:hanging="393"/>
        <w:spacing w:after="0"/>
        <w:tabs>
          <w:tab w:leader="none" w:pos="1080" w:val="left"/>
        </w:tabs>
        <w:numPr>
          <w:ilvl w:val="0"/>
          <w:numId w:val="5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 Options</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A summary of stock options under the plans described above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7"/>
              </w:rPr>
              <w:t>Weighted</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Shares Under</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Remaining</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Exercise Price</w:t>
            </w: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Term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(In Years)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Outstanding May 1, 2008</w:t>
            </w:r>
          </w:p>
        </w:tc>
        <w:tc>
          <w:tcPr>
            <w:tcW w:w="45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1,445,302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3"/>
                <w:szCs w:val="13"/>
                <w:color w:val="auto"/>
              </w:rPr>
              <w:t>Forfeited</w:t>
            </w:r>
          </w:p>
        </w:tc>
        <w:tc>
          <w:tcPr>
            <w:tcW w:w="4540" w:type="dxa"/>
            <w:vAlign w:val="bottom"/>
            <w:gridSpan w:val="3"/>
          </w:tcPr>
          <w:p>
            <w:pPr>
              <w:jc w:val="right"/>
              <w:ind w:right="340"/>
              <w:spacing w:after="0"/>
              <w:rPr>
                <w:sz w:val="20"/>
                <w:szCs w:val="20"/>
                <w:color w:val="auto"/>
              </w:rPr>
            </w:pPr>
            <w:r>
              <w:rPr>
                <w:rFonts w:ascii="Arial" w:cs="Arial" w:eastAsia="Arial" w:hAnsi="Arial"/>
                <w:sz w:val="13"/>
                <w:szCs w:val="13"/>
                <w:color w:val="auto"/>
              </w:rPr>
              <w:t>(130,510)</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15.40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3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317,471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8.88</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60" w:type="dxa"/>
            <w:vAlign w:val="bottom"/>
            <w:vMerge w:val="restart"/>
          </w:tcPr>
          <w:p>
            <w:pPr>
              <w:spacing w:after="0"/>
              <w:rPr>
                <w:sz w:val="20"/>
                <w:szCs w:val="20"/>
                <w:color w:val="auto"/>
              </w:rPr>
            </w:pPr>
            <w:r>
              <w:rPr>
                <w:rFonts w:ascii="Arial" w:cs="Arial" w:eastAsia="Arial" w:hAnsi="Arial"/>
                <w:sz w:val="13"/>
                <w:szCs w:val="13"/>
                <w:color w:val="auto"/>
              </w:rPr>
              <w:t>Outstanding April 30, 2009</w:t>
            </w:r>
          </w:p>
        </w:tc>
        <w:tc>
          <w:tcPr>
            <w:tcW w:w="3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13.43</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1,632,263</w:t>
            </w: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3"/>
                <w:szCs w:val="13"/>
                <w:color w:val="auto"/>
              </w:rPr>
              <w:t>Forfeited</w:t>
            </w:r>
          </w:p>
        </w:tc>
        <w:tc>
          <w:tcPr>
            <w:tcW w:w="4540" w:type="dxa"/>
            <w:vAlign w:val="bottom"/>
            <w:gridSpan w:val="3"/>
          </w:tcPr>
          <w:p>
            <w:pPr>
              <w:jc w:val="right"/>
              <w:ind w:right="340"/>
              <w:spacing w:after="0"/>
              <w:rPr>
                <w:sz w:val="20"/>
                <w:szCs w:val="20"/>
                <w:color w:val="auto"/>
              </w:rPr>
            </w:pPr>
            <w:r>
              <w:rPr>
                <w:rFonts w:ascii="Arial" w:cs="Arial" w:eastAsia="Arial" w:hAnsi="Arial"/>
                <w:sz w:val="13"/>
                <w:szCs w:val="13"/>
                <w:color w:val="auto"/>
              </w:rPr>
              <w:t>(588,018)</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13.21</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3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331,208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6.10</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60" w:type="dxa"/>
            <w:vAlign w:val="bottom"/>
            <w:vMerge w:val="restart"/>
          </w:tcPr>
          <w:p>
            <w:pPr>
              <w:spacing w:after="0"/>
              <w:rPr>
                <w:sz w:val="20"/>
                <w:szCs w:val="20"/>
                <w:color w:val="auto"/>
              </w:rPr>
            </w:pPr>
            <w:r>
              <w:rPr>
                <w:rFonts w:ascii="Arial" w:cs="Arial" w:eastAsia="Arial" w:hAnsi="Arial"/>
                <w:sz w:val="13"/>
                <w:szCs w:val="13"/>
                <w:color w:val="auto"/>
              </w:rPr>
              <w:t>Outstanding April 30, 2010</w:t>
            </w:r>
          </w:p>
        </w:tc>
        <w:tc>
          <w:tcPr>
            <w:tcW w:w="3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11.87</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1,375,453</w:t>
            </w: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3"/>
                <w:szCs w:val="13"/>
                <w:color w:val="auto"/>
              </w:rPr>
              <w:t>Forfeited</w:t>
            </w:r>
          </w:p>
        </w:tc>
        <w:tc>
          <w:tcPr>
            <w:tcW w:w="4540" w:type="dxa"/>
            <w:vAlign w:val="bottom"/>
            <w:gridSpan w:val="3"/>
          </w:tcPr>
          <w:p>
            <w:pPr>
              <w:jc w:val="right"/>
              <w:ind w:right="340"/>
              <w:spacing w:after="0"/>
              <w:rPr>
                <w:sz w:val="20"/>
                <w:szCs w:val="20"/>
                <w:color w:val="auto"/>
              </w:rPr>
            </w:pPr>
            <w:r>
              <w:rPr>
                <w:rFonts w:ascii="Arial" w:cs="Arial" w:eastAsia="Arial" w:hAnsi="Arial"/>
                <w:sz w:val="13"/>
                <w:szCs w:val="13"/>
                <w:color w:val="auto"/>
              </w:rPr>
              <w:t>(305,223)</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12.79</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3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283,705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5.36</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60" w:type="dxa"/>
            <w:vAlign w:val="bottom"/>
            <w:vMerge w:val="restart"/>
          </w:tcPr>
          <w:p>
            <w:pPr>
              <w:spacing w:after="0"/>
              <w:rPr>
                <w:sz w:val="20"/>
                <w:szCs w:val="20"/>
                <w:color w:val="auto"/>
              </w:rPr>
            </w:pPr>
            <w:r>
              <w:rPr>
                <w:rFonts w:ascii="Arial" w:cs="Arial" w:eastAsia="Arial" w:hAnsi="Arial"/>
                <w:sz w:val="13"/>
                <w:szCs w:val="13"/>
                <w:color w:val="auto"/>
              </w:rPr>
              <w:t>Outstanding April 30, 2011</w:t>
            </w:r>
          </w:p>
        </w:tc>
        <w:tc>
          <w:tcPr>
            <w:tcW w:w="3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10.30</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1,353,935</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Arial" w:cs="Arial" w:eastAsia="Arial" w:hAnsi="Arial"/>
                <w:sz w:val="13"/>
                <w:szCs w:val="13"/>
                <w:color w:val="auto"/>
              </w:rPr>
              <w:t>Exercisable April 30, 2011</w:t>
            </w:r>
          </w:p>
        </w:tc>
        <w:tc>
          <w:tcPr>
            <w:tcW w:w="314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795,163</w:t>
            </w: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12.68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40" w:type="dxa"/>
            <w:vAlign w:val="bottom"/>
          </w:tcPr>
          <w:p>
            <w:pPr>
              <w:ind w:left="1720"/>
              <w:spacing w:after="0"/>
              <w:rPr>
                <w:sz w:val="20"/>
                <w:szCs w:val="20"/>
                <w:color w:val="auto"/>
              </w:rPr>
            </w:pPr>
            <w:r>
              <w:rPr>
                <w:rFonts w:ascii="Arial" w:cs="Arial" w:eastAsia="Arial" w:hAnsi="Arial"/>
                <w:sz w:val="13"/>
                <w:szCs w:val="13"/>
                <w:color w:val="auto"/>
              </w:rPr>
              <w:t>F-17</w:t>
            </w: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The total intrinsic value of outstanding and exercisable options as of April 30, 2011 was $453. As of April 30, 2011, approximately 559,000 additional options were expected to vest, which had $792 of intrinsic value and a weighted average remaining contractual term of 8.4 years. There was $940,309, $913,233 and $1,416,899 of total recognized compensation cost related to employees for stock options during the years ended April 30, 2011, 2010 and 2009, respectively. As of April 30, 2011, there was approximately $1,842,000 of total unrecognized compensation cost related to non-vested stock options granted under the plans. This cost is expected to be recognized over a weighted-average period of 3.2 years. The Company normally issues new shares to satisfy option exercises under these plans.</w:t>
      </w:r>
    </w:p>
    <w:p>
      <w:pPr>
        <w:spacing w:after="0" w:line="7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Certain options were granted to consultants during the years ended April 30, 2011, 2010 and 2009. The Company has charged compensation expense of $23,691, $5,002 and $36,451 related to these option grants, which has been included in selling, general and administrative costs in the accompanying consolidated statements of operations for the years ended April 30, 2011, 2010 and 2009, respectively.</w:t>
      </w:r>
    </w:p>
    <w:p>
      <w:pPr>
        <w:spacing w:after="0" w:line="146" w:lineRule="exact"/>
        <w:rPr>
          <w:sz w:val="20"/>
          <w:szCs w:val="20"/>
          <w:color w:val="auto"/>
        </w:rPr>
      </w:pPr>
    </w:p>
    <w:p>
      <w:pPr>
        <w:ind w:left="400" w:hanging="393"/>
        <w:spacing w:after="0"/>
        <w:tabs>
          <w:tab w:leader="none" w:pos="400" w:val="left"/>
        </w:tabs>
        <w:numPr>
          <w:ilvl w:val="0"/>
          <w:numId w:val="6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Restricted Stock</w:t>
      </w:r>
    </w:p>
    <w:p>
      <w:pPr>
        <w:spacing w:after="0" w:line="96"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Compensation expense for restricted stock is generally recorded based on its market value on the date of grant and recognized ratably over the associated service and performance period. There were 33,620, 157,217 and 44,992 shares of restricted stock granted to employees and non-employee board members with service and/or performance-based vesting requirements during the years ended April 30, 2011, 2010 and 2009, respectively.</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non-vested restricted stock under the plans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Number</w:t>
            </w:r>
          </w:p>
        </w:tc>
        <w:tc>
          <w:tcPr>
            <w:tcW w:w="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Price per</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of Shares</w:t>
            </w: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Issued and unvested at May 1, 2008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44,992</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Vested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(624)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Issued and unvested at April 30, 2009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44,368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157,217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(22,000)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(22,461)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Issued and unvested at April 30, 2010</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6.35</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157,124</w:t>
            </w: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33,620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5.32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Vested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(34,791)</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Issued and unvested at April 30, 2011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150,953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There was $476,789, $159,700 and $58,316 of total recognized compensation cost relating to restricted stock granted to employees during the years ended April 30, 2011, 2010 and 2009, respectively. Certain shares of restricted stock were granted to non-employee directors during the years ended April 30, 2011, 2010 and 2009, respectively. The Company recorded compensation expenses of $7,497, $40,000 and $39,987 in 2011, 2010 and 2009, respectively. In 2009, the shares were not issued as of April 30, 2009, and accordingly the liability was included in accrued expense. As of April 30, 2011, there was approximately $508,000 of total unrecognized compensation cost related to non-vested restricted stock granted under the plans. This cost is expected to be recognized over a weighted average period of 1.9 years.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hanging="393"/>
        <w:spacing w:after="0"/>
        <w:tabs>
          <w:tab w:leader="none" w:pos="1080" w:val="left"/>
        </w:tabs>
        <w:numPr>
          <w:ilvl w:val="0"/>
          <w:numId w:val="6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Treasury Stock</w:t>
      </w:r>
    </w:p>
    <w:p>
      <w:pPr>
        <w:spacing w:after="0" w:line="96"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During the years ended April 30, 2011 and 2010, 6,613 and 1,072 shares of common stock, respectively, were purchased by the Company from employees to pay taxes related to the vesting of restricted stock.</w:t>
      </w:r>
    </w:p>
    <w:p>
      <w:pPr>
        <w:spacing w:after="0" w:line="134" w:lineRule="exact"/>
        <w:rPr>
          <w:sz w:val="20"/>
          <w:szCs w:val="20"/>
          <w:color w:val="auto"/>
        </w:rPr>
      </w:pPr>
    </w:p>
    <w:p>
      <w:pPr>
        <w:ind w:left="1180" w:hanging="493"/>
        <w:spacing w:after="0"/>
        <w:tabs>
          <w:tab w:leader="none" w:pos="118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 Reconciliation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effective income tax rate differed from the percentages computed by applying the US federal income tax rate of 34% to loss before income taxes as a result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7"/>
          </w:tcPr>
          <w:p>
            <w:pPr>
              <w:jc w:val="center"/>
              <w:ind w:right="440"/>
              <w:spacing w:after="0"/>
              <w:rPr>
                <w:sz w:val="20"/>
                <w:szCs w:val="20"/>
                <w:color w:val="auto"/>
              </w:rPr>
            </w:pPr>
            <w:r>
              <w:rPr>
                <w:rFonts w:ascii="Arial" w:cs="Arial" w:eastAsia="Arial" w:hAnsi="Arial"/>
                <w:sz w:val="10"/>
                <w:szCs w:val="10"/>
                <w:b w:val="1"/>
                <w:bCs w:val="1"/>
                <w:color w:val="auto"/>
                <w:w w:val="95"/>
              </w:rPr>
              <w:t>Years Ended April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2011</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71"/>
              </w:rPr>
              <w:t>2010</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Computed “expected” tax benefit</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(34)%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Increase (reduction) in income taxes resulting from:</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State income taxes, net of federal benefit</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(5)</w:t>
            </w:r>
          </w:p>
        </w:tc>
        <w:tc>
          <w:tcPr>
            <w:tcW w:w="40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Federal research and development tax credits</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(2)</w:t>
            </w:r>
          </w:p>
        </w:tc>
        <w:tc>
          <w:tcPr>
            <w:tcW w:w="40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Foreign rate differential</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 non-deductible expenses</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1</w:t>
            </w:r>
          </w:p>
        </w:tc>
        <w:tc>
          <w:tcPr>
            <w:tcW w:w="40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Other</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Increase in valuation allowance</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3"/>
                <w:szCs w:val="13"/>
                <w:color w:val="auto"/>
              </w:rPr>
              <w:t>Income tax benefit</w:t>
            </w: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3"/>
                <w:szCs w:val="13"/>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41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Significant Components of Deferred Taxes</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8900" w:type="dxa"/>
            <w:vAlign w:val="bottom"/>
            <w:gridSpan w:val="7"/>
          </w:tcPr>
          <w:p>
            <w:pPr>
              <w:ind w:left="400"/>
              <w:spacing w:after="0"/>
              <w:rPr>
                <w:sz w:val="20"/>
                <w:szCs w:val="20"/>
                <w:color w:val="auto"/>
              </w:rPr>
            </w:pPr>
            <w:r>
              <w:rPr>
                <w:rFonts w:ascii="Arial" w:cs="Arial" w:eastAsia="Arial" w:hAnsi="Arial"/>
                <w:sz w:val="13"/>
                <w:szCs w:val="13"/>
                <w:color w:val="auto"/>
                <w:w w:val="93"/>
              </w:rPr>
              <w:t>The tax effects of temporary differences and carryforwards that give rise to the Company’s deferred tax assets and deferred tax liabilities are presented below.</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April 30,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Federal net operating loss carryforwards</w:t>
            </w:r>
          </w:p>
        </w:tc>
        <w:tc>
          <w:tcPr>
            <w:tcW w:w="3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4"/>
          </w:tcPr>
          <w:p>
            <w:pPr>
              <w:jc w:val="right"/>
              <w:ind w:right="400"/>
              <w:spacing w:after="0"/>
              <w:rPr>
                <w:sz w:val="20"/>
                <w:szCs w:val="20"/>
                <w:color w:val="auto"/>
              </w:rPr>
            </w:pPr>
            <w:r>
              <w:rPr>
                <w:rFonts w:ascii="Arial" w:cs="Arial" w:eastAsia="Arial" w:hAnsi="Arial"/>
                <w:sz w:val="13"/>
                <w:szCs w:val="13"/>
                <w:color w:val="auto"/>
              </w:rPr>
              <w:t>23,978,000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w w:val="89"/>
              </w:rPr>
              <w:t>20,818,000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Foreign net operating loss carryforwards</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4,905,000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3,777,000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New Jersey state net operating loss carryforwards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3"/>
                <w:szCs w:val="13"/>
                <w:color w:val="auto"/>
              </w:rPr>
              <w:t>3,587,000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3,035,000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Federal research and development tax credits</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1,914,000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1,562,000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Foreign research and development tax credits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3"/>
                <w:szCs w:val="13"/>
                <w:color w:val="auto"/>
              </w:rPr>
              <w:t>731,000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670,000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Stock based compensation</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2,548,000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2,307,000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Capitalized research and development costs, net of amortization</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3"/>
                <w:szCs w:val="13"/>
                <w:color w:val="auto"/>
              </w:rPr>
              <w:t>766,000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Unrealized foreign exchange loss</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333,000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Accrued expenses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3"/>
                <w:szCs w:val="13"/>
                <w:color w:val="auto"/>
              </w:rPr>
              <w:t>737,000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428,000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407,000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271,000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3"/>
                <w:szCs w:val="13"/>
                <w:color w:val="auto"/>
              </w:rPr>
              <w:t>Gross deferred tax assets</w:t>
            </w:r>
          </w:p>
        </w:tc>
        <w:tc>
          <w:tcPr>
            <w:tcW w:w="3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3"/>
                <w:szCs w:val="13"/>
                <w:color w:val="auto"/>
              </w:rPr>
              <w:t>39,906,000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w w:val="89"/>
              </w:rPr>
              <w:t>33,099,000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Less: Valuation allowance</w:t>
            </w:r>
          </w:p>
        </w:tc>
        <w:tc>
          <w:tcPr>
            <w:tcW w:w="3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(39,906,000)</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(33,099,000)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3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120" w:type="dxa"/>
            <w:vAlign w:val="bottom"/>
            <w:vMerge w:val="continue"/>
          </w:tcPr>
          <w:p>
            <w:pPr>
              <w:spacing w:after="0"/>
              <w:rPr>
                <w:sz w:val="15"/>
                <w:szCs w:val="15"/>
                <w:color w:val="auto"/>
              </w:rPr>
            </w:pPr>
          </w:p>
        </w:tc>
        <w:tc>
          <w:tcPr>
            <w:tcW w:w="3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80" w:type="dxa"/>
            <w:vAlign w:val="bottom"/>
          </w:tcPr>
          <w:p>
            <w:pPr>
              <w:ind w:left="760"/>
              <w:spacing w:after="0"/>
              <w:rPr>
                <w:sz w:val="20"/>
                <w:szCs w:val="20"/>
                <w:color w:val="auto"/>
              </w:rPr>
            </w:pPr>
            <w:r>
              <w:rPr>
                <w:rFonts w:ascii="Arial" w:cs="Arial" w:eastAsia="Arial" w:hAnsi="Arial"/>
                <w:sz w:val="13"/>
                <w:szCs w:val="13"/>
                <w:color w:val="auto"/>
              </w:rPr>
              <w:t>F-19</w:t>
            </w: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As of April 30, 2011 and 2010, based upon the level of historical taxable losses, valuation allowances of $39,906,000 and $33,099,000, respectively, were recorded to fully offset deferred tax assets. The valuation allowance increased $6,807,000, $7,550,000 and $6,097,000 during the years ended April 30, 2011, 2010 and 2009, respectively.</w:t>
      </w:r>
    </w:p>
    <w:p>
      <w:pPr>
        <w:spacing w:after="0" w:line="39"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As of April 30, 2011, the Company had net operating loss carryforwards for federal income tax purposes of approximately $70,500,000, which begin to expire in 2012. The Company also had federal research and experimental tax credit carryforwards of approximately $1,914,000 as of April 30, 2011, which begin to expire in 2012.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The Company has not performed additional analysis on ownership changes that may have occurred subsequently to further limit the ability to utilize net tax attributes. As of April 30, 2011, the Company had state net operating loss carryforwards of approximately $58,100,000, which begin to expire in 2026, which also may be limited to utilization limitations. As of April 30, 2011, the Company had foreign net operating loss carryforwards of approximately $17,500,000, which begin to expire in 2024. The ability to utilize these carryforwards may also be limited in the event of a historic ownership change.</w:t>
      </w:r>
    </w:p>
    <w:p>
      <w:pPr>
        <w:spacing w:after="0" w:line="73"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During the year ended April 30, 2011, the Company sold $4,446,000 of its New Jersey State net operating losses resulting in the recognition of an income tax benefit of $364,105 recorded in the Company’s Statement of Operations.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Company applies the guidance issued by the FASB for the accounting and reporting of uncertain tax positions. The guidance requires the Company to recognize in its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consolidated financial statements the impact of a tax position if that position is more likely than not to be sustained upon examination, based on the technical merits of the position. At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April 30, 2011, 2010 and 2009, the Company had no unrecognized tax positions. The Company does not expect any material increase or decrease in its income tax expense in the next twelve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months, related to examinations or uncertain tax positions. US federal and state income tax returns were audited through fiscal 2007. Net operating loss and credit carryforwards since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inception remain open to examination by taxing authorities, and will continue to remain open for a period of time after utilization.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does not have any interest or penalties accrued related to uncertain tax positions as it does not have any unrecognized tax benefits.</w:t>
      </w:r>
    </w:p>
    <w:p>
      <w:pPr>
        <w:spacing w:after="0" w:line="171" w:lineRule="exact"/>
        <w:rPr>
          <w:sz w:val="20"/>
          <w:szCs w:val="20"/>
          <w:color w:val="auto"/>
        </w:rPr>
      </w:pPr>
    </w:p>
    <w:p>
      <w:pPr>
        <w:ind w:left="500" w:hanging="493"/>
        <w:spacing w:after="0"/>
        <w:tabs>
          <w:tab w:leader="none" w:pos="50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400" w:hanging="393"/>
        <w:spacing w:after="0"/>
        <w:tabs>
          <w:tab w:leader="none" w:pos="400" w:val="left"/>
        </w:tabs>
        <w:numPr>
          <w:ilvl w:val="0"/>
          <w:numId w:val="6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Operating Lease Commitments</w:t>
      </w:r>
    </w:p>
    <w:p>
      <w:pPr>
        <w:spacing w:after="0" w:line="96"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Company leases office, laboratory, manufacturing and other space in Pennington, New Jersey, Warwick, United Kingdom and Santander, Spain under operating leases that expire on various dates through April 30, 2013. Rent expense under operating leases was approximately $525,000, $579,000 and $606,000 for the years ended</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80" w:name="page81"/>
    <w:bookmarkEnd w:id="80"/>
    <w:tbl>
      <w:tblPr>
        <w:tblLayout w:type="fixed"/>
        <w:tblInd w:w="680" w:type="dxa"/>
        <w:tblCellMar>
          <w:top w:w="0" w:type="dxa"/>
          <w:left w:w="0" w:type="dxa"/>
          <w:bottom w:w="0" w:type="dxa"/>
          <w:right w:w="0" w:type="dxa"/>
        </w:tblCellMar>
      </w:tblPr>
      <w:tr>
        <w:trPr>
          <w:trHeight w:val="169"/>
        </w:trPr>
        <w:tc>
          <w:tcPr>
            <w:tcW w:w="9200" w:type="dxa"/>
            <w:vAlign w:val="bottom"/>
          </w:tcPr>
          <w:p>
            <w:pPr>
              <w:ind w:left="3140"/>
              <w:spacing w:after="0"/>
              <w:rPr>
                <w:sz w:val="20"/>
                <w:szCs w:val="20"/>
                <w:color w:val="auto"/>
              </w:rPr>
            </w:pPr>
            <w:r>
              <w:rPr>
                <w:rFonts w:ascii="Arial" w:cs="Arial" w:eastAsia="Arial" w:hAnsi="Arial"/>
                <w:sz w:val="13"/>
                <w:szCs w:val="13"/>
                <w:b w:val="1"/>
                <w:bCs w:val="1"/>
                <w:color w:val="auto"/>
              </w:rPr>
              <w:t>OCEAN POWER TECHNOLOGIES, INC. AND SUBSIDIARIES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9200" w:type="dxa"/>
            <w:vAlign w:val="bottom"/>
          </w:tcPr>
          <w:p>
            <w:pPr>
              <w:ind w:left="33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9200" w:type="dxa"/>
            <w:vAlign w:val="bottom"/>
          </w:tcPr>
          <w:p>
            <w:pPr>
              <w:spacing w:after="0"/>
              <w:rPr>
                <w:sz w:val="20"/>
                <w:szCs w:val="20"/>
                <w:color w:val="auto"/>
              </w:rPr>
            </w:pPr>
            <w:r>
              <w:rPr>
                <w:rFonts w:ascii="Arial" w:cs="Arial" w:eastAsia="Arial" w:hAnsi="Arial"/>
                <w:sz w:val="13"/>
                <w:szCs w:val="13"/>
                <w:color w:val="auto"/>
              </w:rPr>
              <w:t>April 30, 2011, 2010 and 2009, respectively. Future minimum lease payments under operating leases as of April 30, 2011 are as follows: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Year ending April 30:</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2012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326,000</w:t>
            </w:r>
          </w:p>
        </w:tc>
        <w:tc>
          <w:tcPr>
            <w:tcW w:w="100" w:type="dxa"/>
            <w:vAlign w:val="bottom"/>
          </w:tcPr>
          <w:p>
            <w:pPr>
              <w:spacing w:after="0"/>
              <w:rPr>
                <w:sz w:val="13"/>
                <w:szCs w:val="13"/>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248,000</w:t>
            </w:r>
          </w:p>
        </w:tc>
        <w:tc>
          <w:tcPr>
            <w:tcW w:w="100" w:type="dxa"/>
            <w:vAlign w:val="bottom"/>
            <w:shd w:val="clear" w:color="auto" w:fill="CCEEFF"/>
          </w:tcPr>
          <w:p>
            <w:pPr>
              <w:spacing w:after="0"/>
              <w:rPr>
                <w:sz w:val="13"/>
                <w:szCs w:val="13"/>
                <w:color w:val="auto"/>
              </w:rPr>
            </w:pPr>
          </w:p>
        </w:tc>
      </w:tr>
      <w:tr>
        <w:trPr>
          <w:trHeight w:val="166"/>
        </w:trPr>
        <w:tc>
          <w:tcPr>
            <w:tcW w:w="9200" w:type="dxa"/>
            <w:vAlign w:val="bottom"/>
          </w:tcPr>
          <w:p>
            <w:pPr>
              <w:spacing w:after="0"/>
              <w:rPr>
                <w:sz w:val="14"/>
                <w:szCs w:val="14"/>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574,000</w:t>
            </w:r>
          </w:p>
        </w:tc>
        <w:tc>
          <w:tcPr>
            <w:tcW w:w="100" w:type="dxa"/>
            <w:vAlign w:val="bottom"/>
          </w:tcPr>
          <w:p>
            <w:pPr>
              <w:spacing w:after="0"/>
              <w:rPr>
                <w:sz w:val="14"/>
                <w:szCs w:val="14"/>
                <w:color w:val="auto"/>
              </w:rPr>
            </w:pPr>
          </w:p>
        </w:tc>
      </w:tr>
    </w:tbl>
    <w:p>
      <w:pPr>
        <w:spacing w:after="0" w:line="325" w:lineRule="exact"/>
        <w:rPr>
          <w:sz w:val="20"/>
          <w:szCs w:val="20"/>
          <w:color w:val="auto"/>
        </w:rPr>
      </w:pPr>
    </w:p>
    <w:p>
      <w:pPr>
        <w:ind w:left="1080" w:hanging="393"/>
        <w:spacing w:after="0"/>
        <w:tabs>
          <w:tab w:leader="none" w:pos="1080" w:val="left"/>
        </w:tabs>
        <w:numPr>
          <w:ilvl w:val="0"/>
          <w:numId w:val="6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38" w:lineRule="exact"/>
        <w:rPr>
          <w:sz w:val="20"/>
          <w:szCs w:val="20"/>
          <w:color w:val="auto"/>
        </w:rPr>
      </w:pPr>
    </w:p>
    <w:p>
      <w:pPr>
        <w:ind w:left="1080" w:hanging="393"/>
        <w:spacing w:after="0"/>
        <w:tabs>
          <w:tab w:leader="none" w:pos="1080" w:val="left"/>
        </w:tabs>
        <w:numPr>
          <w:ilvl w:val="0"/>
          <w:numId w:val="6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Spain Construction Agreement</w:t>
      </w:r>
    </w:p>
    <w:p>
      <w:pPr>
        <w:spacing w:after="0" w:line="96"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The Company is currently engaged in discussions with Iberdrola Cantabria (see Note 2(a)) regarding modifications to its agreement for the first phase of the construction of a wave power station off the coast of Spain. This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April 30, 2011, the Company does not believe that the outcome of this matter will have a material adverse effect on the Company’s financial position or results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rPr>
              <w:t>(14)</w:t>
            </w:r>
          </w:p>
        </w:tc>
        <w:tc>
          <w:tcPr>
            <w:tcW w:w="3900" w:type="dxa"/>
            <w:vAlign w:val="bottom"/>
          </w:tcPr>
          <w:p>
            <w:pPr>
              <w:ind w:left="140"/>
              <w:spacing w:after="0"/>
              <w:rPr>
                <w:sz w:val="20"/>
                <w:szCs w:val="20"/>
                <w:color w:val="auto"/>
              </w:rPr>
            </w:pPr>
            <w:r>
              <w:rPr>
                <w:rFonts w:ascii="Arial" w:cs="Arial" w:eastAsia="Arial" w:hAnsi="Arial"/>
                <w:sz w:val="13"/>
                <w:szCs w:val="13"/>
                <w:b w:val="1"/>
                <w:bCs w:val="1"/>
                <w:color w:val="auto"/>
              </w:rPr>
              <w:t>Quarterly Financial Data (Unaudited)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Year 2011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w w:val="97"/>
              </w:rPr>
              <w:t>Three Months Ended</w:t>
            </w: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jc w:val="right"/>
              <w:ind w:right="477"/>
              <w:spacing w:after="0" w:line="108" w:lineRule="exact"/>
              <w:rPr>
                <w:sz w:val="20"/>
                <w:szCs w:val="20"/>
                <w:color w:val="auto"/>
              </w:rPr>
            </w:pPr>
            <w:r>
              <w:rPr>
                <w:rFonts w:ascii="Arial" w:cs="Arial" w:eastAsia="Arial" w:hAnsi="Arial"/>
                <w:sz w:val="10"/>
                <w:szCs w:val="10"/>
                <w:b w:val="1"/>
                <w:bCs w:val="1"/>
                <w:color w:val="auto"/>
              </w:rPr>
              <w:t>Jul 31</w:t>
            </w:r>
          </w:p>
        </w:tc>
        <w:tc>
          <w:tcPr>
            <w:tcW w:w="260" w:type="dxa"/>
            <w:vAlign w:val="bottom"/>
          </w:tcPr>
          <w:p>
            <w:pPr>
              <w:spacing w:after="0"/>
              <w:rPr>
                <w:sz w:val="9"/>
                <w:szCs w:val="9"/>
                <w:color w:val="auto"/>
              </w:rPr>
            </w:pPr>
          </w:p>
        </w:tc>
        <w:tc>
          <w:tcPr>
            <w:tcW w:w="1740" w:type="dxa"/>
            <w:vAlign w:val="bottom"/>
            <w:gridSpan w:val="3"/>
          </w:tcPr>
          <w:p>
            <w:pPr>
              <w:ind w:left="440"/>
              <w:spacing w:after="0" w:line="108" w:lineRule="exact"/>
              <w:rPr>
                <w:sz w:val="20"/>
                <w:szCs w:val="20"/>
                <w:color w:val="auto"/>
              </w:rPr>
            </w:pPr>
            <w:r>
              <w:rPr>
                <w:rFonts w:ascii="Arial" w:cs="Arial" w:eastAsia="Arial" w:hAnsi="Arial"/>
                <w:sz w:val="10"/>
                <w:szCs w:val="10"/>
                <w:b w:val="1"/>
                <w:bCs w:val="1"/>
                <w:color w:val="auto"/>
              </w:rPr>
              <w:t>Oct 31</w:t>
            </w:r>
          </w:p>
        </w:tc>
        <w:tc>
          <w:tcPr>
            <w:tcW w:w="900" w:type="dxa"/>
            <w:vAlign w:val="bottom"/>
          </w:tcPr>
          <w:p>
            <w:pPr>
              <w:jc w:val="right"/>
              <w:ind w:right="377"/>
              <w:spacing w:after="0" w:line="108" w:lineRule="exact"/>
              <w:rPr>
                <w:sz w:val="20"/>
                <w:szCs w:val="20"/>
                <w:color w:val="auto"/>
              </w:rPr>
            </w:pPr>
            <w:r>
              <w:rPr>
                <w:rFonts w:ascii="Arial" w:cs="Arial" w:eastAsia="Arial" w:hAnsi="Arial"/>
                <w:sz w:val="10"/>
                <w:szCs w:val="10"/>
                <w:b w:val="1"/>
                <w:bCs w:val="1"/>
                <w:color w:val="auto"/>
              </w:rPr>
              <w:t>Jan 31</w:t>
            </w:r>
          </w:p>
        </w:tc>
        <w:tc>
          <w:tcPr>
            <w:tcW w:w="260" w:type="dxa"/>
            <w:vAlign w:val="bottom"/>
          </w:tcPr>
          <w:p>
            <w:pPr>
              <w:spacing w:after="0"/>
              <w:rPr>
                <w:sz w:val="9"/>
                <w:szCs w:val="9"/>
                <w:color w:val="auto"/>
              </w:rPr>
            </w:pPr>
          </w:p>
        </w:tc>
        <w:tc>
          <w:tcPr>
            <w:tcW w:w="1200" w:type="dxa"/>
            <w:vAlign w:val="bottom"/>
          </w:tcPr>
          <w:p>
            <w:pPr>
              <w:jc w:val="right"/>
              <w:ind w:right="388"/>
              <w:spacing w:after="0" w:line="108" w:lineRule="exact"/>
              <w:rPr>
                <w:sz w:val="20"/>
                <w:szCs w:val="20"/>
                <w:color w:val="auto"/>
              </w:rPr>
            </w:pPr>
            <w:r>
              <w:rPr>
                <w:rFonts w:ascii="Arial" w:cs="Arial" w:eastAsia="Arial" w:hAnsi="Arial"/>
                <w:sz w:val="10"/>
                <w:szCs w:val="10"/>
                <w:b w:val="1"/>
                <w:bCs w:val="1"/>
                <w:color w:val="auto"/>
              </w:rPr>
              <w:t>Apr 30</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96"/>
              </w:rPr>
              <w:t>1,374,407</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1,864,407</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96"/>
              </w:rPr>
              <w:t>1,523,601</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1,928,667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Gross (loss) profit</w:t>
            </w:r>
          </w:p>
        </w:tc>
        <w:tc>
          <w:tcPr>
            <w:tcW w:w="400" w:type="dxa"/>
            <w:vAlign w:val="bottom"/>
          </w:tcPr>
          <w:p>
            <w:pPr>
              <w:spacing w:after="0"/>
              <w:rPr>
                <w:sz w:val="13"/>
                <w:szCs w:val="13"/>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(213,839)</w:t>
            </w:r>
          </w:p>
        </w:tc>
        <w:tc>
          <w:tcPr>
            <w:tcW w:w="1460" w:type="dxa"/>
            <w:vAlign w:val="bottom"/>
            <w:gridSpan w:val="2"/>
          </w:tcPr>
          <w:p>
            <w:pPr>
              <w:jc w:val="right"/>
              <w:ind w:right="268"/>
              <w:spacing w:after="0"/>
              <w:rPr>
                <w:sz w:val="20"/>
                <w:szCs w:val="20"/>
                <w:color w:val="auto"/>
              </w:rPr>
            </w:pPr>
            <w:r>
              <w:rPr>
                <w:rFonts w:ascii="Arial" w:cs="Arial" w:eastAsia="Arial" w:hAnsi="Arial"/>
                <w:sz w:val="13"/>
                <w:szCs w:val="13"/>
                <w:color w:val="auto"/>
              </w:rPr>
              <w:t>87,427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Arial" w:cs="Arial" w:eastAsia="Arial" w:hAnsi="Arial"/>
                <w:sz w:val="13"/>
                <w:szCs w:val="13"/>
                <w:color w:val="auto"/>
              </w:rPr>
              <w:t>70,204</w:t>
            </w:r>
          </w:p>
        </w:tc>
        <w:tc>
          <w:tcPr>
            <w:tcW w:w="1460" w:type="dxa"/>
            <w:vAlign w:val="bottom"/>
            <w:gridSpan w:val="2"/>
          </w:tcPr>
          <w:p>
            <w:pPr>
              <w:jc w:val="right"/>
              <w:ind w:right="268"/>
              <w:spacing w:after="0"/>
              <w:rPr>
                <w:sz w:val="20"/>
                <w:szCs w:val="20"/>
                <w:color w:val="auto"/>
              </w:rPr>
            </w:pPr>
            <w:r>
              <w:rPr>
                <w:rFonts w:ascii="Arial" w:cs="Arial" w:eastAsia="Arial" w:hAnsi="Arial"/>
                <w:sz w:val="13"/>
                <w:szCs w:val="13"/>
                <w:color w:val="auto"/>
              </w:rPr>
              <w:t>491,853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90"/>
              </w:rPr>
              <w:t>(6,268,535)</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(5,738,888)</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0"/>
              </w:rPr>
              <w:t>(3,841,082)</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(5,434,285)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400" w:type="dxa"/>
            <w:vAlign w:val="bottom"/>
          </w:tcPr>
          <w:p>
            <w:pPr>
              <w:spacing w:after="0"/>
              <w:rPr>
                <w:sz w:val="13"/>
                <w:szCs w:val="13"/>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color w:val="auto"/>
                <w:w w:val="90"/>
              </w:rPr>
              <w:t>(6,266,593)</w:t>
            </w:r>
          </w:p>
        </w:tc>
        <w:tc>
          <w:tcPr>
            <w:tcW w:w="1460" w:type="dxa"/>
            <w:vAlign w:val="bottom"/>
            <w:gridSpan w:val="2"/>
          </w:tcPr>
          <w:p>
            <w:pPr>
              <w:jc w:val="right"/>
              <w:ind w:right="228"/>
              <w:spacing w:after="0"/>
              <w:rPr>
                <w:sz w:val="20"/>
                <w:szCs w:val="20"/>
                <w:color w:val="auto"/>
              </w:rPr>
            </w:pPr>
            <w:r>
              <w:rPr>
                <w:rFonts w:ascii="Arial" w:cs="Arial" w:eastAsia="Arial" w:hAnsi="Arial"/>
                <w:sz w:val="13"/>
                <w:szCs w:val="13"/>
                <w:color w:val="auto"/>
              </w:rPr>
              <w:t>(5,499,192)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217"/>
              <w:spacing w:after="0"/>
              <w:rPr>
                <w:sz w:val="20"/>
                <w:szCs w:val="20"/>
                <w:color w:val="auto"/>
              </w:rPr>
            </w:pPr>
            <w:r>
              <w:rPr>
                <w:rFonts w:ascii="Arial" w:cs="Arial" w:eastAsia="Arial" w:hAnsi="Arial"/>
                <w:sz w:val="13"/>
                <w:szCs w:val="13"/>
                <w:color w:val="auto"/>
                <w:w w:val="90"/>
              </w:rPr>
              <w:t>(3,362,818)</w:t>
            </w:r>
          </w:p>
        </w:tc>
        <w:tc>
          <w:tcPr>
            <w:tcW w:w="1460" w:type="dxa"/>
            <w:vAlign w:val="bottom"/>
            <w:gridSpan w:val="2"/>
          </w:tcPr>
          <w:p>
            <w:pPr>
              <w:jc w:val="right"/>
              <w:ind w:right="228"/>
              <w:spacing w:after="0"/>
              <w:rPr>
                <w:sz w:val="20"/>
                <w:szCs w:val="20"/>
                <w:color w:val="auto"/>
              </w:rPr>
            </w:pPr>
            <w:r>
              <w:rPr>
                <w:rFonts w:ascii="Arial" w:cs="Arial" w:eastAsia="Arial" w:hAnsi="Arial"/>
                <w:sz w:val="13"/>
                <w:szCs w:val="13"/>
                <w:color w:val="auto"/>
              </w:rPr>
              <w:t>(5,307,271)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(0.61)</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(0.54)</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(0.33)</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680" w:type="dxa"/>
            <w:vAlign w:val="bottom"/>
          </w:tcPr>
          <w:p>
            <w:pPr>
              <w:spacing w:after="0"/>
              <w:rPr>
                <w:sz w:val="24"/>
                <w:szCs w:val="24"/>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Year 2010</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w w:val="97"/>
              </w:rPr>
              <w:t>Three Months Ended</w:t>
            </w: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jc w:val="right"/>
              <w:ind w:right="477"/>
              <w:spacing w:after="0" w:line="108" w:lineRule="exact"/>
              <w:rPr>
                <w:sz w:val="20"/>
                <w:szCs w:val="20"/>
                <w:color w:val="auto"/>
              </w:rPr>
            </w:pPr>
            <w:r>
              <w:rPr>
                <w:rFonts w:ascii="Arial" w:cs="Arial" w:eastAsia="Arial" w:hAnsi="Arial"/>
                <w:sz w:val="10"/>
                <w:szCs w:val="10"/>
                <w:b w:val="1"/>
                <w:bCs w:val="1"/>
                <w:color w:val="auto"/>
              </w:rPr>
              <w:t>Jul 31</w:t>
            </w:r>
          </w:p>
        </w:tc>
        <w:tc>
          <w:tcPr>
            <w:tcW w:w="260" w:type="dxa"/>
            <w:vAlign w:val="bottom"/>
          </w:tcPr>
          <w:p>
            <w:pPr>
              <w:spacing w:after="0"/>
              <w:rPr>
                <w:sz w:val="9"/>
                <w:szCs w:val="9"/>
                <w:color w:val="auto"/>
              </w:rPr>
            </w:pPr>
          </w:p>
        </w:tc>
        <w:tc>
          <w:tcPr>
            <w:tcW w:w="1740" w:type="dxa"/>
            <w:vAlign w:val="bottom"/>
            <w:gridSpan w:val="3"/>
          </w:tcPr>
          <w:p>
            <w:pPr>
              <w:ind w:left="440"/>
              <w:spacing w:after="0" w:line="108" w:lineRule="exact"/>
              <w:rPr>
                <w:sz w:val="20"/>
                <w:szCs w:val="20"/>
                <w:color w:val="auto"/>
              </w:rPr>
            </w:pPr>
            <w:r>
              <w:rPr>
                <w:rFonts w:ascii="Arial" w:cs="Arial" w:eastAsia="Arial" w:hAnsi="Arial"/>
                <w:sz w:val="10"/>
                <w:szCs w:val="10"/>
                <w:b w:val="1"/>
                <w:bCs w:val="1"/>
                <w:color w:val="auto"/>
              </w:rPr>
              <w:t>Oct 31</w:t>
            </w:r>
          </w:p>
        </w:tc>
        <w:tc>
          <w:tcPr>
            <w:tcW w:w="900" w:type="dxa"/>
            <w:vAlign w:val="bottom"/>
          </w:tcPr>
          <w:p>
            <w:pPr>
              <w:jc w:val="right"/>
              <w:ind w:right="377"/>
              <w:spacing w:after="0" w:line="108" w:lineRule="exact"/>
              <w:rPr>
                <w:sz w:val="20"/>
                <w:szCs w:val="20"/>
                <w:color w:val="auto"/>
              </w:rPr>
            </w:pPr>
            <w:r>
              <w:rPr>
                <w:rFonts w:ascii="Arial" w:cs="Arial" w:eastAsia="Arial" w:hAnsi="Arial"/>
                <w:sz w:val="10"/>
                <w:szCs w:val="10"/>
                <w:b w:val="1"/>
                <w:bCs w:val="1"/>
                <w:color w:val="auto"/>
              </w:rPr>
              <w:t>Jan 31</w:t>
            </w:r>
          </w:p>
        </w:tc>
        <w:tc>
          <w:tcPr>
            <w:tcW w:w="260" w:type="dxa"/>
            <w:vAlign w:val="bottom"/>
          </w:tcPr>
          <w:p>
            <w:pPr>
              <w:spacing w:after="0"/>
              <w:rPr>
                <w:sz w:val="9"/>
                <w:szCs w:val="9"/>
                <w:color w:val="auto"/>
              </w:rPr>
            </w:pPr>
          </w:p>
        </w:tc>
        <w:tc>
          <w:tcPr>
            <w:tcW w:w="1200" w:type="dxa"/>
            <w:vAlign w:val="bottom"/>
          </w:tcPr>
          <w:p>
            <w:pPr>
              <w:jc w:val="right"/>
              <w:ind w:right="388"/>
              <w:spacing w:after="0" w:line="108" w:lineRule="exact"/>
              <w:rPr>
                <w:sz w:val="20"/>
                <w:szCs w:val="20"/>
                <w:color w:val="auto"/>
              </w:rPr>
            </w:pPr>
            <w:r>
              <w:rPr>
                <w:rFonts w:ascii="Arial" w:cs="Arial" w:eastAsia="Arial" w:hAnsi="Arial"/>
                <w:sz w:val="10"/>
                <w:szCs w:val="10"/>
                <w:b w:val="1"/>
                <w:bCs w:val="1"/>
                <w:color w:val="auto"/>
              </w:rPr>
              <w:t>Apr 30</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96"/>
              </w:rPr>
              <w:t>1,310,937</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581,875</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856,482</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2,352,017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Gross profit</w:t>
            </w:r>
          </w:p>
        </w:tc>
        <w:tc>
          <w:tcPr>
            <w:tcW w:w="400" w:type="dxa"/>
            <w:vAlign w:val="bottom"/>
          </w:tcPr>
          <w:p>
            <w:pPr>
              <w:spacing w:after="0"/>
              <w:rPr>
                <w:sz w:val="13"/>
                <w:szCs w:val="13"/>
                <w:color w:val="auto"/>
              </w:rPr>
            </w:pPr>
          </w:p>
        </w:tc>
        <w:tc>
          <w:tcPr>
            <w:tcW w:w="960" w:type="dxa"/>
            <w:vAlign w:val="bottom"/>
          </w:tcPr>
          <w:p>
            <w:pPr>
              <w:jc w:val="right"/>
              <w:ind w:right="317"/>
              <w:spacing w:after="0"/>
              <w:rPr>
                <w:sz w:val="20"/>
                <w:szCs w:val="20"/>
                <w:color w:val="auto"/>
              </w:rPr>
            </w:pPr>
            <w:r>
              <w:rPr>
                <w:rFonts w:ascii="Arial" w:cs="Arial" w:eastAsia="Arial" w:hAnsi="Arial"/>
                <w:sz w:val="13"/>
                <w:szCs w:val="13"/>
                <w:color w:val="auto"/>
              </w:rPr>
              <w:t>286,710</w:t>
            </w:r>
          </w:p>
        </w:tc>
        <w:tc>
          <w:tcPr>
            <w:tcW w:w="1460" w:type="dxa"/>
            <w:vAlign w:val="bottom"/>
            <w:gridSpan w:val="2"/>
          </w:tcPr>
          <w:p>
            <w:pPr>
              <w:jc w:val="right"/>
              <w:ind w:right="268"/>
              <w:spacing w:after="0"/>
              <w:rPr>
                <w:sz w:val="20"/>
                <w:szCs w:val="20"/>
                <w:color w:val="auto"/>
              </w:rPr>
            </w:pPr>
            <w:r>
              <w:rPr>
                <w:rFonts w:ascii="Arial" w:cs="Arial" w:eastAsia="Arial" w:hAnsi="Arial"/>
                <w:sz w:val="13"/>
                <w:szCs w:val="13"/>
                <w:color w:val="auto"/>
              </w:rPr>
              <w:t>53,727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Arial" w:cs="Arial" w:eastAsia="Arial" w:hAnsi="Arial"/>
                <w:sz w:val="13"/>
                <w:szCs w:val="13"/>
                <w:color w:val="auto"/>
              </w:rPr>
              <w:t>165,392</w:t>
            </w:r>
          </w:p>
        </w:tc>
        <w:tc>
          <w:tcPr>
            <w:tcW w:w="1460" w:type="dxa"/>
            <w:vAlign w:val="bottom"/>
            <w:gridSpan w:val="2"/>
          </w:tcPr>
          <w:p>
            <w:pPr>
              <w:jc w:val="right"/>
              <w:ind w:right="268"/>
              <w:spacing w:after="0"/>
              <w:rPr>
                <w:sz w:val="20"/>
                <w:szCs w:val="20"/>
                <w:color w:val="auto"/>
              </w:rPr>
            </w:pPr>
            <w:r>
              <w:rPr>
                <w:rFonts w:ascii="Arial" w:cs="Arial" w:eastAsia="Arial" w:hAnsi="Arial"/>
                <w:sz w:val="13"/>
                <w:szCs w:val="13"/>
                <w:color w:val="auto"/>
              </w:rPr>
              <w:t>296,527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90"/>
              </w:rPr>
              <w:t>(3,240,961)</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(5,562,854)</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0"/>
              </w:rPr>
              <w:t>(6,073,657)</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(6,385,204)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Net loss attributable to Ocean Power Technologies, Inc.</w:t>
            </w:r>
          </w:p>
        </w:tc>
        <w:tc>
          <w:tcPr>
            <w:tcW w:w="400" w:type="dxa"/>
            <w:vAlign w:val="bottom"/>
          </w:tcPr>
          <w:p>
            <w:pPr>
              <w:spacing w:after="0"/>
              <w:rPr>
                <w:sz w:val="13"/>
                <w:szCs w:val="13"/>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color w:val="auto"/>
                <w:w w:val="90"/>
              </w:rPr>
              <w:t>(2,098,477)</w:t>
            </w:r>
          </w:p>
        </w:tc>
        <w:tc>
          <w:tcPr>
            <w:tcW w:w="1460" w:type="dxa"/>
            <w:vAlign w:val="bottom"/>
            <w:gridSpan w:val="2"/>
          </w:tcPr>
          <w:p>
            <w:pPr>
              <w:jc w:val="right"/>
              <w:ind w:right="228"/>
              <w:spacing w:after="0"/>
              <w:rPr>
                <w:sz w:val="20"/>
                <w:szCs w:val="20"/>
                <w:color w:val="auto"/>
              </w:rPr>
            </w:pPr>
            <w:r>
              <w:rPr>
                <w:rFonts w:ascii="Arial" w:cs="Arial" w:eastAsia="Arial" w:hAnsi="Arial"/>
                <w:sz w:val="13"/>
                <w:szCs w:val="13"/>
                <w:color w:val="auto"/>
              </w:rPr>
              <w:t>(5,191,771)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217"/>
              <w:spacing w:after="0"/>
              <w:rPr>
                <w:sz w:val="20"/>
                <w:szCs w:val="20"/>
                <w:color w:val="auto"/>
              </w:rPr>
            </w:pPr>
            <w:r>
              <w:rPr>
                <w:rFonts w:ascii="Arial" w:cs="Arial" w:eastAsia="Arial" w:hAnsi="Arial"/>
                <w:sz w:val="13"/>
                <w:szCs w:val="13"/>
                <w:color w:val="auto"/>
                <w:w w:val="90"/>
              </w:rPr>
              <w:t>(5,649,496)</w:t>
            </w:r>
          </w:p>
        </w:tc>
        <w:tc>
          <w:tcPr>
            <w:tcW w:w="1460" w:type="dxa"/>
            <w:vAlign w:val="bottom"/>
            <w:gridSpan w:val="2"/>
          </w:tcPr>
          <w:p>
            <w:pPr>
              <w:jc w:val="right"/>
              <w:ind w:right="228"/>
              <w:spacing w:after="0"/>
              <w:rPr>
                <w:sz w:val="20"/>
                <w:szCs w:val="20"/>
                <w:color w:val="auto"/>
              </w:rPr>
            </w:pPr>
            <w:r>
              <w:rPr>
                <w:rFonts w:ascii="Arial" w:cs="Arial" w:eastAsia="Arial" w:hAnsi="Arial"/>
                <w:sz w:val="13"/>
                <w:szCs w:val="13"/>
                <w:color w:val="auto"/>
              </w:rPr>
              <w:t>(6,230,563)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(0.21)</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(0.51)</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(0.55)</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437"/>
              <w:spacing w:after="0"/>
              <w:rPr>
                <w:sz w:val="20"/>
                <w:szCs w:val="20"/>
                <w:color w:val="auto"/>
              </w:rPr>
            </w:pPr>
            <w:r>
              <w:rPr>
                <w:rFonts w:ascii="Arial" w:cs="Arial" w:eastAsia="Arial" w:hAnsi="Arial"/>
                <w:sz w:val="13"/>
                <w:szCs w:val="13"/>
                <w:color w:val="auto"/>
              </w:rPr>
              <w:t>F-21</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3"/>
          <w:szCs w:val="13"/>
          <w:b w:val="1"/>
          <w:bCs w:val="1"/>
          <w:color w:val="auto"/>
        </w:rPr>
        <w:t>OCEAN POWER TECHNOLOGIES,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500" w:hanging="493"/>
        <w:spacing w:after="0"/>
        <w:tabs>
          <w:tab w:leader="none" w:pos="50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Segments and Geographic Information</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Company’s business consists of one segment as this represents management’s view of the Company’s operations. The Company operates on a worldwide basis with one operating company in the US, one subsidiary in the UK and one subsidiary in Australia.</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Geographic information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2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5"/>
          </w:tcPr>
          <w:p>
            <w:pPr>
              <w:jc w:val="right"/>
              <w:ind w:right="546"/>
              <w:spacing w:after="0"/>
              <w:rPr>
                <w:sz w:val="20"/>
                <w:szCs w:val="20"/>
                <w:color w:val="auto"/>
              </w:rPr>
            </w:pPr>
            <w:r>
              <w:rPr>
                <w:rFonts w:ascii="Arial" w:cs="Arial" w:eastAsia="Arial" w:hAnsi="Arial"/>
                <w:sz w:val="10"/>
                <w:szCs w:val="10"/>
                <w:b w:val="1"/>
                <w:bCs w:val="1"/>
                <w:color w:val="auto"/>
              </w:rPr>
              <w:t>Year Ended April 30, 2011</w:t>
            </w: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North America</w:t>
            </w:r>
          </w:p>
        </w:tc>
        <w:tc>
          <w:tcPr>
            <w:tcW w:w="240" w:type="dxa"/>
            <w:vAlign w:val="bottom"/>
          </w:tcPr>
          <w:p>
            <w:pPr>
              <w:spacing w:after="0"/>
              <w:rPr>
                <w:sz w:val="7"/>
                <w:szCs w:val="7"/>
                <w:color w:val="auto"/>
              </w:rPr>
            </w:pPr>
          </w:p>
        </w:tc>
        <w:tc>
          <w:tcPr>
            <w:tcW w:w="1200" w:type="dxa"/>
            <w:vAlign w:val="bottom"/>
            <w:gridSpan w:val="2"/>
            <w:vMerge w:val="restart"/>
          </w:tcPr>
          <w:p>
            <w:pPr>
              <w:ind w:left="420"/>
              <w:spacing w:after="0"/>
              <w:rPr>
                <w:sz w:val="20"/>
                <w:szCs w:val="20"/>
                <w:color w:val="auto"/>
              </w:rPr>
            </w:pPr>
            <w:r>
              <w:rPr>
                <w:rFonts w:ascii="Arial" w:cs="Arial" w:eastAsia="Arial" w:hAnsi="Arial"/>
                <w:sz w:val="10"/>
                <w:szCs w:val="10"/>
                <w:b w:val="1"/>
                <w:bCs w:val="1"/>
                <w:color w:val="auto"/>
              </w:rPr>
              <w:t>Europe</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Asia and</w:t>
            </w:r>
          </w:p>
        </w:tc>
        <w:tc>
          <w:tcPr>
            <w:tcW w:w="240" w:type="dxa"/>
            <w:vAlign w:val="bottom"/>
          </w:tcPr>
          <w:p>
            <w:pPr>
              <w:spacing w:after="0"/>
              <w:rPr>
                <w:sz w:val="7"/>
                <w:szCs w:val="7"/>
                <w:color w:val="auto"/>
              </w:rPr>
            </w:pPr>
          </w:p>
        </w:tc>
        <w:tc>
          <w:tcPr>
            <w:tcW w:w="1420" w:type="dxa"/>
            <w:vAlign w:val="bottom"/>
            <w:vMerge w:val="restart"/>
          </w:tcPr>
          <w:p>
            <w:pPr>
              <w:jc w:val="right"/>
              <w:ind w:right="5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1420" w:type="dxa"/>
            <w:vAlign w:val="bottom"/>
            <w:tcBorders>
              <w:bottom w:val="single" w:sz="8" w:color="auto"/>
            </w:tcBorders>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Australia</w:t>
            </w:r>
          </w:p>
        </w:tc>
        <w:tc>
          <w:tcPr>
            <w:tcW w:w="240" w:type="dxa"/>
            <w:vAlign w:val="bottom"/>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5,609,789</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853,939</w:t>
            </w:r>
          </w:p>
        </w:tc>
        <w:tc>
          <w:tcPr>
            <w:tcW w:w="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86"/>
              <w:spacing w:after="0"/>
              <w:rPr>
                <w:sz w:val="20"/>
                <w:szCs w:val="20"/>
                <w:color w:val="auto"/>
              </w:rPr>
            </w:pPr>
            <w:r>
              <w:rPr>
                <w:rFonts w:ascii="Arial" w:cs="Arial" w:eastAsia="Arial" w:hAnsi="Arial"/>
                <w:sz w:val="13"/>
                <w:szCs w:val="13"/>
                <w:color w:val="auto"/>
              </w:rPr>
              <w:t>227,354</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6,691,082</w:t>
            </w: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Operating loss</w:t>
            </w:r>
          </w:p>
        </w:tc>
        <w:tc>
          <w:tcPr>
            <w:tcW w:w="1420" w:type="dxa"/>
            <w:vAlign w:val="bottom"/>
            <w:gridSpan w:val="2"/>
          </w:tcPr>
          <w:p>
            <w:pPr>
              <w:jc w:val="right"/>
              <w:ind w:right="294"/>
              <w:spacing w:after="0"/>
              <w:rPr>
                <w:sz w:val="20"/>
                <w:szCs w:val="20"/>
                <w:color w:val="auto"/>
              </w:rPr>
            </w:pPr>
            <w:r>
              <w:rPr>
                <w:rFonts w:ascii="Arial" w:cs="Arial" w:eastAsia="Arial" w:hAnsi="Arial"/>
                <w:sz w:val="13"/>
                <w:szCs w:val="13"/>
                <w:color w:val="auto"/>
              </w:rPr>
              <w:t>(19,443,565)</w:t>
            </w:r>
          </w:p>
        </w:tc>
        <w:tc>
          <w:tcPr>
            <w:tcW w:w="1400" w:type="dxa"/>
            <w:vAlign w:val="bottom"/>
            <w:gridSpan w:val="2"/>
          </w:tcPr>
          <w:p>
            <w:pPr>
              <w:jc w:val="right"/>
              <w:ind w:right="188"/>
              <w:spacing w:after="0"/>
              <w:rPr>
                <w:sz w:val="20"/>
                <w:szCs w:val="20"/>
                <w:color w:val="auto"/>
              </w:rPr>
            </w:pPr>
            <w:r>
              <w:rPr>
                <w:rFonts w:ascii="Arial" w:cs="Arial" w:eastAsia="Arial" w:hAnsi="Arial"/>
                <w:sz w:val="13"/>
                <w:szCs w:val="13"/>
                <w:color w:val="auto"/>
              </w:rPr>
              <w:t>(1,676,354)</w:t>
            </w:r>
          </w:p>
        </w:tc>
        <w:tc>
          <w:tcPr>
            <w:tcW w:w="40" w:type="dxa"/>
            <w:vAlign w:val="bottom"/>
          </w:tcPr>
          <w:p>
            <w:pPr>
              <w:spacing w:after="0"/>
              <w:rPr>
                <w:sz w:val="13"/>
                <w:szCs w:val="13"/>
                <w:color w:val="auto"/>
              </w:rPr>
            </w:pPr>
          </w:p>
        </w:tc>
        <w:tc>
          <w:tcPr>
            <w:tcW w:w="1180" w:type="dxa"/>
            <w:vAlign w:val="bottom"/>
            <w:gridSpan w:val="3"/>
          </w:tcPr>
          <w:p>
            <w:pPr>
              <w:jc w:val="right"/>
              <w:ind w:right="146"/>
              <w:spacing w:after="0"/>
              <w:rPr>
                <w:sz w:val="20"/>
                <w:szCs w:val="20"/>
                <w:color w:val="auto"/>
              </w:rPr>
            </w:pPr>
            <w:r>
              <w:rPr>
                <w:rFonts w:ascii="Arial" w:cs="Arial" w:eastAsia="Arial" w:hAnsi="Arial"/>
                <w:sz w:val="13"/>
                <w:szCs w:val="13"/>
                <w:color w:val="auto"/>
              </w:rPr>
              <w:t>(162,871)</w:t>
            </w:r>
          </w:p>
        </w:tc>
        <w:tc>
          <w:tcPr>
            <w:tcW w:w="1660" w:type="dxa"/>
            <w:vAlign w:val="bottom"/>
            <w:gridSpan w:val="2"/>
          </w:tcPr>
          <w:p>
            <w:pPr>
              <w:jc w:val="right"/>
              <w:ind w:right="288"/>
              <w:spacing w:after="0"/>
              <w:rPr>
                <w:sz w:val="20"/>
                <w:szCs w:val="20"/>
                <w:color w:val="auto"/>
              </w:rPr>
            </w:pPr>
            <w:r>
              <w:rPr>
                <w:rFonts w:ascii="Arial" w:cs="Arial" w:eastAsia="Arial" w:hAnsi="Arial"/>
                <w:sz w:val="13"/>
                <w:szCs w:val="13"/>
                <w:color w:val="auto"/>
              </w:rPr>
              <w:t>(21,282,790)</w:t>
            </w:r>
          </w:p>
        </w:tc>
        <w:tc>
          <w:tcPr>
            <w:tcW w:w="0" w:type="dxa"/>
            <w:vAlign w:val="bottom"/>
          </w:tcPr>
          <w:p>
            <w:pPr>
              <w:spacing w:after="0"/>
              <w:rPr>
                <w:sz w:val="1"/>
                <w:szCs w:val="1"/>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619,861</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172,231</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86"/>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792,092</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3"/>
                <w:szCs w:val="13"/>
                <w:color w:val="auto"/>
              </w:rPr>
              <w:t>Total assets</w:t>
            </w:r>
          </w:p>
        </w:tc>
        <w:tc>
          <w:tcPr>
            <w:tcW w:w="1420" w:type="dxa"/>
            <w:vAlign w:val="bottom"/>
            <w:gridSpan w:val="2"/>
          </w:tcPr>
          <w:p>
            <w:pPr>
              <w:jc w:val="right"/>
              <w:ind w:right="334"/>
              <w:spacing w:after="0"/>
              <w:rPr>
                <w:sz w:val="20"/>
                <w:szCs w:val="20"/>
                <w:color w:val="auto"/>
              </w:rPr>
            </w:pPr>
            <w:r>
              <w:rPr>
                <w:rFonts w:ascii="Arial" w:cs="Arial" w:eastAsia="Arial" w:hAnsi="Arial"/>
                <w:sz w:val="13"/>
                <w:szCs w:val="13"/>
                <w:color w:val="auto"/>
              </w:rPr>
              <w:t>$ 47,697,028</w:t>
            </w:r>
          </w:p>
        </w:tc>
        <w:tc>
          <w:tcPr>
            <w:tcW w:w="1400" w:type="dxa"/>
            <w:vAlign w:val="bottom"/>
            <w:gridSpan w:val="2"/>
          </w:tcPr>
          <w:p>
            <w:pPr>
              <w:jc w:val="right"/>
              <w:ind w:right="228"/>
              <w:spacing w:after="0"/>
              <w:rPr>
                <w:sz w:val="20"/>
                <w:szCs w:val="20"/>
                <w:color w:val="auto"/>
              </w:rPr>
            </w:pPr>
            <w:r>
              <w:rPr>
                <w:rFonts w:ascii="Arial" w:cs="Arial" w:eastAsia="Arial" w:hAnsi="Arial"/>
                <w:sz w:val="13"/>
                <w:szCs w:val="13"/>
                <w:color w:val="auto"/>
              </w:rPr>
              <w:t>4,935,922</w:t>
            </w:r>
          </w:p>
        </w:tc>
        <w:tc>
          <w:tcPr>
            <w:tcW w:w="40" w:type="dxa"/>
            <w:vAlign w:val="bottom"/>
          </w:tcPr>
          <w:p>
            <w:pPr>
              <w:spacing w:after="0"/>
              <w:rPr>
                <w:sz w:val="14"/>
                <w:szCs w:val="14"/>
                <w:color w:val="auto"/>
              </w:rPr>
            </w:pPr>
          </w:p>
        </w:tc>
        <w:tc>
          <w:tcPr>
            <w:tcW w:w="1180" w:type="dxa"/>
            <w:vAlign w:val="bottom"/>
            <w:gridSpan w:val="3"/>
          </w:tcPr>
          <w:p>
            <w:pPr>
              <w:jc w:val="right"/>
              <w:ind w:right="186"/>
              <w:spacing w:after="0"/>
              <w:rPr>
                <w:sz w:val="20"/>
                <w:szCs w:val="20"/>
                <w:color w:val="auto"/>
              </w:rPr>
            </w:pPr>
            <w:r>
              <w:rPr>
                <w:rFonts w:ascii="Arial" w:cs="Arial" w:eastAsia="Arial" w:hAnsi="Arial"/>
                <w:sz w:val="13"/>
                <w:szCs w:val="13"/>
                <w:color w:val="auto"/>
              </w:rPr>
              <w:t>919,628</w:t>
            </w:r>
          </w:p>
        </w:tc>
        <w:tc>
          <w:tcPr>
            <w:tcW w:w="1660" w:type="dxa"/>
            <w:vAlign w:val="bottom"/>
            <w:gridSpan w:val="2"/>
          </w:tcPr>
          <w:p>
            <w:pPr>
              <w:jc w:val="right"/>
              <w:ind w:right="328"/>
              <w:spacing w:after="0"/>
              <w:rPr>
                <w:sz w:val="20"/>
                <w:szCs w:val="20"/>
                <w:color w:val="auto"/>
              </w:rPr>
            </w:pPr>
            <w:r>
              <w:rPr>
                <w:rFonts w:ascii="Arial" w:cs="Arial" w:eastAsia="Arial" w:hAnsi="Arial"/>
                <w:sz w:val="13"/>
                <w:szCs w:val="13"/>
                <w:color w:val="auto"/>
              </w:rPr>
              <w:t>53,552,578</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546"/>
              <w:spacing w:after="0"/>
              <w:rPr>
                <w:sz w:val="20"/>
                <w:szCs w:val="20"/>
                <w:color w:val="auto"/>
              </w:rPr>
            </w:pPr>
            <w:r>
              <w:rPr>
                <w:rFonts w:ascii="Arial" w:cs="Arial" w:eastAsia="Arial" w:hAnsi="Arial"/>
                <w:sz w:val="10"/>
                <w:szCs w:val="10"/>
                <w:b w:val="1"/>
                <w:bCs w:val="1"/>
                <w:color w:val="auto"/>
              </w:rPr>
              <w:t>Year Ended April 30, 2010</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North America</w:t>
            </w:r>
          </w:p>
        </w:tc>
        <w:tc>
          <w:tcPr>
            <w:tcW w:w="240" w:type="dxa"/>
            <w:vAlign w:val="bottom"/>
          </w:tcPr>
          <w:p>
            <w:pPr>
              <w:spacing w:after="0"/>
              <w:rPr>
                <w:sz w:val="7"/>
                <w:szCs w:val="7"/>
                <w:color w:val="auto"/>
              </w:rPr>
            </w:pPr>
          </w:p>
        </w:tc>
        <w:tc>
          <w:tcPr>
            <w:tcW w:w="1200" w:type="dxa"/>
            <w:vAlign w:val="bottom"/>
            <w:gridSpan w:val="2"/>
            <w:vMerge w:val="restart"/>
          </w:tcPr>
          <w:p>
            <w:pPr>
              <w:ind w:left="420"/>
              <w:spacing w:after="0"/>
              <w:rPr>
                <w:sz w:val="20"/>
                <w:szCs w:val="20"/>
                <w:color w:val="auto"/>
              </w:rPr>
            </w:pPr>
            <w:r>
              <w:rPr>
                <w:rFonts w:ascii="Arial" w:cs="Arial" w:eastAsia="Arial" w:hAnsi="Arial"/>
                <w:sz w:val="10"/>
                <w:szCs w:val="10"/>
                <w:b w:val="1"/>
                <w:bCs w:val="1"/>
                <w:color w:val="auto"/>
              </w:rPr>
              <w:t>Europe</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Asia and</w:t>
            </w:r>
          </w:p>
        </w:tc>
        <w:tc>
          <w:tcPr>
            <w:tcW w:w="240" w:type="dxa"/>
            <w:vAlign w:val="bottom"/>
          </w:tcPr>
          <w:p>
            <w:pPr>
              <w:spacing w:after="0"/>
              <w:rPr>
                <w:sz w:val="7"/>
                <w:szCs w:val="7"/>
                <w:color w:val="auto"/>
              </w:rPr>
            </w:pPr>
          </w:p>
        </w:tc>
        <w:tc>
          <w:tcPr>
            <w:tcW w:w="1420" w:type="dxa"/>
            <w:vAlign w:val="bottom"/>
            <w:vMerge w:val="restart"/>
          </w:tcPr>
          <w:p>
            <w:pPr>
              <w:jc w:val="right"/>
              <w:ind w:right="5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8"/>
              </w:rPr>
              <w:t>Australia</w:t>
            </w:r>
          </w:p>
        </w:tc>
        <w:tc>
          <w:tcPr>
            <w:tcW w:w="2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4,580,872</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431,801</w:t>
            </w:r>
          </w:p>
        </w:tc>
        <w:tc>
          <w:tcPr>
            <w:tcW w:w="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06"/>
              <w:spacing w:after="0"/>
              <w:rPr>
                <w:sz w:val="20"/>
                <w:szCs w:val="20"/>
                <w:color w:val="auto"/>
              </w:rPr>
            </w:pPr>
            <w:r>
              <w:rPr>
                <w:rFonts w:ascii="Arial" w:cs="Arial" w:eastAsia="Arial" w:hAnsi="Arial"/>
                <w:sz w:val="13"/>
                <w:szCs w:val="13"/>
                <w:color w:val="auto"/>
              </w:rPr>
              <w:t>88,638</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5,101,311</w:t>
            </w: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Operating loss</w:t>
            </w:r>
          </w:p>
        </w:tc>
        <w:tc>
          <w:tcPr>
            <w:tcW w:w="400" w:type="dxa"/>
            <w:vAlign w:val="bottom"/>
          </w:tcPr>
          <w:p>
            <w:pPr>
              <w:spacing w:after="0"/>
              <w:rPr>
                <w:sz w:val="13"/>
                <w:szCs w:val="13"/>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w w:val="89"/>
              </w:rPr>
              <w:t>(20,068,920)</w:t>
            </w:r>
          </w:p>
        </w:tc>
        <w:tc>
          <w:tcPr>
            <w:tcW w:w="1400" w:type="dxa"/>
            <w:vAlign w:val="bottom"/>
            <w:gridSpan w:val="2"/>
          </w:tcPr>
          <w:p>
            <w:pPr>
              <w:jc w:val="right"/>
              <w:ind w:right="208"/>
              <w:spacing w:after="0"/>
              <w:rPr>
                <w:sz w:val="20"/>
                <w:szCs w:val="20"/>
                <w:color w:val="auto"/>
              </w:rPr>
            </w:pPr>
            <w:r>
              <w:rPr>
                <w:rFonts w:ascii="Arial" w:cs="Arial" w:eastAsia="Arial" w:hAnsi="Arial"/>
                <w:sz w:val="13"/>
                <w:szCs w:val="13"/>
                <w:color w:val="auto"/>
              </w:rPr>
              <w:t>(934,638)</w:t>
            </w:r>
          </w:p>
        </w:tc>
        <w:tc>
          <w:tcPr>
            <w:tcW w:w="40" w:type="dxa"/>
            <w:vAlign w:val="bottom"/>
          </w:tcPr>
          <w:p>
            <w:pPr>
              <w:spacing w:after="0"/>
              <w:rPr>
                <w:sz w:val="13"/>
                <w:szCs w:val="13"/>
                <w:color w:val="auto"/>
              </w:rPr>
            </w:pPr>
          </w:p>
        </w:tc>
        <w:tc>
          <w:tcPr>
            <w:tcW w:w="1180" w:type="dxa"/>
            <w:vAlign w:val="bottom"/>
            <w:gridSpan w:val="3"/>
          </w:tcPr>
          <w:p>
            <w:pPr>
              <w:jc w:val="right"/>
              <w:ind w:right="146"/>
              <w:spacing w:after="0"/>
              <w:rPr>
                <w:sz w:val="20"/>
                <w:szCs w:val="20"/>
                <w:color w:val="auto"/>
              </w:rPr>
            </w:pPr>
            <w:r>
              <w:rPr>
                <w:rFonts w:ascii="Arial" w:cs="Arial" w:eastAsia="Arial" w:hAnsi="Arial"/>
                <w:sz w:val="13"/>
                <w:szCs w:val="13"/>
                <w:color w:val="auto"/>
              </w:rPr>
              <w:t>(259,118)</w:t>
            </w:r>
          </w:p>
        </w:tc>
        <w:tc>
          <w:tcPr>
            <w:tcW w:w="1660" w:type="dxa"/>
            <w:vAlign w:val="bottom"/>
            <w:gridSpan w:val="2"/>
          </w:tcPr>
          <w:p>
            <w:pPr>
              <w:jc w:val="right"/>
              <w:ind w:right="288"/>
              <w:spacing w:after="0"/>
              <w:rPr>
                <w:sz w:val="20"/>
                <w:szCs w:val="20"/>
                <w:color w:val="auto"/>
              </w:rPr>
            </w:pPr>
            <w:r>
              <w:rPr>
                <w:rFonts w:ascii="Arial" w:cs="Arial" w:eastAsia="Arial" w:hAnsi="Arial"/>
                <w:sz w:val="13"/>
                <w:szCs w:val="13"/>
                <w:color w:val="auto"/>
              </w:rPr>
              <w:t>(21,262,676)</w:t>
            </w:r>
          </w:p>
        </w:tc>
        <w:tc>
          <w:tcPr>
            <w:tcW w:w="0" w:type="dxa"/>
            <w:vAlign w:val="bottom"/>
          </w:tcPr>
          <w:p>
            <w:pPr>
              <w:spacing w:after="0"/>
              <w:rPr>
                <w:sz w:val="1"/>
                <w:szCs w:val="1"/>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448,022</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262,541</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06"/>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710,563</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3"/>
                <w:szCs w:val="13"/>
                <w:color w:val="auto"/>
              </w:rPr>
              <w:t>Total assets</w:t>
            </w:r>
          </w:p>
        </w:tc>
        <w:tc>
          <w:tcPr>
            <w:tcW w:w="1420" w:type="dxa"/>
            <w:vAlign w:val="bottom"/>
            <w:gridSpan w:val="2"/>
          </w:tcPr>
          <w:p>
            <w:pPr>
              <w:jc w:val="right"/>
              <w:ind w:right="314"/>
              <w:spacing w:after="0"/>
              <w:rPr>
                <w:sz w:val="20"/>
                <w:szCs w:val="20"/>
                <w:color w:val="auto"/>
              </w:rPr>
            </w:pPr>
            <w:r>
              <w:rPr>
                <w:rFonts w:ascii="Arial" w:cs="Arial" w:eastAsia="Arial" w:hAnsi="Arial"/>
                <w:sz w:val="13"/>
                <w:szCs w:val="13"/>
                <w:color w:val="auto"/>
              </w:rPr>
              <w:t>$ 67,424,387</w:t>
            </w:r>
          </w:p>
        </w:tc>
        <w:tc>
          <w:tcPr>
            <w:tcW w:w="1400" w:type="dxa"/>
            <w:vAlign w:val="bottom"/>
            <w:gridSpan w:val="2"/>
          </w:tcPr>
          <w:p>
            <w:pPr>
              <w:jc w:val="right"/>
              <w:ind w:right="248"/>
              <w:spacing w:after="0"/>
              <w:rPr>
                <w:sz w:val="20"/>
                <w:szCs w:val="20"/>
                <w:color w:val="auto"/>
              </w:rPr>
            </w:pPr>
            <w:r>
              <w:rPr>
                <w:rFonts w:ascii="Arial" w:cs="Arial" w:eastAsia="Arial" w:hAnsi="Arial"/>
                <w:sz w:val="13"/>
                <w:szCs w:val="13"/>
                <w:color w:val="auto"/>
              </w:rPr>
              <w:t>4,684,104</w:t>
            </w:r>
          </w:p>
        </w:tc>
        <w:tc>
          <w:tcPr>
            <w:tcW w:w="40" w:type="dxa"/>
            <w:vAlign w:val="bottom"/>
          </w:tcPr>
          <w:p>
            <w:pPr>
              <w:spacing w:after="0"/>
              <w:rPr>
                <w:sz w:val="14"/>
                <w:szCs w:val="14"/>
                <w:color w:val="auto"/>
              </w:rPr>
            </w:pPr>
          </w:p>
        </w:tc>
        <w:tc>
          <w:tcPr>
            <w:tcW w:w="1180" w:type="dxa"/>
            <w:vAlign w:val="bottom"/>
            <w:gridSpan w:val="3"/>
          </w:tcPr>
          <w:p>
            <w:pPr>
              <w:jc w:val="right"/>
              <w:ind w:right="206"/>
              <w:spacing w:after="0"/>
              <w:rPr>
                <w:sz w:val="20"/>
                <w:szCs w:val="20"/>
                <w:color w:val="auto"/>
              </w:rPr>
            </w:pPr>
            <w:r>
              <w:rPr>
                <w:rFonts w:ascii="Arial" w:cs="Arial" w:eastAsia="Arial" w:hAnsi="Arial"/>
                <w:sz w:val="13"/>
                <w:szCs w:val="13"/>
                <w:color w:val="auto"/>
              </w:rPr>
              <w:t>869,702</w:t>
            </w:r>
          </w:p>
        </w:tc>
        <w:tc>
          <w:tcPr>
            <w:tcW w:w="1660" w:type="dxa"/>
            <w:vAlign w:val="bottom"/>
            <w:gridSpan w:val="2"/>
          </w:tcPr>
          <w:p>
            <w:pPr>
              <w:jc w:val="right"/>
              <w:ind w:right="328"/>
              <w:spacing w:after="0"/>
              <w:rPr>
                <w:sz w:val="20"/>
                <w:szCs w:val="20"/>
                <w:color w:val="auto"/>
              </w:rPr>
            </w:pPr>
            <w:r>
              <w:rPr>
                <w:rFonts w:ascii="Arial" w:cs="Arial" w:eastAsia="Arial" w:hAnsi="Arial"/>
                <w:sz w:val="13"/>
                <w:szCs w:val="13"/>
                <w:color w:val="auto"/>
              </w:rPr>
              <w:t>72,978,193</w:t>
            </w:r>
          </w:p>
        </w:tc>
        <w:tc>
          <w:tcPr>
            <w:tcW w:w="0" w:type="dxa"/>
            <w:vAlign w:val="bottom"/>
          </w:tcPr>
          <w:p>
            <w:pPr>
              <w:spacing w:after="0"/>
              <w:rPr>
                <w:sz w:val="1"/>
                <w:szCs w:val="1"/>
                <w:color w:val="auto"/>
              </w:rPr>
            </w:pPr>
          </w:p>
        </w:tc>
      </w:tr>
      <w:tr>
        <w:trPr>
          <w:trHeight w:val="278"/>
        </w:trPr>
        <w:tc>
          <w:tcPr>
            <w:tcW w:w="4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546"/>
              <w:spacing w:after="0"/>
              <w:rPr>
                <w:sz w:val="20"/>
                <w:szCs w:val="20"/>
                <w:color w:val="auto"/>
              </w:rPr>
            </w:pPr>
            <w:r>
              <w:rPr>
                <w:rFonts w:ascii="Arial" w:cs="Arial" w:eastAsia="Arial" w:hAnsi="Arial"/>
                <w:sz w:val="10"/>
                <w:szCs w:val="10"/>
                <w:b w:val="1"/>
                <w:bCs w:val="1"/>
                <w:color w:val="auto"/>
              </w:rPr>
              <w:t>Year Ended April 30, 2009</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8"/>
              </w:rPr>
              <w:t>North America</w:t>
            </w:r>
          </w:p>
        </w:tc>
        <w:tc>
          <w:tcPr>
            <w:tcW w:w="240" w:type="dxa"/>
            <w:vAlign w:val="bottom"/>
          </w:tcPr>
          <w:p>
            <w:pPr>
              <w:spacing w:after="0"/>
              <w:rPr>
                <w:sz w:val="7"/>
                <w:szCs w:val="7"/>
                <w:color w:val="auto"/>
              </w:rPr>
            </w:pPr>
          </w:p>
        </w:tc>
        <w:tc>
          <w:tcPr>
            <w:tcW w:w="1200" w:type="dxa"/>
            <w:vAlign w:val="bottom"/>
            <w:gridSpan w:val="2"/>
            <w:vMerge w:val="restart"/>
          </w:tcPr>
          <w:p>
            <w:pPr>
              <w:ind w:left="420"/>
              <w:spacing w:after="0"/>
              <w:rPr>
                <w:sz w:val="20"/>
                <w:szCs w:val="20"/>
                <w:color w:val="auto"/>
              </w:rPr>
            </w:pPr>
            <w:r>
              <w:rPr>
                <w:rFonts w:ascii="Arial" w:cs="Arial" w:eastAsia="Arial" w:hAnsi="Arial"/>
                <w:sz w:val="10"/>
                <w:szCs w:val="10"/>
                <w:b w:val="1"/>
                <w:bCs w:val="1"/>
                <w:color w:val="auto"/>
              </w:rPr>
              <w:t>Europe</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Asia and</w:t>
            </w:r>
          </w:p>
        </w:tc>
        <w:tc>
          <w:tcPr>
            <w:tcW w:w="240" w:type="dxa"/>
            <w:vAlign w:val="bottom"/>
          </w:tcPr>
          <w:p>
            <w:pPr>
              <w:spacing w:after="0"/>
              <w:rPr>
                <w:sz w:val="7"/>
                <w:szCs w:val="7"/>
                <w:color w:val="auto"/>
              </w:rPr>
            </w:pPr>
          </w:p>
        </w:tc>
        <w:tc>
          <w:tcPr>
            <w:tcW w:w="1420" w:type="dxa"/>
            <w:vAlign w:val="bottom"/>
            <w:vMerge w:val="restart"/>
          </w:tcPr>
          <w:p>
            <w:pPr>
              <w:jc w:val="right"/>
              <w:ind w:right="5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1420" w:type="dxa"/>
            <w:vAlign w:val="bottom"/>
            <w:tcBorders>
              <w:bottom w:val="single" w:sz="8" w:color="auto"/>
            </w:tcBorders>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Australia</w:t>
            </w:r>
          </w:p>
        </w:tc>
        <w:tc>
          <w:tcPr>
            <w:tcW w:w="240" w:type="dxa"/>
            <w:vAlign w:val="bottom"/>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2,944,361</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1,016,223</w:t>
            </w:r>
          </w:p>
        </w:tc>
        <w:tc>
          <w:tcPr>
            <w:tcW w:w="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86"/>
              <w:spacing w:after="0"/>
              <w:rPr>
                <w:sz w:val="20"/>
                <w:szCs w:val="20"/>
                <w:color w:val="auto"/>
              </w:rPr>
            </w:pPr>
            <w:r>
              <w:rPr>
                <w:rFonts w:ascii="Arial" w:cs="Arial" w:eastAsia="Arial" w:hAnsi="Arial"/>
                <w:sz w:val="13"/>
                <w:szCs w:val="13"/>
                <w:color w:val="auto"/>
              </w:rPr>
              <w:t>88,861</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4,049,445</w:t>
            </w:r>
          </w:p>
        </w:tc>
        <w:tc>
          <w:tcPr>
            <w:tcW w:w="0" w:type="dxa"/>
            <w:vAlign w:val="bottom"/>
          </w:tcPr>
          <w:p>
            <w:pPr>
              <w:spacing w:after="0"/>
              <w:rPr>
                <w:sz w:val="1"/>
                <w:szCs w:val="1"/>
                <w:color w:val="auto"/>
              </w:rPr>
            </w:pPr>
          </w:p>
        </w:tc>
      </w:tr>
      <w:tr>
        <w:trPr>
          <w:trHeight w:val="157"/>
        </w:trPr>
        <w:tc>
          <w:tcPr>
            <w:tcW w:w="4280" w:type="dxa"/>
            <w:vAlign w:val="bottom"/>
          </w:tcPr>
          <w:p>
            <w:pPr>
              <w:spacing w:after="0"/>
              <w:rPr>
                <w:sz w:val="20"/>
                <w:szCs w:val="20"/>
                <w:color w:val="auto"/>
              </w:rPr>
            </w:pPr>
            <w:r>
              <w:rPr>
                <w:rFonts w:ascii="Arial" w:cs="Arial" w:eastAsia="Arial" w:hAnsi="Arial"/>
                <w:sz w:val="13"/>
                <w:szCs w:val="13"/>
                <w:color w:val="auto"/>
              </w:rPr>
              <w:t>Operating loss</w:t>
            </w:r>
          </w:p>
        </w:tc>
        <w:tc>
          <w:tcPr>
            <w:tcW w:w="1420" w:type="dxa"/>
            <w:vAlign w:val="bottom"/>
            <w:gridSpan w:val="2"/>
          </w:tcPr>
          <w:p>
            <w:pPr>
              <w:jc w:val="right"/>
              <w:ind w:right="294"/>
              <w:spacing w:after="0"/>
              <w:rPr>
                <w:sz w:val="20"/>
                <w:szCs w:val="20"/>
                <w:color w:val="auto"/>
              </w:rPr>
            </w:pPr>
            <w:r>
              <w:rPr>
                <w:rFonts w:ascii="Arial" w:cs="Arial" w:eastAsia="Arial" w:hAnsi="Arial"/>
                <w:sz w:val="13"/>
                <w:szCs w:val="13"/>
                <w:color w:val="auto"/>
              </w:rPr>
              <w:t>(15,870,696)</w:t>
            </w:r>
          </w:p>
        </w:tc>
        <w:tc>
          <w:tcPr>
            <w:tcW w:w="1400" w:type="dxa"/>
            <w:vAlign w:val="bottom"/>
            <w:gridSpan w:val="2"/>
          </w:tcPr>
          <w:p>
            <w:pPr>
              <w:jc w:val="right"/>
              <w:ind w:right="188"/>
              <w:spacing w:after="0"/>
              <w:rPr>
                <w:sz w:val="20"/>
                <w:szCs w:val="20"/>
                <w:color w:val="auto"/>
              </w:rPr>
            </w:pPr>
            <w:r>
              <w:rPr>
                <w:rFonts w:ascii="Arial" w:cs="Arial" w:eastAsia="Arial" w:hAnsi="Arial"/>
                <w:sz w:val="13"/>
                <w:szCs w:val="13"/>
                <w:color w:val="auto"/>
              </w:rPr>
              <w:t>(2,475,659)</w:t>
            </w:r>
          </w:p>
        </w:tc>
        <w:tc>
          <w:tcPr>
            <w:tcW w:w="40" w:type="dxa"/>
            <w:vAlign w:val="bottom"/>
          </w:tcPr>
          <w:p>
            <w:pPr>
              <w:spacing w:after="0"/>
              <w:rPr>
                <w:sz w:val="13"/>
                <w:szCs w:val="13"/>
                <w:color w:val="auto"/>
              </w:rPr>
            </w:pPr>
          </w:p>
        </w:tc>
        <w:tc>
          <w:tcPr>
            <w:tcW w:w="1180" w:type="dxa"/>
            <w:vAlign w:val="bottom"/>
            <w:gridSpan w:val="3"/>
          </w:tcPr>
          <w:p>
            <w:pPr>
              <w:jc w:val="right"/>
              <w:ind w:right="146"/>
              <w:spacing w:after="0"/>
              <w:rPr>
                <w:sz w:val="20"/>
                <w:szCs w:val="20"/>
                <w:color w:val="auto"/>
              </w:rPr>
            </w:pPr>
            <w:r>
              <w:rPr>
                <w:rFonts w:ascii="Arial" w:cs="Arial" w:eastAsia="Arial" w:hAnsi="Arial"/>
                <w:sz w:val="13"/>
                <w:szCs w:val="13"/>
                <w:color w:val="auto"/>
              </w:rPr>
              <w:t>(345,918)</w:t>
            </w:r>
          </w:p>
        </w:tc>
        <w:tc>
          <w:tcPr>
            <w:tcW w:w="1660" w:type="dxa"/>
            <w:vAlign w:val="bottom"/>
            <w:gridSpan w:val="2"/>
          </w:tcPr>
          <w:p>
            <w:pPr>
              <w:jc w:val="right"/>
              <w:ind w:right="288"/>
              <w:spacing w:after="0"/>
              <w:rPr>
                <w:sz w:val="20"/>
                <w:szCs w:val="20"/>
                <w:color w:val="auto"/>
              </w:rPr>
            </w:pPr>
            <w:r>
              <w:rPr>
                <w:rFonts w:ascii="Arial" w:cs="Arial" w:eastAsia="Arial" w:hAnsi="Arial"/>
                <w:sz w:val="13"/>
                <w:szCs w:val="13"/>
                <w:color w:val="auto"/>
              </w:rPr>
              <w:t>(18,692,273)</w:t>
            </w:r>
          </w:p>
        </w:tc>
        <w:tc>
          <w:tcPr>
            <w:tcW w:w="0" w:type="dxa"/>
            <w:vAlign w:val="bottom"/>
          </w:tcPr>
          <w:p>
            <w:pPr>
              <w:spacing w:after="0"/>
              <w:rPr>
                <w:sz w:val="1"/>
                <w:szCs w:val="1"/>
                <w:color w:val="auto"/>
              </w:rPr>
            </w:pPr>
          </w:p>
        </w:tc>
      </w:tr>
      <w:tr>
        <w:trPr>
          <w:trHeight w:val="157"/>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524,231</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373,429</w:t>
            </w:r>
          </w:p>
        </w:tc>
        <w:tc>
          <w:tcPr>
            <w:tcW w:w="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86"/>
              <w:spacing w:after="0"/>
              <w:rPr>
                <w:sz w:val="20"/>
                <w:szCs w:val="20"/>
                <w:color w:val="auto"/>
              </w:rPr>
            </w:pPr>
            <w:r>
              <w:rPr>
                <w:rFonts w:ascii="Arial" w:cs="Arial" w:eastAsia="Arial" w:hAnsi="Arial"/>
                <w:sz w:val="13"/>
                <w:szCs w:val="13"/>
                <w:color w:val="auto"/>
              </w:rPr>
              <w:t>58</w:t>
            </w:r>
          </w:p>
        </w:tc>
        <w:tc>
          <w:tcPr>
            <w:tcW w:w="1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897,718</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3"/>
                <w:szCs w:val="13"/>
                <w:color w:val="auto"/>
              </w:rPr>
              <w:t>Total assets</w:t>
            </w:r>
          </w:p>
        </w:tc>
        <w:tc>
          <w:tcPr>
            <w:tcW w:w="1420" w:type="dxa"/>
            <w:vAlign w:val="bottom"/>
            <w:gridSpan w:val="2"/>
          </w:tcPr>
          <w:p>
            <w:pPr>
              <w:jc w:val="right"/>
              <w:ind w:right="334"/>
              <w:spacing w:after="0"/>
              <w:rPr>
                <w:sz w:val="20"/>
                <w:szCs w:val="20"/>
                <w:color w:val="auto"/>
              </w:rPr>
            </w:pPr>
            <w:r>
              <w:rPr>
                <w:rFonts w:ascii="Arial" w:cs="Arial" w:eastAsia="Arial" w:hAnsi="Arial"/>
                <w:sz w:val="13"/>
                <w:szCs w:val="13"/>
                <w:color w:val="auto"/>
              </w:rPr>
              <w:t>$ 81,006,430</w:t>
            </w:r>
          </w:p>
        </w:tc>
        <w:tc>
          <w:tcPr>
            <w:tcW w:w="1400" w:type="dxa"/>
            <w:vAlign w:val="bottom"/>
            <w:gridSpan w:val="2"/>
          </w:tcPr>
          <w:p>
            <w:pPr>
              <w:jc w:val="right"/>
              <w:ind w:right="228"/>
              <w:spacing w:after="0"/>
              <w:rPr>
                <w:sz w:val="20"/>
                <w:szCs w:val="20"/>
                <w:color w:val="auto"/>
              </w:rPr>
            </w:pPr>
            <w:r>
              <w:rPr>
                <w:rFonts w:ascii="Arial" w:cs="Arial" w:eastAsia="Arial" w:hAnsi="Arial"/>
                <w:sz w:val="13"/>
                <w:szCs w:val="13"/>
                <w:color w:val="auto"/>
              </w:rPr>
              <w:t>7,677,316</w:t>
            </w:r>
          </w:p>
        </w:tc>
        <w:tc>
          <w:tcPr>
            <w:tcW w:w="40" w:type="dxa"/>
            <w:vAlign w:val="bottom"/>
          </w:tcPr>
          <w:p>
            <w:pPr>
              <w:spacing w:after="0"/>
              <w:rPr>
                <w:sz w:val="14"/>
                <w:szCs w:val="14"/>
                <w:color w:val="auto"/>
              </w:rPr>
            </w:pPr>
          </w:p>
        </w:tc>
        <w:tc>
          <w:tcPr>
            <w:tcW w:w="1180" w:type="dxa"/>
            <w:vAlign w:val="bottom"/>
            <w:gridSpan w:val="3"/>
          </w:tcPr>
          <w:p>
            <w:pPr>
              <w:jc w:val="right"/>
              <w:ind w:right="186"/>
              <w:spacing w:after="0"/>
              <w:rPr>
                <w:sz w:val="20"/>
                <w:szCs w:val="20"/>
                <w:color w:val="auto"/>
              </w:rPr>
            </w:pPr>
            <w:r>
              <w:rPr>
                <w:rFonts w:ascii="Arial" w:cs="Arial" w:eastAsia="Arial" w:hAnsi="Arial"/>
                <w:sz w:val="13"/>
                <w:szCs w:val="13"/>
                <w:color w:val="auto"/>
              </w:rPr>
              <w:t>110,160</w:t>
            </w:r>
          </w:p>
        </w:tc>
        <w:tc>
          <w:tcPr>
            <w:tcW w:w="1660" w:type="dxa"/>
            <w:vAlign w:val="bottom"/>
            <w:gridSpan w:val="2"/>
          </w:tcPr>
          <w:p>
            <w:pPr>
              <w:jc w:val="right"/>
              <w:ind w:right="328"/>
              <w:spacing w:after="0"/>
              <w:rPr>
                <w:sz w:val="20"/>
                <w:szCs w:val="20"/>
                <w:color w:val="auto"/>
              </w:rPr>
            </w:pPr>
            <w:r>
              <w:rPr>
                <w:rFonts w:ascii="Arial" w:cs="Arial" w:eastAsia="Arial" w:hAnsi="Arial"/>
                <w:sz w:val="13"/>
                <w:szCs w:val="13"/>
                <w:color w:val="auto"/>
              </w:rPr>
              <w:t>88,793,906</w:t>
            </w:r>
          </w:p>
        </w:tc>
        <w:tc>
          <w:tcPr>
            <w:tcW w:w="0" w:type="dxa"/>
            <w:vAlign w:val="bottom"/>
          </w:tcPr>
          <w:p>
            <w:pPr>
              <w:spacing w:after="0"/>
              <w:rPr>
                <w:sz w:val="1"/>
                <w:szCs w:val="1"/>
                <w:color w:val="auto"/>
              </w:rPr>
            </w:pPr>
          </w:p>
        </w:tc>
      </w:tr>
      <w:tr>
        <w:trPr>
          <w:trHeight w:val="443"/>
        </w:trPr>
        <w:tc>
          <w:tcPr>
            <w:tcW w:w="4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center"/>
              <w:ind w:right="314"/>
              <w:spacing w:after="0"/>
              <w:rPr>
                <w:sz w:val="20"/>
                <w:szCs w:val="20"/>
                <w:color w:val="auto"/>
              </w:rPr>
            </w:pPr>
            <w:r>
              <w:rPr>
                <w:rFonts w:ascii="Arial" w:cs="Arial" w:eastAsia="Arial" w:hAnsi="Arial"/>
                <w:sz w:val="13"/>
                <w:szCs w:val="13"/>
                <w:color w:val="auto"/>
                <w:w w:val="89"/>
              </w:rPr>
              <w:t>F-22</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00" w:top="717" w:right="10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160" w:type="dxa"/>
            <w:vAlign w:val="bottom"/>
          </w:tcPr>
          <w:p>
            <w:pPr>
              <w:spacing w:after="0"/>
              <w:rPr>
                <w:sz w:val="14"/>
                <w:szCs w:val="14"/>
                <w:color w:val="auto"/>
              </w:rPr>
            </w:pPr>
          </w:p>
        </w:tc>
        <w:tc>
          <w:tcPr>
            <w:tcW w:w="1320" w:type="dxa"/>
            <w:vAlign w:val="bottom"/>
            <w:gridSpan w:val="2"/>
          </w:tcPr>
          <w:p>
            <w:pPr>
              <w:ind w:left="480"/>
              <w:spacing w:after="0"/>
              <w:rPr>
                <w:sz w:val="20"/>
                <w:szCs w:val="20"/>
                <w:color w:val="auto"/>
              </w:rPr>
            </w:pPr>
            <w:r>
              <w:rPr>
                <w:rFonts w:ascii="Arial" w:cs="Arial" w:eastAsia="Arial" w:hAnsi="Arial"/>
                <w:sz w:val="13"/>
                <w:szCs w:val="13"/>
                <w:b w:val="1"/>
                <w:bCs w:val="1"/>
                <w:color w:val="auto"/>
              </w:rPr>
              <w:t>EXHIBIT 21.1</w:t>
            </w:r>
          </w:p>
        </w:tc>
      </w:tr>
      <w:tr>
        <w:trPr>
          <w:trHeight w:val="267"/>
        </w:trPr>
        <w:tc>
          <w:tcPr>
            <w:tcW w:w="10160" w:type="dxa"/>
            <w:vAlign w:val="bottom"/>
          </w:tcPr>
          <w:p>
            <w:pPr>
              <w:spacing w:after="0"/>
              <w:rPr>
                <w:sz w:val="20"/>
                <w:szCs w:val="20"/>
                <w:color w:val="auto"/>
              </w:rPr>
            </w:pPr>
            <w:r>
              <w:rPr>
                <w:rFonts w:ascii="Arial" w:cs="Arial" w:eastAsia="Arial" w:hAnsi="Arial"/>
                <w:sz w:val="10"/>
                <w:szCs w:val="10"/>
                <w:b w:val="1"/>
                <w:bCs w:val="1"/>
                <w:color w:val="auto"/>
              </w:rPr>
              <w:t>Subsidiary</w:t>
            </w:r>
          </w:p>
        </w:tc>
        <w:tc>
          <w:tcPr>
            <w:tcW w:w="13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5"/>
              </w:rPr>
              <w:t>Jurisdiction of Incorporation</w:t>
            </w:r>
          </w:p>
        </w:tc>
      </w:tr>
      <w:tr>
        <w:trPr>
          <w:trHeight w:val="138"/>
        </w:trPr>
        <w:tc>
          <w:tcPr>
            <w:tcW w:w="10160" w:type="dxa"/>
            <w:vAlign w:val="bottom"/>
          </w:tcPr>
          <w:p>
            <w:pPr>
              <w:spacing w:after="0" w:line="139" w:lineRule="exact"/>
              <w:rPr>
                <w:sz w:val="20"/>
                <w:szCs w:val="20"/>
                <w:color w:val="auto"/>
              </w:rPr>
            </w:pPr>
            <w:r>
              <w:rPr>
                <w:rFonts w:ascii="Arial" w:cs="Arial" w:eastAsia="Arial" w:hAnsi="Arial"/>
                <w:sz w:val="13"/>
                <w:szCs w:val="13"/>
                <w:color w:val="auto"/>
              </w:rPr>
              <w:t>Ocean Power Technologies Ltd</w:t>
            </w:r>
          </w:p>
        </w:tc>
        <w:tc>
          <w:tcPr>
            <w:tcW w:w="13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color w:val="auto"/>
                <w:w w:val="95"/>
              </w:rPr>
              <w:t>United Kingdom</w:t>
            </w:r>
          </w:p>
        </w:tc>
        <w:tc>
          <w:tcPr>
            <w:tcW w:w="20" w:type="dxa"/>
            <w:vAlign w:val="bottom"/>
          </w:tcPr>
          <w:p>
            <w:pPr>
              <w:spacing w:after="0"/>
              <w:rPr>
                <w:sz w:val="12"/>
                <w:szCs w:val="12"/>
                <w:color w:val="auto"/>
              </w:rPr>
            </w:pPr>
          </w:p>
        </w:tc>
      </w:tr>
      <w:tr>
        <w:trPr>
          <w:trHeight w:val="157"/>
        </w:trPr>
        <w:tc>
          <w:tcPr>
            <w:tcW w:w="10160" w:type="dxa"/>
            <w:vAlign w:val="bottom"/>
          </w:tcPr>
          <w:p>
            <w:pPr>
              <w:spacing w:after="0"/>
              <w:rPr>
                <w:sz w:val="20"/>
                <w:szCs w:val="20"/>
                <w:color w:val="auto"/>
              </w:rPr>
            </w:pPr>
            <w:r>
              <w:rPr>
                <w:rFonts w:ascii="Arial" w:cs="Arial" w:eastAsia="Arial" w:hAnsi="Arial"/>
                <w:sz w:val="13"/>
                <w:szCs w:val="13"/>
                <w:color w:val="auto"/>
              </w:rPr>
              <w:t>Ocean Power Technologies (Australasia) Pty Ltd</w:t>
            </w: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4"/>
              </w:rPr>
              <w:t>Australia</w:t>
            </w:r>
          </w:p>
        </w:tc>
      </w:tr>
      <w:tr>
        <w:trPr>
          <w:trHeight w:val="157"/>
        </w:trPr>
        <w:tc>
          <w:tcPr>
            <w:tcW w:w="10160" w:type="dxa"/>
            <w:vAlign w:val="bottom"/>
          </w:tcPr>
          <w:p>
            <w:pPr>
              <w:spacing w:after="0"/>
              <w:rPr>
                <w:sz w:val="20"/>
                <w:szCs w:val="20"/>
                <w:color w:val="auto"/>
              </w:rPr>
            </w:pPr>
            <w:r>
              <w:rPr>
                <w:rFonts w:ascii="Arial" w:cs="Arial" w:eastAsia="Arial" w:hAnsi="Arial"/>
                <w:sz w:val="13"/>
                <w:szCs w:val="13"/>
                <w:color w:val="auto"/>
              </w:rPr>
              <w:t>Reedsport OPT Wave Park LLC</w:t>
            </w: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Oregon</w:t>
            </w:r>
          </w:p>
        </w:tc>
      </w:tr>
      <w:tr>
        <w:trPr>
          <w:trHeight w:val="165"/>
        </w:trPr>
        <w:tc>
          <w:tcPr>
            <w:tcW w:w="10160" w:type="dxa"/>
            <w:vAlign w:val="bottom"/>
          </w:tcPr>
          <w:p>
            <w:pPr>
              <w:spacing w:after="0"/>
              <w:rPr>
                <w:sz w:val="20"/>
                <w:szCs w:val="20"/>
                <w:color w:val="auto"/>
              </w:rPr>
            </w:pPr>
            <w:r>
              <w:rPr>
                <w:rFonts w:ascii="Arial" w:cs="Arial" w:eastAsia="Arial" w:hAnsi="Arial"/>
                <w:sz w:val="13"/>
                <w:szCs w:val="13"/>
                <w:color w:val="auto"/>
              </w:rPr>
              <w:t>Oregon Wave Energy Partners I, LLC</w:t>
            </w:r>
          </w:p>
        </w:tc>
        <w:tc>
          <w:tcPr>
            <w:tcW w:w="1320" w:type="dxa"/>
            <w:vAlign w:val="bottom"/>
            <w:gridSpan w:val="2"/>
          </w:tcPr>
          <w:p>
            <w:pPr>
              <w:jc w:val="center"/>
              <w:ind w:right="20"/>
              <w:spacing w:after="0"/>
              <w:rPr>
                <w:sz w:val="20"/>
                <w:szCs w:val="20"/>
                <w:color w:val="auto"/>
              </w:rPr>
            </w:pPr>
            <w:r>
              <w:rPr>
                <w:rFonts w:ascii="Arial" w:cs="Arial" w:eastAsia="Arial" w:hAnsi="Arial"/>
                <w:sz w:val="13"/>
                <w:szCs w:val="13"/>
                <w:color w:val="auto"/>
                <w:w w:val="90"/>
              </w:rPr>
              <w:t>Delaware</w:t>
            </w:r>
          </w:p>
        </w:tc>
      </w:tr>
    </w:tbl>
    <w:p>
      <w:pPr>
        <w:sectPr>
          <w:pgSz w:w="11900" w:h="16838" w:orient="portrait"/>
          <w:cols w:equalWidth="0" w:num="1">
            <w:col w:w="11460"/>
          </w:cols>
          <w:pgMar w:left="220" w:top="127"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Ocean Power Technologies, Inc.:</w:t>
      </w:r>
    </w:p>
    <w:p>
      <w:pPr>
        <w:spacing w:after="0" w:line="79"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We consent to the incorporation by reference in the registration statements (No. 333-142547 and No. 333-165856) on Form S-8 of Ocean Power Technologies, Inc. of our reports dated July 14, 2011, with respect to the consolidated balance sheets of Ocean Power Technologies, Inc. and subsidiaries as of April 30, 2011 and 2010, and the related consolidated statements of operations, stockholders’ equity and comprehensive loss, and cash flows for each of the years in the three-year period ended April 30, 2011, and the effectiveness of internal control over financial reporting as of April 30, 2011, which reports appear in the April 30, 2011 annual report on Form 10-K of Ocean Power Technologies, Inc.</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July 14, 2011</w:t>
      </w:r>
    </w:p>
    <w:p>
      <w:pPr>
        <w:sectPr>
          <w:pgSz w:w="11900" w:h="16838" w:orient="portrait"/>
          <w:cols w:equalWidth="0" w:num="1">
            <w:col w:w="11460"/>
          </w:cols>
          <w:pgMar w:left="220" w:top="127"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Charles F. Dunleavy, certify that:</w:t>
      </w:r>
    </w:p>
    <w:p>
      <w:pPr>
        <w:spacing w:after="0" w:line="86" w:lineRule="exact"/>
        <w:rPr>
          <w:sz w:val="20"/>
          <w:szCs w:val="20"/>
          <w:color w:val="auto"/>
        </w:rPr>
      </w:pPr>
    </w:p>
    <w:p>
      <w:pPr>
        <w:ind w:left="680" w:hanging="455"/>
        <w:spacing w:after="0"/>
        <w:tabs>
          <w:tab w:leader="none" w:pos="6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Ocean Power Technologies,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Dated: July 14, 2011</w:t>
      </w:r>
    </w:p>
    <w:p>
      <w:pPr>
        <w:sectPr>
          <w:pgSz w:w="11900" w:h="16838" w:orient="portrait"/>
          <w:cols w:equalWidth="0" w:num="1">
            <w:col w:w="11460"/>
          </w:cols>
          <w:pgMar w:left="220" w:top="127" w:right="21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Brian M. Posner, certify that:</w:t>
      </w:r>
    </w:p>
    <w:p>
      <w:pPr>
        <w:spacing w:after="0" w:line="86" w:lineRule="exact"/>
        <w:rPr>
          <w:sz w:val="20"/>
          <w:szCs w:val="20"/>
          <w:color w:val="auto"/>
        </w:rPr>
      </w:pPr>
    </w:p>
    <w:p>
      <w:pPr>
        <w:ind w:left="680" w:hanging="455"/>
        <w:spacing w:after="0"/>
        <w:tabs>
          <w:tab w:leader="none" w:pos="6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Ocean Power Technologies,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6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6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6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6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Brian M. Posner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Dated: July 14, 2011</w:t>
      </w:r>
    </w:p>
    <w:p>
      <w:pPr>
        <w:sectPr>
          <w:pgSz w:w="11900" w:h="16838" w:orient="portrait"/>
          <w:cols w:equalWidth="0" w:num="1">
            <w:col w:w="11460"/>
          </w:cols>
          <w:pgMar w:left="220" w:top="127" w:right="21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In connection with the Annual Report on Form 10-K of Ocean Power Technologies, Inc. (the “Company”) for the year ended April 30, 2011 as filed with the Securities and Exchange Commission on the date hereof (the “Report”), the undersigned, Charles F. Dunleavy, Chief Executive Officer of the Company, hereby certifies, pursuant to 18 U.S.C. Section 1350, that:</w:t>
      </w:r>
    </w:p>
    <w:p>
      <w:pPr>
        <w:spacing w:after="0" w:line="49" w:lineRule="exact"/>
        <w:rPr>
          <w:sz w:val="20"/>
          <w:szCs w:val="20"/>
          <w:color w:val="auto"/>
        </w:rPr>
      </w:pPr>
    </w:p>
    <w:p>
      <w:pPr>
        <w:ind w:left="680" w:hanging="455"/>
        <w:spacing w:after="0"/>
        <w:tabs>
          <w:tab w:leader="none" w:pos="6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Charles F. Dunleavy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July 14, 2011</w:t>
      </w:r>
    </w:p>
    <w:p>
      <w:pPr>
        <w:sectPr>
          <w:pgSz w:w="11900" w:h="16838" w:orient="portrait"/>
          <w:cols w:equalWidth="0" w:num="1">
            <w:col w:w="11460"/>
          </w:cols>
          <w:pgMar w:left="220" w:top="127"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In connection with the Annual Report on Form 10-K of Ocean Power Technologies, Inc. (the “Company”) for the year ended April 30, 2011 as filed with the Securities and Exchange Commission on the date hereof (the “Report”), the undersigned, Brian M. Posner, Chief Financial Officer of the Company, hereby certifies, pursuant to 18 U.S.C. Section 1350, that:</w:t>
      </w:r>
    </w:p>
    <w:p>
      <w:pPr>
        <w:spacing w:after="0" w:line="49" w:lineRule="exact"/>
        <w:rPr>
          <w:sz w:val="20"/>
          <w:szCs w:val="20"/>
          <w:color w:val="auto"/>
        </w:rPr>
      </w:pPr>
    </w:p>
    <w:p>
      <w:pPr>
        <w:ind w:left="680" w:hanging="455"/>
        <w:spacing w:after="0"/>
        <w:tabs>
          <w:tab w:leader="none" w:pos="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Brian M. Posner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 July 14, 2011</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lvl w:ilvl="1">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2"/>
    </w:lvl>
  </w:abstractNum>
  <w:abstractNum w:abstractNumId="33">
    <w:nsid w:val="12E685FB"/>
    <w:multiLevelType w:val="hybridMultilevel"/>
    <w:lvl w:ilvl="0">
      <w:lvlJc w:val="left"/>
      <w:lvlText w:val="(%1)"/>
      <w:numFmt w:val="lowerLetter"/>
      <w:start w:val="3"/>
    </w:lvl>
  </w:abstractNum>
  <w:abstractNum w:abstractNumId="34">
    <w:nsid w:val="70C6A529"/>
    <w:multiLevelType w:val="hybridMultilevel"/>
    <w:lvl w:ilvl="0">
      <w:lvlJc w:val="left"/>
      <w:lvlText w:val="(%1)"/>
      <w:numFmt w:val="lowerLetter"/>
      <w:start w:val="4"/>
    </w:lvl>
  </w:abstractNum>
  <w:abstractNum w:abstractNumId="35">
    <w:nsid w:val="520EEDD1"/>
    <w:multiLevelType w:val="hybridMultilevel"/>
    <w:lvl w:ilvl="0">
      <w:lvlJc w:val="left"/>
      <w:lvlText w:val="(%1)"/>
      <w:numFmt w:val="lowerLetter"/>
      <w:start w:val="5"/>
    </w:lvl>
  </w:abstractNum>
  <w:abstractNum w:abstractNumId="36">
    <w:nsid w:val="374A3FE6"/>
    <w:multiLevelType w:val="hybridMultilevel"/>
    <w:lvl w:ilvl="0">
      <w:lvlJc w:val="left"/>
      <w:lvlText w:val="(%1)"/>
      <w:numFmt w:val="lowerLetter"/>
      <w:start w:val="6"/>
    </w:lvl>
  </w:abstractNum>
  <w:abstractNum w:abstractNumId="37">
    <w:nsid w:val="4F4EF005"/>
    <w:multiLevelType w:val="hybridMultilevel"/>
    <w:lvl w:ilvl="0">
      <w:lvlJc w:val="left"/>
      <w:lvlText w:val="(%1)"/>
      <w:numFmt w:val="lowerLetter"/>
      <w:start w:val="7"/>
    </w:lvl>
  </w:abstractNum>
  <w:abstractNum w:abstractNumId="38">
    <w:nsid w:val="23F9C13C"/>
    <w:multiLevelType w:val="hybridMultilevel"/>
    <w:lvl w:ilvl="0">
      <w:lvlJc w:val="left"/>
      <w:lvlText w:val="(%1)"/>
      <w:numFmt w:val="lowerLetter"/>
      <w:start w:val="8"/>
    </w:lvl>
  </w:abstractNum>
  <w:abstractNum w:abstractNumId="39">
    <w:nsid w:val="649BB77C"/>
    <w:multiLevelType w:val="hybridMultilevel"/>
    <w:lvl w:ilvl="0">
      <w:lvlJc w:val="left"/>
      <w:lvlText w:val="(%1)"/>
      <w:numFmt w:val="lowerRoman"/>
      <w:start w:val="1"/>
    </w:lvl>
  </w:abstractNum>
  <w:abstractNum w:abstractNumId="40">
    <w:nsid w:val="275AC794"/>
    <w:multiLevelType w:val="hybridMultilevel"/>
    <w:lvl w:ilvl="0">
      <w:lvlJc w:val="left"/>
      <w:lvlText w:val="(%1)"/>
      <w:numFmt w:val="lowerLetter"/>
      <w:start w:val="10"/>
    </w:lvl>
  </w:abstractNum>
  <w:abstractNum w:abstractNumId="41">
    <w:nsid w:val="39386575"/>
    <w:multiLevelType w:val="hybridMultilevel"/>
    <w:lvl w:ilvl="0">
      <w:lvlJc w:val="left"/>
      <w:lvlText w:val="(%1)"/>
      <w:numFmt w:val="lowerLetter"/>
      <w:start w:val="11"/>
    </w:lvl>
  </w:abstractNum>
  <w:abstractNum w:abstractNumId="42">
    <w:nsid w:val="1CF10FD8"/>
    <w:multiLevelType w:val="hybridMultilevel"/>
    <w:lvl w:ilvl="0">
      <w:lvlJc w:val="left"/>
      <w:lvlText w:val="(%1)"/>
      <w:numFmt w:val="lowerLetter"/>
      <w:start w:val="12"/>
    </w:lvl>
  </w:abstractNum>
  <w:abstractNum w:abstractNumId="43">
    <w:nsid w:val="180115BE"/>
    <w:multiLevelType w:val="hybridMultilevel"/>
    <w:lvl w:ilvl="0">
      <w:lvlJc w:val="left"/>
      <w:lvlText w:val="(%1)"/>
      <w:numFmt w:val="lowerLetter"/>
      <w:start w:val="13"/>
    </w:lvl>
  </w:abstractNum>
  <w:abstractNum w:abstractNumId="44">
    <w:nsid w:val="235BA861"/>
    <w:multiLevelType w:val="hybridMultilevel"/>
    <w:lvl w:ilvl="0">
      <w:lvlJc w:val="left"/>
      <w:lvlText w:val="(%1)"/>
      <w:numFmt w:val="lowerLetter"/>
      <w:start w:val="14"/>
    </w:lvl>
  </w:abstractNum>
  <w:abstractNum w:abstractNumId="45">
    <w:nsid w:val="47398C89"/>
    <w:multiLevelType w:val="hybridMultilevel"/>
    <w:lvl w:ilvl="0">
      <w:lvlJc w:val="left"/>
      <w:lvlText w:val="(%1)"/>
      <w:numFmt w:val="lowerLetter"/>
      <w:start w:val="15"/>
    </w:lvl>
  </w:abstractNum>
  <w:abstractNum w:abstractNumId="46">
    <w:nsid w:val="354FE9F9"/>
    <w:multiLevelType w:val="hybridMultilevel"/>
    <w:lvl w:ilvl="0">
      <w:lvlJc w:val="left"/>
      <w:lvlText w:val="(%1)"/>
      <w:numFmt w:val="lowerLetter"/>
      <w:start w:val="16"/>
    </w:lvl>
  </w:abstractNum>
  <w:abstractNum w:abstractNumId="47">
    <w:nsid w:val="15B5AF5C"/>
    <w:multiLevelType w:val="hybridMultilevel"/>
    <w:lvl w:ilvl="0">
      <w:lvlJc w:val="left"/>
      <w:lvlText w:val="(%1)"/>
      <w:numFmt w:val="lowerLetter"/>
      <w:start w:val="17"/>
    </w:lvl>
  </w:abstractNum>
  <w:abstractNum w:abstractNumId="48">
    <w:nsid w:val="741226BB"/>
    <w:multiLevelType w:val="hybridMultilevel"/>
    <w:lvl w:ilvl="0">
      <w:lvlJc w:val="left"/>
      <w:lvlText w:val="(%1)"/>
      <w:numFmt w:val="lowerLetter"/>
      <w:start w:val="18"/>
    </w:lvl>
  </w:abstractNum>
  <w:abstractNum w:abstractNumId="49">
    <w:nsid w:val="D34B6A8"/>
    <w:multiLevelType w:val="hybridMultilevel"/>
    <w:lvl w:ilvl="0">
      <w:lvlJc w:val="left"/>
      <w:lvlText w:val="(%1)"/>
      <w:numFmt w:val="decimal"/>
      <w:start w:val="3"/>
    </w:lvl>
  </w:abstractNum>
  <w:abstractNum w:abstractNumId="50">
    <w:nsid w:val="10233C99"/>
    <w:multiLevelType w:val="hybridMultilevel"/>
    <w:lvl w:ilvl="0">
      <w:lvlJc w:val="left"/>
      <w:lvlText w:val="(%1)"/>
      <w:numFmt w:val="decimal"/>
      <w:start w:val="4"/>
    </w:lvl>
  </w:abstractNum>
  <w:abstractNum w:abstractNumId="51">
    <w:nsid w:val="3F6AB60F"/>
    <w:multiLevelType w:val="hybridMultilevel"/>
    <w:lvl w:ilvl="0">
      <w:lvlJc w:val="left"/>
      <w:lvlText w:val="(%1)"/>
      <w:numFmt w:val="decimal"/>
      <w:start w:val="5"/>
    </w:lvl>
  </w:abstractNum>
  <w:abstractNum w:abstractNumId="52">
    <w:nsid w:val="61574095"/>
    <w:multiLevelType w:val="hybridMultilevel"/>
    <w:lvl w:ilvl="0">
      <w:lvlJc w:val="left"/>
      <w:lvlText w:val="(%1)"/>
      <w:numFmt w:val="decimal"/>
      <w:start w:val="6"/>
    </w:lvl>
  </w:abstractNum>
  <w:abstractNum w:abstractNumId="53">
    <w:nsid w:val="7E0C57B1"/>
    <w:multiLevelType w:val="hybridMultilevel"/>
    <w:lvl w:ilvl="0">
      <w:lvlJc w:val="left"/>
      <w:lvlText w:val="(%1)"/>
      <w:numFmt w:val="decimal"/>
      <w:start w:val="7"/>
    </w:lvl>
  </w:abstractNum>
  <w:abstractNum w:abstractNumId="54">
    <w:nsid w:val="77AE35EB"/>
    <w:multiLevelType w:val="hybridMultilevel"/>
    <w:lvl w:ilvl="0">
      <w:lvlJc w:val="left"/>
      <w:lvlText w:val="(%1)"/>
      <w:numFmt w:val="decimal"/>
      <w:start w:val="8"/>
    </w:lvl>
  </w:abstractNum>
  <w:abstractNum w:abstractNumId="55">
    <w:nsid w:val="579BE4F1"/>
    <w:multiLevelType w:val="hybridMultilevel"/>
    <w:lvl w:ilvl="0">
      <w:lvlJc w:val="left"/>
      <w:lvlText w:val="(%1)"/>
      <w:numFmt w:val="decimal"/>
      <w:start w:val="9"/>
    </w:lvl>
  </w:abstractNum>
  <w:abstractNum w:abstractNumId="56">
    <w:nsid w:val="310C50B3"/>
    <w:multiLevelType w:val="hybridMultilevel"/>
    <w:lvl w:ilvl="0">
      <w:lvlJc w:val="left"/>
      <w:lvlText w:val="(%1)"/>
      <w:numFmt w:val="decimal"/>
      <w:start w:val="10"/>
    </w:lvl>
  </w:abstractNum>
  <w:abstractNum w:abstractNumId="57">
    <w:nsid w:val="5FF87E05"/>
    <w:multiLevelType w:val="hybridMultilevel"/>
    <w:lvl w:ilvl="0">
      <w:lvlJc w:val="left"/>
      <w:lvlText w:val="(%1)"/>
      <w:numFmt w:val="decimal"/>
      <w:start w:val="1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2"/>
    </w:lvl>
  </w:abstractNum>
  <w:abstractNum w:abstractNumId="60">
    <w:nsid w:val="1DBABF00"/>
    <w:multiLevelType w:val="hybridMultilevel"/>
    <w:lvl w:ilvl="0">
      <w:lvlJc w:val="left"/>
      <w:lvlText w:val="(%1)"/>
      <w:numFmt w:val="lowerLetter"/>
      <w:start w:val="3"/>
    </w:lvl>
  </w:abstractNum>
  <w:abstractNum w:abstractNumId="61">
    <w:nsid w:val="4AD084E9"/>
    <w:multiLevelType w:val="hybridMultilevel"/>
    <w:lvl w:ilvl="0">
      <w:lvlJc w:val="left"/>
      <w:lvlText w:val="(%1)"/>
      <w:numFmt w:val="decimal"/>
      <w:start w:val="12"/>
    </w:lvl>
  </w:abstractNum>
  <w:abstractNum w:abstractNumId="62">
    <w:nsid w:val="1F48EAA1"/>
    <w:multiLevelType w:val="hybridMultilevel"/>
    <w:lvl w:ilvl="0">
      <w:lvlJc w:val="left"/>
      <w:lvlText w:val="(%1)"/>
      <w:numFmt w:val="decimal"/>
      <w:start w:val="13"/>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2"/>
    </w:lvl>
  </w:abstractNum>
  <w:abstractNum w:abstractNumId="65">
    <w:nsid w:val="100F8FCA"/>
    <w:multiLevelType w:val="hybridMultilevel"/>
    <w:lvl w:ilvl="0">
      <w:lvlJc w:val="left"/>
      <w:lvlText w:val="(%1)"/>
      <w:numFmt w:val="lowerLetter"/>
      <w:start w:val="3"/>
    </w:lvl>
  </w:abstractNum>
  <w:abstractNum w:abstractNumId="66">
    <w:nsid w:val="6590700B"/>
    <w:multiLevelType w:val="hybridMultilevel"/>
    <w:lvl w:ilvl="0">
      <w:lvlJc w:val="left"/>
      <w:lvlText w:val="(%1)"/>
      <w:numFmt w:val="decimal"/>
      <w:start w:val="15"/>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2019-12-11T04:08:06Z</dcterms:created>
  <dcterms:modified xsi:type="dcterms:W3CDTF">2019-12-11T04:08:06Z</dcterms:modified>
</cp:coreProperties>
</file>